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38" w:rsidRDefault="00BF3338" w:rsidP="00BF3338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BF3338" w:rsidRDefault="00BF3338" w:rsidP="00BF3338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proofErr w:type="spellStart"/>
      <w:r>
        <w:rPr>
          <w:rFonts w:ascii="GHEA Grapalat" w:hAnsi="GHEA Grapalat"/>
          <w:b/>
        </w:rPr>
        <w:t>Ոսկերչյանն</w:t>
      </w:r>
      <w:proofErr w:type="spellEnd"/>
      <w:r>
        <w:rPr>
          <w:rFonts w:ascii="GHEA Grapalat" w:hAnsi="GHEA Grapalat"/>
          <w:b/>
          <w:lang w:val="hy-AM"/>
        </w:rPr>
        <w:t xml:space="preserve"> ընդդեմ Հայաստանի» գործով (թիվ </w:t>
      </w:r>
      <w:r w:rsidRPr="00BF3338">
        <w:rPr>
          <w:rFonts w:ascii="GHEA Grapalat" w:hAnsi="GHEA Grapalat"/>
          <w:b/>
          <w:i/>
          <w:lang w:val="hy-AM" w:bidi="hy-AM"/>
        </w:rPr>
        <w:t>28739/09</w:t>
      </w:r>
      <w:r>
        <w:rPr>
          <w:rFonts w:ascii="GHEA Grapalat" w:hAnsi="GHEA Grapalat"/>
          <w:b/>
          <w:i/>
          <w:lang w:bidi="hy-AM"/>
        </w:rPr>
        <w:t xml:space="preserve"> </w:t>
      </w:r>
      <w:r>
        <w:rPr>
          <w:rFonts w:ascii="GHEA Grapalat" w:hAnsi="GHEA Grapalat"/>
          <w:b/>
          <w:lang w:val="hy-AM"/>
        </w:rPr>
        <w:t>գանգատ)</w:t>
      </w:r>
    </w:p>
    <w:p w:rsidR="00BF3338" w:rsidRDefault="00BF3338" w:rsidP="00BF3338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BF3338" w:rsidRDefault="00BF3338" w:rsidP="00BF3338">
      <w:pPr>
        <w:spacing w:after="0" w:line="360" w:lineRule="auto"/>
        <w:jc w:val="center"/>
        <w:rPr>
          <w:rFonts w:ascii="GHEA Grapalat" w:hAnsi="GHEA Grapalat"/>
          <w:b/>
          <w:sz w:val="18"/>
          <w:lang w:val="hy-AM"/>
        </w:rPr>
      </w:pPr>
    </w:p>
    <w:p w:rsidR="00BF3338" w:rsidRDefault="00BF3338" w:rsidP="00BF3338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ելակետային տվյալները</w:t>
      </w:r>
    </w:p>
    <w:p w:rsidR="00BF3338" w:rsidRDefault="00BF3338" w:rsidP="00BF3338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2018 թվականի </w:t>
      </w:r>
      <w:proofErr w:type="spellStart"/>
      <w:r>
        <w:rPr>
          <w:rFonts w:ascii="GHEA Grapalat" w:hAnsi="GHEA Grapalat"/>
        </w:rPr>
        <w:t>հոկտեմբերի</w:t>
      </w:r>
      <w:proofErr w:type="spellEnd"/>
      <w:r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 xml:space="preserve">-ին հրապարակել է </w:t>
      </w:r>
      <w:r>
        <w:rPr>
          <w:rFonts w:ascii="GHEA Grapalat" w:hAnsi="GHEA Grapalat"/>
          <w:i/>
          <w:lang w:val="hy-AM"/>
        </w:rPr>
        <w:t>«</w:t>
      </w:r>
      <w:proofErr w:type="spellStart"/>
      <w:r>
        <w:rPr>
          <w:rFonts w:ascii="GHEA Grapalat" w:hAnsi="GHEA Grapalat"/>
          <w:i/>
        </w:rPr>
        <w:t>Ոսկերչյանն</w:t>
      </w:r>
      <w:proofErr w:type="spellEnd"/>
      <w:r>
        <w:rPr>
          <w:rFonts w:ascii="GHEA Grapalat" w:hAnsi="GHEA Grapalat"/>
          <w:i/>
          <w:lang w:val="hy-AM"/>
        </w:rPr>
        <w:t xml:space="preserve"> ընդդեմ Հայաստանի»</w:t>
      </w:r>
      <w:r>
        <w:rPr>
          <w:rFonts w:ascii="GHEA Grapalat" w:hAnsi="GHEA Grapalat"/>
          <w:lang w:val="hy-AM"/>
        </w:rPr>
        <w:t xml:space="preserve"> գործով վճիռը, որով արձանագրել է Մարդու իրավունքների եվրոպական կոնվենցիայի (այսուհետ՝ Կոնվենցիա) </w:t>
      </w:r>
      <w:r>
        <w:rPr>
          <w:rFonts w:ascii="GHEA Grapalat" w:hAnsi="GHEA Grapalat"/>
          <w:szCs w:val="24"/>
          <w:lang w:val="hy-AM"/>
        </w:rPr>
        <w:t>5-</w:t>
      </w:r>
      <w:r>
        <w:rPr>
          <w:rFonts w:ascii="GHEA Grapalat" w:hAnsi="GHEA Grapalat" w:cs="Sylfaen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հոդվածի</w:t>
      </w:r>
      <w:r>
        <w:rPr>
          <w:rFonts w:ascii="GHEA Grapalat" w:hAnsi="GHEA Grapalat"/>
          <w:szCs w:val="24"/>
          <w:lang w:val="hy-AM"/>
        </w:rPr>
        <w:t xml:space="preserve"> </w:t>
      </w:r>
      <w:r w:rsidR="007440C3">
        <w:rPr>
          <w:rFonts w:ascii="GHEA Grapalat" w:hAnsi="GHEA Grapalat"/>
          <w:szCs w:val="24"/>
        </w:rPr>
        <w:t>3-</w:t>
      </w:r>
      <w:r>
        <w:rPr>
          <w:rFonts w:ascii="GHEA Grapalat" w:hAnsi="GHEA Grapalat" w:cs="Sylfaen"/>
          <w:szCs w:val="24"/>
          <w:lang w:val="hy-AM"/>
        </w:rPr>
        <w:t>րդ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կետի խախտում</w:t>
      </w:r>
      <w:r>
        <w:rPr>
          <w:rFonts w:ascii="GHEA Grapalat" w:hAnsi="GHEA Grapalat"/>
          <w:lang w:val="hy-AM"/>
        </w:rPr>
        <w:t xml:space="preserve">: </w:t>
      </w:r>
    </w:p>
    <w:p w:rsidR="00BF3338" w:rsidRDefault="00BF3338" w:rsidP="00BF3338">
      <w:pPr>
        <w:spacing w:before="240"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Գործի փաստական հանգամանքները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>2008 թվականի փետրվարին Հայաստանում տեղի են ունեցել նախագահական ընտրություններ, որին</w:t>
      </w:r>
      <w:r>
        <w:rPr>
          <w:rFonts w:ascii="GHEA Grapalat" w:hAnsi="GHEA Grapalat"/>
          <w:szCs w:val="24"/>
          <w:lang w:bidi="hy-AM"/>
        </w:rPr>
        <w:t xml:space="preserve"> </w:t>
      </w:r>
      <w:r w:rsidRPr="007440C3">
        <w:rPr>
          <w:rFonts w:ascii="GHEA Grapalat" w:hAnsi="GHEA Grapalat"/>
          <w:szCs w:val="24"/>
          <w:lang w:val="hy-AM" w:bidi="hy-AM"/>
        </w:rPr>
        <w:t>հաջորդել են</w:t>
      </w:r>
      <w:r w:rsidRPr="007440C3" w:rsidDel="007D4C23">
        <w:rPr>
          <w:rFonts w:ascii="GHEA Grapalat" w:hAnsi="GHEA Grapalat"/>
          <w:szCs w:val="24"/>
          <w:lang w:val="hy-AM" w:bidi="hy-AM"/>
        </w:rPr>
        <w:t xml:space="preserve"> </w:t>
      </w:r>
      <w:r w:rsidRPr="007440C3">
        <w:rPr>
          <w:rFonts w:ascii="GHEA Grapalat" w:hAnsi="GHEA Grapalat"/>
          <w:szCs w:val="24"/>
          <w:lang w:val="hy-AM" w:bidi="hy-AM"/>
        </w:rPr>
        <w:t>Եր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անի Ազատության հրապարակում ընդդիմության հիմնական թեկնածու պրն Տեր-Պետրոսյանի աջակիցների կողմից անցկացվող բողոքի ցույցերը։ Դիմումատուն պրն Տեր-Պետրոսյանի՝ Աբովյան քաղաքի շտաբի ղեկավարն էր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պարբերաբար մասնակցում էր ցույցերին։ 2008 թվականի մարտի 1-ին Ազատության հրապարակում հավաքը ցրվել է ոստիկանության կողմից, ինչն ամբողջ Եր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>անում զանգվածային բողոքի ակցիայի պատճառ է դարձել։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>2008 թվականի մարտի 8-ին դիմումատուն կանչվել է Աբովյանի ոստիկան</w:t>
      </w:r>
      <w:proofErr w:type="spellStart"/>
      <w:r w:rsidR="005D7745">
        <w:rPr>
          <w:rFonts w:ascii="GHEA Grapalat" w:hAnsi="GHEA Grapalat"/>
          <w:szCs w:val="24"/>
          <w:lang w:bidi="hy-AM"/>
        </w:rPr>
        <w:t>ության</w:t>
      </w:r>
      <w:proofErr w:type="spellEnd"/>
      <w:r w:rsidRPr="007440C3">
        <w:rPr>
          <w:rFonts w:ascii="GHEA Grapalat" w:hAnsi="GHEA Grapalat"/>
          <w:szCs w:val="24"/>
          <w:lang w:val="hy-AM" w:bidi="hy-AM"/>
        </w:rPr>
        <w:t xml:space="preserve"> բաժին, որտեղ նրան հարցաքննել են թռուցիկների առնչությամբ, որոնք նա պատրաստել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ցույցերի ժամանակ ցուցարարներին էր բաժանել։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 xml:space="preserve">2008 թվականի մարտի 11-ին դիմումատուին մեղադրանք է առաջադրվել զանգվածային անկարգություններ կազմակերպելու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պետական իշխանությունը յուրացնելու փորձի համար։</w:t>
      </w:r>
    </w:p>
    <w:p w:rsidR="00444C75" w:rsidRPr="00444C75" w:rsidRDefault="007440C3" w:rsidP="00444C75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>Նույն օրը Եր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ան քաղաքի Կենտրոն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Նորք-Մարաշ վարչական շրջանների ընդհանուր իրավասության դատարանը</w:t>
      </w:r>
      <w:r w:rsidR="00444C75">
        <w:rPr>
          <w:rFonts w:ascii="GHEA Grapalat" w:hAnsi="GHEA Grapalat"/>
          <w:szCs w:val="24"/>
          <w:lang w:bidi="hy-AM"/>
        </w:rPr>
        <w:t xml:space="preserve"> </w:t>
      </w:r>
      <w:r w:rsidR="00444C75" w:rsidRPr="00C52D3D">
        <w:rPr>
          <w:rFonts w:ascii="GHEA Grapalat" w:hAnsi="GHEA Grapalat"/>
          <w:szCs w:val="24"/>
        </w:rPr>
        <w:t>(</w:t>
      </w:r>
      <w:proofErr w:type="spellStart"/>
      <w:r w:rsidR="005D7745">
        <w:rPr>
          <w:rFonts w:ascii="GHEA Grapalat" w:hAnsi="GHEA Grapalat"/>
          <w:szCs w:val="24"/>
        </w:rPr>
        <w:t>այսուհետ</w:t>
      </w:r>
      <w:proofErr w:type="spellEnd"/>
      <w:r w:rsidR="005D7745">
        <w:rPr>
          <w:rFonts w:ascii="GHEA Grapalat" w:hAnsi="GHEA Grapalat"/>
          <w:szCs w:val="24"/>
        </w:rPr>
        <w:t xml:space="preserve">՝ </w:t>
      </w:r>
      <w:proofErr w:type="spellStart"/>
      <w:r w:rsidR="00444C75" w:rsidRPr="00C52D3D">
        <w:rPr>
          <w:rFonts w:ascii="GHEA Grapalat" w:hAnsi="GHEA Grapalat"/>
          <w:szCs w:val="24"/>
        </w:rPr>
        <w:t>Վարչական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շրջանի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դատարան</w:t>
      </w:r>
      <w:proofErr w:type="spellEnd"/>
      <w:r w:rsidR="00444C75" w:rsidRPr="00C52D3D">
        <w:rPr>
          <w:rFonts w:ascii="GHEA Grapalat" w:hAnsi="GHEA Grapalat"/>
          <w:szCs w:val="24"/>
        </w:rPr>
        <w:t>)</w:t>
      </w:r>
      <w:r>
        <w:rPr>
          <w:rFonts w:ascii="GHEA Grapalat" w:hAnsi="GHEA Grapalat"/>
          <w:szCs w:val="24"/>
          <w:lang w:bidi="hy-AM"/>
        </w:rPr>
        <w:t xml:space="preserve"> </w:t>
      </w:r>
      <w:r w:rsidRPr="007440C3">
        <w:rPr>
          <w:rFonts w:ascii="GHEA Grapalat" w:hAnsi="GHEA Grapalat"/>
          <w:szCs w:val="24"/>
          <w:lang w:val="hy-AM" w:bidi="hy-AM"/>
        </w:rPr>
        <w:t>որոշում է կայացրել դիմումատուի նկատմամբ երկամսյա ժամկետով, այն է՝ մինչ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2008 թվականի մայիսի 8-ը, կիրառել մինչդատական կալանք՝ հաշվի առնելով վերագրվող հանցանքի բնույթն ու ծանրությունը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դրա համար </w:t>
      </w:r>
      <w:proofErr w:type="spellStart"/>
      <w:r w:rsidR="005D7745">
        <w:rPr>
          <w:rFonts w:ascii="GHEA Grapalat" w:hAnsi="GHEA Grapalat"/>
          <w:szCs w:val="24"/>
          <w:lang w:bidi="hy-AM"/>
        </w:rPr>
        <w:t>սահմանված</w:t>
      </w:r>
      <w:proofErr w:type="spellEnd"/>
      <w:r w:rsidRPr="007440C3">
        <w:rPr>
          <w:rFonts w:ascii="GHEA Grapalat" w:hAnsi="GHEA Grapalat"/>
          <w:szCs w:val="24"/>
          <w:lang w:val="hy-AM" w:bidi="hy-AM"/>
        </w:rPr>
        <w:t xml:space="preserve"> պատժի խստությունը։ </w:t>
      </w:r>
      <w:r w:rsidR="00444C75" w:rsidRPr="00444C75">
        <w:rPr>
          <w:rFonts w:ascii="GHEA Grapalat" w:hAnsi="GHEA Grapalat"/>
          <w:szCs w:val="24"/>
          <w:lang w:val="hy-AM" w:bidi="hy-AM"/>
        </w:rPr>
        <w:t xml:space="preserve">Նույն որոշմամբ </w:t>
      </w:r>
      <w:r w:rsidR="00444C75" w:rsidRPr="00444C75">
        <w:rPr>
          <w:rFonts w:ascii="GHEA Grapalat" w:hAnsi="GHEA Grapalat"/>
          <w:szCs w:val="24"/>
          <w:lang w:val="hy-AM" w:bidi="hy-AM"/>
        </w:rPr>
        <w:lastRenderedPageBreak/>
        <w:t>Վարչական շրջանի դատարանը մերժել է գրավի դիմաց կալանքից ազատվելու մասին դիմումատուի միջնորդությունը։</w:t>
      </w:r>
    </w:p>
    <w:p w:rsidR="007440C3" w:rsidRPr="007440C3" w:rsidRDefault="007440C3" w:rsidP="00444C75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>
        <w:rPr>
          <w:rFonts w:ascii="GHEA Grapalat" w:hAnsi="GHEA Grapalat"/>
          <w:szCs w:val="24"/>
          <w:lang w:bidi="hy-AM"/>
        </w:rPr>
        <w:t>Դ</w:t>
      </w:r>
      <w:r w:rsidRPr="007440C3">
        <w:rPr>
          <w:rFonts w:ascii="GHEA Grapalat" w:hAnsi="GHEA Grapalat"/>
          <w:szCs w:val="24"/>
          <w:lang w:val="hy-AM" w:bidi="hy-AM"/>
        </w:rPr>
        <w:t>իմումատուն վերաքննիչ բողոք է ներկայացրել՝ պնդելով, որ քննչական մարմինն իր կալանավորման անհրաժեշտությունը հիմնավորող որ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>է ապացույց չի ներկայացրել։</w:t>
      </w:r>
    </w:p>
    <w:p w:rsid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bidi="hy-AM"/>
        </w:rPr>
      </w:pPr>
      <w:r w:rsidRPr="007440C3">
        <w:rPr>
          <w:rFonts w:ascii="GHEA Grapalat" w:hAnsi="GHEA Grapalat"/>
          <w:szCs w:val="24"/>
          <w:lang w:val="hy-AM" w:bidi="hy-AM"/>
        </w:rPr>
        <w:t>Վերաքննիչ քրեական դատարանը որոշել է մերժել դիմումատուի բողոքը՝ որոշելով, որ այն փաստը, որ դիմումատուին մեղադրանք է առաջադրվել մինչ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տասը տարվա ազատազրկմամբ պատժվող ծանր հանցագործության համար, մեծացնում է վերջինիս կողմից քրեական պատժից խուսափելու հավանականությունը։ </w:t>
      </w:r>
      <w:proofErr w:type="spellStart"/>
      <w:r w:rsidR="00444C75" w:rsidRPr="00C52D3D">
        <w:rPr>
          <w:rFonts w:ascii="GHEA Grapalat" w:hAnsi="GHEA Grapalat"/>
          <w:szCs w:val="24"/>
        </w:rPr>
        <w:t>Ավելին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, </w:t>
      </w:r>
      <w:proofErr w:type="spellStart"/>
      <w:r w:rsidR="00444C75" w:rsidRPr="00C52D3D">
        <w:rPr>
          <w:rFonts w:ascii="GHEA Grapalat" w:hAnsi="GHEA Grapalat"/>
          <w:szCs w:val="24"/>
        </w:rPr>
        <w:t>անթույլատրելի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էր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դիմումատուին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գրավի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դիմաց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ազատ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արձակելը</w:t>
      </w:r>
      <w:proofErr w:type="spellEnd"/>
      <w:r w:rsidR="00444C75" w:rsidRPr="00C52D3D">
        <w:rPr>
          <w:rFonts w:ascii="GHEA Grapalat" w:hAnsi="GHEA Grapalat"/>
          <w:szCs w:val="24"/>
        </w:rPr>
        <w:t xml:space="preserve">՝ </w:t>
      </w:r>
      <w:proofErr w:type="spellStart"/>
      <w:r w:rsidR="00444C75" w:rsidRPr="00C52D3D">
        <w:rPr>
          <w:rFonts w:ascii="GHEA Grapalat" w:hAnsi="GHEA Grapalat"/>
          <w:szCs w:val="24"/>
        </w:rPr>
        <w:t>հաշվի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առնելով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այն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հանգամանքը</w:t>
      </w:r>
      <w:proofErr w:type="spellEnd"/>
      <w:r w:rsidR="00444C75" w:rsidRPr="00C52D3D">
        <w:rPr>
          <w:rFonts w:ascii="GHEA Grapalat" w:hAnsi="GHEA Grapalat"/>
          <w:szCs w:val="24"/>
        </w:rPr>
        <w:t xml:space="preserve">, </w:t>
      </w:r>
      <w:proofErr w:type="spellStart"/>
      <w:r w:rsidR="00444C75" w:rsidRPr="00C52D3D">
        <w:rPr>
          <w:rFonts w:ascii="GHEA Grapalat" w:hAnsi="GHEA Grapalat"/>
          <w:szCs w:val="24"/>
        </w:rPr>
        <w:t>որ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դիմումատուն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ընդհանուր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առմամբ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կարող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էր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թաքնվել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, </w:t>
      </w:r>
      <w:proofErr w:type="spellStart"/>
      <w:r w:rsidR="00444C75" w:rsidRPr="00C52D3D">
        <w:rPr>
          <w:rFonts w:ascii="GHEA Grapalat" w:hAnsi="GHEA Grapalat"/>
          <w:szCs w:val="24"/>
        </w:rPr>
        <w:t>խոչընդոտել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վարույթը</w:t>
      </w:r>
      <w:proofErr w:type="spellEnd"/>
      <w:r w:rsidR="00444C75" w:rsidRPr="00C52D3D">
        <w:rPr>
          <w:rFonts w:ascii="GHEA Grapalat" w:hAnsi="GHEA Grapalat"/>
          <w:szCs w:val="24"/>
        </w:rPr>
        <w:t xml:space="preserve">, </w:t>
      </w:r>
      <w:proofErr w:type="spellStart"/>
      <w:r w:rsidR="00444C75" w:rsidRPr="00C52D3D">
        <w:rPr>
          <w:rFonts w:ascii="GHEA Grapalat" w:hAnsi="GHEA Grapalat"/>
          <w:szCs w:val="24"/>
        </w:rPr>
        <w:t>մեկ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այլ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հանցանք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կատարել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, </w:t>
      </w:r>
      <w:proofErr w:type="spellStart"/>
      <w:r w:rsidR="00444C75" w:rsidRPr="00C52D3D">
        <w:rPr>
          <w:rFonts w:ascii="GHEA Grapalat" w:hAnsi="GHEA Grapalat"/>
          <w:szCs w:val="24"/>
        </w:rPr>
        <w:t>խուսափել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պատասխանատվությունից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ու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պատժից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r w:rsidR="005D7745">
        <w:rPr>
          <w:rFonts w:ascii="GHEA Grapalat" w:hAnsi="GHEA Grapalat" w:cs="Sylfaen"/>
          <w:szCs w:val="24"/>
        </w:rPr>
        <w:t>և</w:t>
      </w:r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շարունակել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խախտել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հասարակական</w:t>
      </w:r>
      <w:proofErr w:type="spellEnd"/>
      <w:r w:rsidR="00444C75" w:rsidRPr="00C52D3D">
        <w:rPr>
          <w:rFonts w:ascii="GHEA Grapalat" w:hAnsi="GHEA Grapalat"/>
          <w:szCs w:val="24"/>
        </w:rPr>
        <w:t xml:space="preserve"> </w:t>
      </w:r>
      <w:proofErr w:type="spellStart"/>
      <w:r w:rsidR="00444C75" w:rsidRPr="00C52D3D">
        <w:rPr>
          <w:rFonts w:ascii="GHEA Grapalat" w:hAnsi="GHEA Grapalat"/>
          <w:szCs w:val="24"/>
        </w:rPr>
        <w:t>կարգը</w:t>
      </w:r>
      <w:proofErr w:type="spellEnd"/>
      <w:r w:rsidR="00444C75" w:rsidRPr="00C52D3D">
        <w:rPr>
          <w:rFonts w:ascii="GHEA Grapalat" w:hAnsi="GHEA Grapalat"/>
          <w:szCs w:val="24"/>
        </w:rPr>
        <w:t>։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 xml:space="preserve">2008 թվականի մայիսի 4-ին, հուլիսի 2-ին, սեպտեմբերի 3-ին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հոկտեմբերի 30-ին Վարչական շրջանի դատարանը դիմումատուի կալանավորման ժամկետը երկարաձգել է նույն հիմքերով՝ յուրաքանչյուր դեպքում երկու ամսով։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>Վերաքննիչ քրեական դատարանը մերժել է այս որոշումների դեմ դիմումատուի վերաքննիչ բողոքները։</w:t>
      </w:r>
    </w:p>
    <w:p w:rsidR="007440C3" w:rsidRP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val="hy-AM" w:bidi="hy-AM"/>
        </w:rPr>
      </w:pPr>
      <w:r w:rsidRPr="007440C3">
        <w:rPr>
          <w:rFonts w:ascii="GHEA Grapalat" w:hAnsi="GHEA Grapalat"/>
          <w:szCs w:val="24"/>
          <w:lang w:val="hy-AM" w:bidi="hy-AM"/>
        </w:rPr>
        <w:t>2008 թվականի դեկտեմբերի 10-ին գործը քննող դատարանը գործը դատական քննության նշանակելու վերաբերյալ որոշում է կայացրել՝ նույն որոշմամբ հաստատելով, որ դիմումատուի կալանքը պետք է թողնել անփոփոխ:</w:t>
      </w:r>
    </w:p>
    <w:p w:rsidR="007440C3" w:rsidRDefault="007440C3" w:rsidP="007440C3">
      <w:pPr>
        <w:spacing w:after="0" w:line="360" w:lineRule="auto"/>
        <w:ind w:firstLine="567"/>
        <w:contextualSpacing/>
        <w:jc w:val="both"/>
        <w:rPr>
          <w:rFonts w:ascii="GHEA Grapalat" w:hAnsi="GHEA Grapalat"/>
          <w:szCs w:val="24"/>
          <w:lang w:bidi="hy-AM"/>
        </w:rPr>
      </w:pPr>
      <w:r w:rsidRPr="007440C3">
        <w:rPr>
          <w:rFonts w:ascii="GHEA Grapalat" w:hAnsi="GHEA Grapalat"/>
          <w:szCs w:val="24"/>
          <w:lang w:val="hy-AM" w:bidi="hy-AM"/>
        </w:rPr>
        <w:t xml:space="preserve">2009 թվականի հունիսի 22-ին Վարչական շրջանի դատարանը դիմումատուին մեղավոր է ճանաչել </w:t>
      </w:r>
      <w:r w:rsidR="005038BE">
        <w:rPr>
          <w:rFonts w:ascii="GHEA Grapalat" w:hAnsi="GHEA Grapalat"/>
          <w:szCs w:val="24"/>
          <w:lang w:bidi="hy-AM"/>
        </w:rPr>
        <w:t xml:space="preserve">ՀՀ </w:t>
      </w:r>
      <w:proofErr w:type="spellStart"/>
      <w:r w:rsidR="005038BE">
        <w:rPr>
          <w:rFonts w:ascii="GHEA Grapalat" w:hAnsi="GHEA Grapalat"/>
          <w:szCs w:val="24"/>
          <w:lang w:bidi="hy-AM"/>
        </w:rPr>
        <w:t>քրեական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օրենսգրքի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301-րդ </w:t>
      </w:r>
      <w:proofErr w:type="spellStart"/>
      <w:r w:rsidR="005038BE">
        <w:rPr>
          <w:rFonts w:ascii="GHEA Grapalat" w:hAnsi="GHEA Grapalat"/>
          <w:szCs w:val="24"/>
          <w:lang w:bidi="hy-AM"/>
        </w:rPr>
        <w:t>հոդվածով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նախատեսված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հանցանքը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կատարելու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մեջ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Pr="007440C3">
        <w:rPr>
          <w:rFonts w:ascii="GHEA Grapalat" w:hAnsi="GHEA Grapalat"/>
          <w:szCs w:val="24"/>
          <w:lang w:val="hy-AM" w:bidi="hy-AM"/>
        </w:rPr>
        <w:t xml:space="preserve"> </w:t>
      </w:r>
      <w:proofErr w:type="spellStart"/>
      <w:r w:rsidR="005D7745">
        <w:rPr>
          <w:rFonts w:ascii="GHEA Grapalat" w:hAnsi="GHEA Grapalat"/>
          <w:szCs w:val="24"/>
          <w:lang w:bidi="hy-AM"/>
        </w:rPr>
        <w:t>դատապարտել</w:t>
      </w:r>
      <w:proofErr w:type="spellEnd"/>
      <w:r w:rsidR="005D7745">
        <w:rPr>
          <w:rFonts w:ascii="GHEA Grapalat" w:hAnsi="GHEA Grapalat"/>
          <w:szCs w:val="24"/>
          <w:lang w:bidi="hy-AM"/>
        </w:rPr>
        <w:t xml:space="preserve"> է </w:t>
      </w:r>
      <w:r w:rsidRPr="007440C3">
        <w:rPr>
          <w:rFonts w:ascii="GHEA Grapalat" w:hAnsi="GHEA Grapalat"/>
          <w:szCs w:val="24"/>
          <w:lang w:val="hy-AM" w:bidi="hy-AM"/>
        </w:rPr>
        <w:t xml:space="preserve">երկու տարի ժամկետով </w:t>
      </w:r>
      <w:proofErr w:type="spellStart"/>
      <w:r w:rsidR="005D7745">
        <w:rPr>
          <w:rFonts w:ascii="GHEA Grapalat" w:hAnsi="GHEA Grapalat"/>
          <w:szCs w:val="24"/>
          <w:lang w:bidi="hy-AM"/>
        </w:rPr>
        <w:t>ազատազրկման</w:t>
      </w:r>
      <w:proofErr w:type="spellEnd"/>
      <w:r w:rsidRPr="007440C3">
        <w:rPr>
          <w:rFonts w:ascii="GHEA Grapalat" w:hAnsi="GHEA Grapalat"/>
          <w:szCs w:val="24"/>
          <w:lang w:val="hy-AM" w:bidi="hy-AM"/>
        </w:rPr>
        <w:t>։ Այնուհետ</w:t>
      </w:r>
      <w:r w:rsidR="002A6082">
        <w:rPr>
          <w:rFonts w:ascii="GHEA Grapalat" w:hAnsi="GHEA Grapalat"/>
          <w:szCs w:val="24"/>
          <w:lang w:val="hy-AM" w:bidi="hy-AM"/>
        </w:rPr>
        <w:t>և</w:t>
      </w:r>
      <w:r w:rsidR="00657401">
        <w:rPr>
          <w:rFonts w:ascii="GHEA Grapalat" w:hAnsi="GHEA Grapalat"/>
          <w:szCs w:val="24"/>
          <w:lang w:bidi="hy-AM"/>
        </w:rPr>
        <w:t xml:space="preserve">, </w:t>
      </w:r>
      <w:proofErr w:type="spellStart"/>
      <w:r w:rsidR="005038BE">
        <w:rPr>
          <w:rFonts w:ascii="GHEA Grapalat" w:hAnsi="GHEA Grapalat"/>
          <w:szCs w:val="24"/>
          <w:lang w:bidi="hy-AM"/>
        </w:rPr>
        <w:t>հիմք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proofErr w:type="spellStart"/>
      <w:r w:rsidR="005038BE">
        <w:rPr>
          <w:rFonts w:ascii="GHEA Grapalat" w:hAnsi="GHEA Grapalat"/>
          <w:szCs w:val="24"/>
          <w:lang w:bidi="hy-AM"/>
        </w:rPr>
        <w:t>ընդունելով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</w:t>
      </w:r>
      <w:r w:rsidR="005038BE" w:rsidRPr="007440C3">
        <w:rPr>
          <w:rFonts w:ascii="GHEA Grapalat" w:hAnsi="GHEA Grapalat"/>
          <w:szCs w:val="24"/>
          <w:lang w:val="hy-AM" w:bidi="hy-AM"/>
        </w:rPr>
        <w:t>Հայաստանի խորհրդարանի կողմից 2009 թվականի հունիսի</w:t>
      </w:r>
      <w:r w:rsidR="005038BE">
        <w:rPr>
          <w:rFonts w:ascii="GHEA Grapalat" w:hAnsi="GHEA Grapalat"/>
          <w:szCs w:val="24"/>
          <w:lang w:bidi="hy-AM"/>
        </w:rPr>
        <w:t xml:space="preserve"> 19-ի</w:t>
      </w:r>
      <w:r w:rsidR="005038BE" w:rsidRPr="007440C3">
        <w:rPr>
          <w:rFonts w:ascii="GHEA Grapalat" w:hAnsi="GHEA Grapalat"/>
          <w:szCs w:val="24"/>
          <w:lang w:val="hy-AM" w:bidi="hy-AM"/>
        </w:rPr>
        <w:t>ն հայտարարված ընդհանուր համաներ</w:t>
      </w:r>
      <w:proofErr w:type="spellStart"/>
      <w:r w:rsidR="005038BE">
        <w:rPr>
          <w:rFonts w:ascii="GHEA Grapalat" w:hAnsi="GHEA Grapalat"/>
          <w:szCs w:val="24"/>
          <w:lang w:bidi="hy-AM"/>
        </w:rPr>
        <w:t>ումը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՝ </w:t>
      </w:r>
      <w:proofErr w:type="spellStart"/>
      <w:r w:rsidR="005038BE">
        <w:rPr>
          <w:rFonts w:ascii="GHEA Grapalat" w:hAnsi="GHEA Grapalat"/>
          <w:szCs w:val="24"/>
          <w:lang w:bidi="hy-AM"/>
        </w:rPr>
        <w:t>որոշել</w:t>
      </w:r>
      <w:proofErr w:type="spellEnd"/>
      <w:r w:rsidR="005038BE">
        <w:rPr>
          <w:rFonts w:ascii="GHEA Grapalat" w:hAnsi="GHEA Grapalat"/>
          <w:szCs w:val="24"/>
          <w:lang w:bidi="hy-AM"/>
        </w:rPr>
        <w:t xml:space="preserve"> է </w:t>
      </w:r>
      <w:proofErr w:type="spellStart"/>
      <w:r w:rsidR="005038BE">
        <w:rPr>
          <w:rFonts w:ascii="GHEA Grapalat" w:hAnsi="GHEA Grapalat"/>
          <w:szCs w:val="24"/>
          <w:lang w:bidi="hy-AM"/>
        </w:rPr>
        <w:t>դիմումատուին</w:t>
      </w:r>
      <w:proofErr w:type="spellEnd"/>
      <w:r w:rsidR="005038BE" w:rsidRPr="005038BE">
        <w:rPr>
          <w:rFonts w:ascii="GHEA Grapalat" w:hAnsi="GHEA Grapalat"/>
          <w:szCs w:val="24"/>
          <w:lang w:val="hy-AM" w:bidi="hy-AM"/>
        </w:rPr>
        <w:t xml:space="preserve"> </w:t>
      </w:r>
      <w:r w:rsidR="005038BE" w:rsidRPr="007440C3">
        <w:rPr>
          <w:rFonts w:ascii="GHEA Grapalat" w:hAnsi="GHEA Grapalat"/>
          <w:szCs w:val="24"/>
          <w:lang w:val="hy-AM" w:bidi="hy-AM"/>
        </w:rPr>
        <w:t>ազատել</w:t>
      </w:r>
      <w:r w:rsidR="005038BE">
        <w:rPr>
          <w:rFonts w:ascii="GHEA Grapalat" w:hAnsi="GHEA Grapalat"/>
          <w:szCs w:val="24"/>
          <w:lang w:bidi="hy-AM"/>
        </w:rPr>
        <w:t xml:space="preserve"> </w:t>
      </w:r>
      <w:r w:rsidR="005038BE" w:rsidRPr="007440C3">
        <w:rPr>
          <w:rFonts w:ascii="GHEA Grapalat" w:hAnsi="GHEA Grapalat"/>
          <w:szCs w:val="24"/>
          <w:lang w:val="hy-AM" w:bidi="hy-AM"/>
        </w:rPr>
        <w:t>պատիժը կրելուց։</w:t>
      </w:r>
    </w:p>
    <w:p w:rsidR="00BF3338" w:rsidRPr="002A6082" w:rsidRDefault="00BF3338" w:rsidP="002A6082">
      <w:pPr>
        <w:spacing w:after="0" w:line="360" w:lineRule="auto"/>
        <w:contextualSpacing/>
        <w:jc w:val="both"/>
        <w:rPr>
          <w:rFonts w:ascii="GHEA Grapalat" w:hAnsi="GHEA Grapalat"/>
          <w:szCs w:val="24"/>
        </w:rPr>
      </w:pPr>
    </w:p>
    <w:p w:rsidR="00BF3338" w:rsidRDefault="00BF3338" w:rsidP="00BF3338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Կոնվենցիայի </w:t>
      </w:r>
      <w:r>
        <w:rPr>
          <w:rFonts w:ascii="GHEA Grapalat" w:hAnsi="GHEA Grapalat"/>
          <w:b/>
          <w:szCs w:val="24"/>
          <w:lang w:val="hy-AM"/>
        </w:rPr>
        <w:t>5-</w:t>
      </w:r>
      <w:r>
        <w:rPr>
          <w:rFonts w:ascii="GHEA Grapalat" w:hAnsi="GHEA Grapalat" w:cs="Sylfaen"/>
          <w:b/>
          <w:szCs w:val="24"/>
          <w:lang w:val="hy-AM"/>
        </w:rPr>
        <w:t>րդ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հոդվածի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2A6082">
        <w:rPr>
          <w:rFonts w:ascii="GHEA Grapalat" w:hAnsi="GHEA Grapalat"/>
          <w:b/>
          <w:szCs w:val="24"/>
        </w:rPr>
        <w:t>3</w:t>
      </w:r>
      <w:r>
        <w:rPr>
          <w:rFonts w:ascii="GHEA Grapalat" w:hAnsi="GHEA Grapalat"/>
          <w:b/>
          <w:szCs w:val="24"/>
          <w:lang w:val="hy-AM"/>
        </w:rPr>
        <w:t>-</w:t>
      </w:r>
      <w:r>
        <w:rPr>
          <w:rFonts w:ascii="GHEA Grapalat" w:hAnsi="GHEA Grapalat" w:cs="Sylfaen"/>
          <w:b/>
          <w:szCs w:val="24"/>
          <w:lang w:val="hy-AM"/>
        </w:rPr>
        <w:t>րդ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կետի</w:t>
      </w:r>
      <w:r w:rsidR="002A6082">
        <w:rPr>
          <w:rFonts w:ascii="GHEA Grapalat" w:hAnsi="GHEA Grapalat" w:cs="Sylfaen"/>
          <w:b/>
          <w:szCs w:val="24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խախտում</w:t>
      </w:r>
      <w:r>
        <w:rPr>
          <w:rFonts w:ascii="GHEA Grapalat" w:hAnsi="GHEA Grapalat"/>
          <w:b/>
          <w:lang w:val="hy-AM"/>
        </w:rPr>
        <w:t xml:space="preserve">: </w:t>
      </w:r>
    </w:p>
    <w:p w:rsidR="002A6082" w:rsidRDefault="002A6082" w:rsidP="002A6082">
      <w:pPr>
        <w:pStyle w:val="ECHRPara"/>
        <w:tabs>
          <w:tab w:val="left" w:pos="1134"/>
        </w:tabs>
        <w:spacing w:line="360" w:lineRule="auto"/>
        <w:ind w:firstLine="567"/>
        <w:rPr>
          <w:rFonts w:ascii="GHEA Grapalat" w:hAnsi="GHEA Grapalat"/>
          <w:bCs/>
          <w:sz w:val="22"/>
          <w:lang w:val="en-US"/>
        </w:rPr>
      </w:pPr>
      <w:r w:rsidRPr="002A6082">
        <w:rPr>
          <w:rFonts w:ascii="GHEA Grapalat" w:hAnsi="GHEA Grapalat"/>
          <w:sz w:val="22"/>
        </w:rPr>
        <w:lastRenderedPageBreak/>
        <w:t xml:space="preserve">Դիմումատուն </w:t>
      </w:r>
      <w:proofErr w:type="spellStart"/>
      <w:r w:rsidR="00444C75">
        <w:rPr>
          <w:rFonts w:ascii="GHEA Grapalat" w:hAnsi="GHEA Grapalat"/>
          <w:sz w:val="22"/>
          <w:lang w:val="en-US"/>
        </w:rPr>
        <w:t>պնդել</w:t>
      </w:r>
      <w:proofErr w:type="spellEnd"/>
      <w:r w:rsidRPr="002A6082">
        <w:rPr>
          <w:rFonts w:ascii="GHEA Grapalat" w:hAnsi="GHEA Grapalat"/>
          <w:sz w:val="22"/>
        </w:rPr>
        <w:t xml:space="preserve"> է, որ դատարաններն իր կալանավորման համար չեն ներկայացրել հիմնավոր </w:t>
      </w:r>
      <w:r>
        <w:rPr>
          <w:rFonts w:ascii="GHEA Grapalat" w:hAnsi="GHEA Grapalat"/>
          <w:sz w:val="22"/>
        </w:rPr>
        <w:t>և</w:t>
      </w:r>
      <w:r w:rsidRPr="002A6082">
        <w:rPr>
          <w:rFonts w:ascii="GHEA Grapalat" w:hAnsi="GHEA Grapalat"/>
          <w:sz w:val="22"/>
        </w:rPr>
        <w:t xml:space="preserve"> բավարար պատճառներ:</w:t>
      </w:r>
    </w:p>
    <w:p w:rsidR="002A6082" w:rsidRPr="002A6082" w:rsidRDefault="002A6082" w:rsidP="002A6082">
      <w:pPr>
        <w:pStyle w:val="ECHRPara"/>
        <w:tabs>
          <w:tab w:val="left" w:pos="1134"/>
        </w:tabs>
        <w:spacing w:line="360" w:lineRule="auto"/>
        <w:ind w:firstLine="567"/>
        <w:rPr>
          <w:rFonts w:ascii="GHEA Grapalat" w:hAnsi="GHEA Grapalat"/>
          <w:bCs/>
          <w:sz w:val="22"/>
        </w:rPr>
      </w:pPr>
      <w:proofErr w:type="spellStart"/>
      <w:r>
        <w:rPr>
          <w:rFonts w:ascii="GHEA Grapalat" w:hAnsi="GHEA Grapalat"/>
          <w:sz w:val="22"/>
          <w:lang w:val="en-US"/>
        </w:rPr>
        <w:t>Եվրոպական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դատարանը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նշել</w:t>
      </w:r>
      <w:proofErr w:type="spellEnd"/>
      <w:r>
        <w:rPr>
          <w:rFonts w:ascii="GHEA Grapalat" w:hAnsi="GHEA Grapalat"/>
          <w:sz w:val="22"/>
          <w:lang w:val="en-US"/>
        </w:rPr>
        <w:t xml:space="preserve"> է, </w:t>
      </w:r>
      <w:proofErr w:type="spellStart"/>
      <w:r>
        <w:rPr>
          <w:rFonts w:ascii="GHEA Grapalat" w:hAnsi="GHEA Grapalat"/>
          <w:sz w:val="22"/>
          <w:lang w:val="en-US"/>
        </w:rPr>
        <w:t>որ</w:t>
      </w:r>
      <w:proofErr w:type="spellEnd"/>
      <w:r>
        <w:rPr>
          <w:rFonts w:ascii="GHEA Grapalat" w:hAnsi="GHEA Grapalat"/>
          <w:sz w:val="22"/>
          <w:lang w:val="en-US"/>
        </w:rPr>
        <w:t xml:space="preserve"> ս</w:t>
      </w:r>
      <w:r w:rsidRPr="002A6082">
        <w:rPr>
          <w:rFonts w:ascii="GHEA Grapalat" w:hAnsi="GHEA Grapalat"/>
          <w:sz w:val="22"/>
        </w:rPr>
        <w:t xml:space="preserve">ույն գործով ներպետական դատարանները հիմնավորել են դիմումատուի շարունակական կալանավորումը՝ միայն մեջբերելով ներպետական օրենսդրության համապատասխան իրավական սկզբունքները </w:t>
      </w:r>
      <w:r>
        <w:rPr>
          <w:rFonts w:ascii="GHEA Grapalat" w:hAnsi="GHEA Grapalat" w:cs="Sylfaen"/>
          <w:sz w:val="22"/>
        </w:rPr>
        <w:t>և</w:t>
      </w:r>
      <w:r w:rsidRPr="002A6082">
        <w:rPr>
          <w:rFonts w:ascii="GHEA Grapalat" w:hAnsi="GHEA Grapalat"/>
          <w:sz w:val="22"/>
        </w:rPr>
        <w:t xml:space="preserve"> անդրադառնալով հանցագործության ծանրությանը՝ առանց ներկայացնելու նրա գործի հատուկ փաստերը կամ ներկայացնելու մանրամասներ առ այն, թե ինչպես են հիմնավորվում թաքնվելու, արդարադատության իրականացումը խոչընդոտելու կամ կրկին հանցագործություն կատարելու ռիսկերը։ Ուստի </w:t>
      </w:r>
      <w:proofErr w:type="spellStart"/>
      <w:r w:rsidR="00444C75">
        <w:rPr>
          <w:rFonts w:ascii="GHEA Grapalat" w:hAnsi="GHEA Grapalat"/>
          <w:sz w:val="22"/>
          <w:lang w:val="en-US"/>
        </w:rPr>
        <w:t>Եվրոպական</w:t>
      </w:r>
      <w:proofErr w:type="spellEnd"/>
      <w:r w:rsidR="00444C75">
        <w:rPr>
          <w:rFonts w:ascii="GHEA Grapalat" w:hAnsi="GHEA Grapalat"/>
          <w:sz w:val="22"/>
          <w:lang w:val="en-US"/>
        </w:rPr>
        <w:t xml:space="preserve"> դ</w:t>
      </w:r>
      <w:r w:rsidRPr="002A6082">
        <w:rPr>
          <w:rFonts w:ascii="GHEA Grapalat" w:hAnsi="GHEA Grapalat"/>
          <w:sz w:val="22"/>
        </w:rPr>
        <w:t>ատարանը եզրակաց</w:t>
      </w:r>
      <w:proofErr w:type="spellStart"/>
      <w:r w:rsidR="00444C75">
        <w:rPr>
          <w:rFonts w:ascii="GHEA Grapalat" w:hAnsi="GHEA Grapalat"/>
          <w:sz w:val="22"/>
          <w:lang w:val="en-US"/>
        </w:rPr>
        <w:t>րել</w:t>
      </w:r>
      <w:proofErr w:type="spellEnd"/>
      <w:r w:rsidRPr="002A6082">
        <w:rPr>
          <w:rFonts w:ascii="GHEA Grapalat" w:hAnsi="GHEA Grapalat"/>
          <w:sz w:val="22"/>
        </w:rPr>
        <w:t xml:space="preserve"> է, որ ներպետական դատարանները չեն ներկայացրել հիմնավոր </w:t>
      </w:r>
      <w:r>
        <w:rPr>
          <w:rFonts w:ascii="GHEA Grapalat" w:hAnsi="GHEA Grapalat" w:cs="Sylfaen"/>
          <w:sz w:val="22"/>
        </w:rPr>
        <w:t>և</w:t>
      </w:r>
      <w:r w:rsidRPr="002A6082">
        <w:rPr>
          <w:rFonts w:ascii="GHEA Grapalat" w:hAnsi="GHEA Grapalat"/>
          <w:sz w:val="22"/>
        </w:rPr>
        <w:t xml:space="preserve"> բավարար պատճառներ դիմումատուին կալանավորելու համար:</w:t>
      </w:r>
    </w:p>
    <w:p w:rsidR="002A6082" w:rsidRPr="002A6082" w:rsidRDefault="002A6082" w:rsidP="002A6082">
      <w:pPr>
        <w:pStyle w:val="ECHRPara"/>
        <w:tabs>
          <w:tab w:val="left" w:pos="1134"/>
        </w:tabs>
        <w:spacing w:after="160" w:line="360" w:lineRule="auto"/>
        <w:ind w:firstLine="567"/>
        <w:rPr>
          <w:rFonts w:ascii="GHEA Grapalat" w:hAnsi="GHEA Grapalat"/>
          <w:sz w:val="22"/>
        </w:rPr>
      </w:pPr>
      <w:r w:rsidRPr="002A6082">
        <w:rPr>
          <w:rFonts w:ascii="GHEA Grapalat" w:hAnsi="GHEA Grapalat"/>
          <w:sz w:val="22"/>
        </w:rPr>
        <w:t>Հետ</w:t>
      </w:r>
      <w:r>
        <w:rPr>
          <w:rFonts w:ascii="GHEA Grapalat" w:hAnsi="GHEA Grapalat" w:cs="Sylfaen"/>
          <w:sz w:val="22"/>
        </w:rPr>
        <w:t>և</w:t>
      </w:r>
      <w:r w:rsidRPr="002A6082">
        <w:rPr>
          <w:rFonts w:ascii="GHEA Grapalat" w:hAnsi="GHEA Grapalat"/>
          <w:sz w:val="22"/>
        </w:rPr>
        <w:t>աբար տեղի է ունեցել Կոնվենցիայի 5-րդ հոդվածի 3-րդ կետի խախտում։</w:t>
      </w:r>
    </w:p>
    <w:p w:rsidR="00BF3338" w:rsidRDefault="00BF3338" w:rsidP="00BF3338">
      <w:pPr>
        <w:pStyle w:val="ECHRPara"/>
        <w:widowControl w:val="0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</w:rPr>
      </w:pPr>
    </w:p>
    <w:p w:rsidR="00BF3338" w:rsidRDefault="00BF3338" w:rsidP="00BF3338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Արդարացի փոխհատուցում</w:t>
      </w:r>
    </w:p>
    <w:p w:rsidR="00BF3338" w:rsidRDefault="00BF3338" w:rsidP="00BF3338">
      <w:pPr>
        <w:spacing w:after="0" w:line="360" w:lineRule="auto"/>
        <w:ind w:firstLine="567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Գործի քննության արդյունքում Եվրոպական դատարանը վճռել է դիմումատուին շնորհել </w:t>
      </w:r>
      <w:r w:rsidR="002A6082">
        <w:rPr>
          <w:rFonts w:ascii="GHEA Grapalat" w:hAnsi="GHEA Grapalat"/>
          <w:b/>
        </w:rPr>
        <w:t>3,000</w:t>
      </w:r>
      <w:r>
        <w:rPr>
          <w:rFonts w:ascii="GHEA Grapalat" w:hAnsi="GHEA Grapalat"/>
          <w:b/>
          <w:lang w:val="hy-AM"/>
        </w:rPr>
        <w:t xml:space="preserve"> եվրո ոչ նյութական վնասի դիմաց:</w:t>
      </w:r>
    </w:p>
    <w:p w:rsidR="00553072" w:rsidRDefault="00553072"/>
    <w:sectPr w:rsidR="00553072" w:rsidSect="00553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3338"/>
    <w:rsid w:val="002A6082"/>
    <w:rsid w:val="00444C75"/>
    <w:rsid w:val="005038BE"/>
    <w:rsid w:val="00553072"/>
    <w:rsid w:val="005D7745"/>
    <w:rsid w:val="00657401"/>
    <w:rsid w:val="007440C3"/>
    <w:rsid w:val="00A233D0"/>
    <w:rsid w:val="00BF3338"/>
    <w:rsid w:val="00C915EC"/>
    <w:rsid w:val="00DF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"/>
    <w:basedOn w:val="Normal"/>
    <w:link w:val="JuParaChar"/>
    <w:qFormat/>
    <w:rsid w:val="00BF3338"/>
    <w:pPr>
      <w:spacing w:after="0" w:line="240" w:lineRule="auto"/>
      <w:ind w:firstLine="284"/>
      <w:jc w:val="both"/>
    </w:pPr>
    <w:rPr>
      <w:rFonts w:eastAsia="Times New Roman"/>
      <w:sz w:val="24"/>
      <w:lang w:val="hy-AM" w:eastAsia="hy-AM" w:bidi="hy-AM"/>
    </w:rPr>
  </w:style>
  <w:style w:type="character" w:customStyle="1" w:styleId="JuParaChar">
    <w:name w:val="Ju_Para Char"/>
    <w:basedOn w:val="DefaultParagraphFont"/>
    <w:link w:val="ECHRPara"/>
    <w:rsid w:val="002A6082"/>
    <w:rPr>
      <w:rFonts w:ascii="Calibri" w:eastAsia="Times New Roman" w:hAnsi="Calibri" w:cs="Times New Roman"/>
      <w:sz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https://mul.gov.am/tasks/docs/attachment.php?id=487488&amp;fn=teghekanq.docx&amp;out=1&amp;token=1eacc1196d5c9b045d46</cp:keywords>
</cp:coreProperties>
</file>