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AA" w:rsidRPr="008C4607" w:rsidRDefault="004557AA" w:rsidP="002747A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C4607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:rsidR="004557AA" w:rsidRPr="006B4BA5" w:rsidRDefault="00947194" w:rsidP="00CA3E9A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af-ZA"/>
        </w:rPr>
      </w:pPr>
      <w:r w:rsidRPr="00947194">
        <w:rPr>
          <w:rFonts w:ascii="GHEA Grapalat" w:hAnsi="GHEA Grapalat"/>
          <w:sz w:val="24"/>
          <w:szCs w:val="24"/>
          <w:lang w:val="af-ZA"/>
        </w:rPr>
        <w:tab/>
      </w:r>
      <w:r w:rsidR="000736F5">
        <w:rPr>
          <w:rFonts w:ascii="GHEA Grapalat" w:hAnsi="GHEA Grapalat"/>
          <w:sz w:val="24"/>
          <w:szCs w:val="24"/>
          <w:lang w:val="af-ZA"/>
        </w:rPr>
        <w:t>«</w:t>
      </w:r>
      <w:r w:rsidR="008C4607" w:rsidRPr="008C46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C4607" w:rsidRPr="008D413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 20</w:t>
      </w:r>
      <w:r w:rsidR="008C46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06</w:t>
      </w:r>
      <w:r w:rsidR="008C4607" w:rsidRPr="008D413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  <w:r w:rsidR="008C46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ՆՈՅԵՄԲԵՐԻ 16-Ի </w:t>
      </w:r>
      <w:r w:rsidR="008C4607" w:rsidRPr="008D413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N </w:t>
      </w:r>
      <w:r w:rsidR="008C46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1708</w:t>
      </w:r>
      <w:r w:rsidR="008C4607" w:rsidRPr="008D413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8C46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="008C4607" w:rsidRPr="008D413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ԿԱՏԱՐԵԼՈՒ ՄԱՍԻՆ</w:t>
      </w:r>
      <w:r w:rsidR="00CA3E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ԿԱՌԱՎԱՐՈՒԹՅԱՆ ՈՐՈՇՄԱՆ ՆԱԽԱԳԾԻ ՎԵՐԱԲԵՐՅԱԼ ՍՏԱՑՎԱԾ ԴԻՏՈՂՈՒԹՅՈՒՆՆԵՐԻ ԵՎ ԱՌԱՋԱՐԿՈՒԹՅՈՒՆՆԵՐԻ</w:t>
      </w:r>
    </w:p>
    <w:p w:rsidR="004557AA" w:rsidRPr="006B4BA5" w:rsidRDefault="004557AA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8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77"/>
        <w:gridCol w:w="5490"/>
        <w:gridCol w:w="5310"/>
        <w:gridCol w:w="2340"/>
      </w:tblGrid>
      <w:tr w:rsidR="004557AA" w:rsidRPr="001860C5" w:rsidTr="00E24001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08448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0736F5"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4557AA" w:rsidRPr="001860C5" w:rsidRDefault="000736F5" w:rsidP="0008448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4557AA" w:rsidRPr="001860C5" w:rsidRDefault="000736F5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954E91"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</w:rPr>
              <w:t>Կատարված</w:t>
            </w:r>
            <w:r w:rsidR="00B050B8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/>
                <w:sz w:val="22"/>
                <w:szCs w:val="22"/>
              </w:rPr>
              <w:t>փոփոխությունը</w:t>
            </w:r>
          </w:p>
        </w:tc>
      </w:tr>
      <w:tr w:rsidR="004557AA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7870BB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08448D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1․</w:t>
            </w:r>
            <w:r w:rsidR="007870BB" w:rsidRPr="00712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870BB" w:rsidRPr="007122A8">
              <w:rPr>
                <w:rFonts w:ascii="GHEA Grapalat" w:hAnsi="GHEA Grapalat"/>
                <w:sz w:val="22"/>
                <w:szCs w:val="22"/>
              </w:rPr>
              <w:t>ՀՀ էներգետիկ ենթակառուցվածքների և բնական պաշարների նախարարությ</w:t>
            </w:r>
            <w:r w:rsidR="007870BB" w:rsidRPr="007122A8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</w:p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13.11.2018թ.</w:t>
            </w:r>
          </w:p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01ԳԲ/19.1ԲԳ/6710-18 գրություն</w:t>
            </w:r>
          </w:p>
          <w:p w:rsidR="007870BB" w:rsidRPr="007122A8" w:rsidRDefault="007870BB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7870BB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  <w:p w:rsidR="007870BB" w:rsidRPr="007122A8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7870BB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7122A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22A8">
              <w:rPr>
                <w:rFonts w:ascii="GHEA Grapalat" w:hAnsi="GHEA Grapalat"/>
                <w:sz w:val="22"/>
                <w:szCs w:val="22"/>
              </w:rPr>
              <w:t>ՀՀ գյուղատնտեսության նախարարությ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</w:p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16.11.2018թ.</w:t>
            </w:r>
          </w:p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ԳԳ/ԻՓ-2/8730-18 գրություն</w:t>
            </w:r>
          </w:p>
          <w:p w:rsidR="007870BB" w:rsidRPr="007122A8" w:rsidRDefault="007870BB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70BB" w:rsidRPr="007122A8" w:rsidRDefault="007870BB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7870B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1. 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ախագծի 1-ին կետով շարադրվող 1-ին ենթակետում «որոշումը շարադրել հետևյալ խմբագրությամբ.» բառերը փոխարինել «որոշման 1-ին կետը շարադրել հետևյալ խմբագրությամբ.» բառերով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:rsidR="007870BB" w:rsidRPr="007122A8" w:rsidRDefault="007870BB" w:rsidP="007870BB">
            <w:pPr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2. 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ախագծի 1-ին կետի 1-ին ենթակետով նոր խմբագրությամբ շարադրվող 2-րդ և 3-րդ կետերը հանել՝ հաշվի առնելով, որ դրանք 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ՀՀ կառավարության 2006 թվականի նոյեմբերի 16-ի N 1708-Ն որոշման  2-րդ և 3-րդ կետերի կրկնությունն են, ինչպես նաև սույն առաջարկության 1-ին կետի բովանդակությունը</w:t>
            </w:r>
            <w:r w:rsidRPr="007122A8">
              <w:rPr>
                <w:rFonts w:ascii="GHEA Grapalat" w:hAnsi="GHEA Grapalat" w:cs="Arial Armenian"/>
                <w:sz w:val="22"/>
                <w:szCs w:val="22"/>
              </w:rPr>
              <w:t>:</w:t>
            </w:r>
          </w:p>
          <w:p w:rsidR="007870BB" w:rsidRPr="007122A8" w:rsidRDefault="007870BB" w:rsidP="007870BB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3. </w:t>
            </w:r>
            <w:r w:rsidRPr="007122A8">
              <w:rPr>
                <w:rFonts w:ascii="GHEA Grapalat" w:hAnsi="GHEA Grapalat" w:cs="Arial Armenian"/>
                <w:sz w:val="22"/>
                <w:szCs w:val="22"/>
              </w:rPr>
              <w:t>Ն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ախագծի N 2 հավելվածի վերնագիրը «հայտի» բառից հետո լրացնել «մշակման» բառով` 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lastRenderedPageBreak/>
              <w:t xml:space="preserve">համապատասխանեցնելով որոշման նախագծում նշված հավելվածի վերնագրին,  </w:t>
            </w:r>
          </w:p>
          <w:p w:rsidR="007870BB" w:rsidRDefault="007870BB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4. </w:t>
            </w:r>
            <w:r w:rsidRPr="007122A8">
              <w:rPr>
                <w:rFonts w:ascii="GHEA Grapalat" w:hAnsi="GHEA Grapalat" w:cs="Arial Armenian"/>
                <w:sz w:val="22"/>
                <w:szCs w:val="22"/>
              </w:rPr>
              <w:t>Ն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ախագծի N 2 հավելվածի 9-րդ կետում քննարկել հանձնաժողովի անդամների կողմից բալային համակարգով գնահատելու նպատակահարմարության հարցը, հաշվի առնելով, որ 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դրական կամ բացասական գնահատելու պայմաններում, մինչև հանձնաժողովի նիստում քննարկվելը (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>նախագծի N 2 հավելվածի 10-րդ և 11-րդ կետեր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) նախանշված կլինի հանձնաժողովի եզրակացությունը</w:t>
            </w:r>
            <w:r w:rsidRPr="007122A8">
              <w:rPr>
                <w:rFonts w:ascii="GHEA Grapalat" w:hAnsi="GHEA Grapalat"/>
                <w:sz w:val="22"/>
                <w:szCs w:val="22"/>
              </w:rPr>
              <w:t>: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448D" w:rsidRDefault="0008448D" w:rsidP="007870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870BB" w:rsidRPr="007122A8" w:rsidRDefault="007870BB" w:rsidP="001805B0">
            <w:pPr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8448D">
              <w:rPr>
                <w:rFonts w:ascii="GHEA Grapalat" w:hAnsi="GHEA Grapalat"/>
                <w:sz w:val="22"/>
                <w:szCs w:val="22"/>
                <w:lang w:val="hy-AM"/>
              </w:rPr>
              <w:t>5.</w:t>
            </w:r>
            <w:r w:rsidRP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8448D">
              <w:rPr>
                <w:rFonts w:ascii="GHEA Grapalat" w:hAnsi="GHEA Grapalat" w:cs="Arial Armenian"/>
                <w:sz w:val="22"/>
                <w:szCs w:val="22"/>
              </w:rPr>
              <w:t>Ք</w:t>
            </w:r>
            <w:r w:rsidRP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ննարկել նախագծի N 2 հավելվածի 14-րդ կետի աղյուսակում «Ոռոգման համակարգի անցկացում/ վերանորոգում» ծրագրի ոլորտի </w:t>
            </w:r>
            <w:r w:rsidRPr="0008448D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պետական բյուջեից տրամադրվող սուբվենցիայի չափաբաժինը «Ջրամատակարարման և ջրահեռացման համակարգի անցկացում/վերանորոգում»</w:t>
            </w:r>
            <w:r w:rsidRP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ծրագրի ոլորտի </w:t>
            </w:r>
            <w:r w:rsidRPr="0008448D"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սուբվենցիայի չափաբաժնի </w:t>
            </w:r>
            <w:r w:rsidRP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չափով սահմանելու հնարավորությունը, հաշվի առնելով գյուղական համայնքների զարգացման հարցում </w:t>
            </w:r>
            <w:r w:rsidRP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lastRenderedPageBreak/>
              <w:t>գործող ոռոգման համակարգերի ոչ պակաս կարևորությունը: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122A8" w:rsidP="007122A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 է։</w:t>
            </w:r>
          </w:p>
          <w:p w:rsidR="007122A8" w:rsidRPr="007122A8" w:rsidRDefault="007122A8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122A8" w:rsidRDefault="007122A8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122A8" w:rsidRDefault="007122A8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122A8" w:rsidRPr="007122A8" w:rsidRDefault="007122A8" w:rsidP="00BE24BD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Ընդունվել է:</w:t>
            </w: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7122A8" w:rsidRDefault="007122A8" w:rsidP="007122A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C35353" w:rsidRDefault="00C35353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Ընդունվել է:</w:t>
            </w:r>
          </w:p>
          <w:p w:rsidR="00C35353" w:rsidRDefault="00C35353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C35353" w:rsidRDefault="00C35353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8C4607" w:rsidRDefault="008C4607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C35353" w:rsidRDefault="00C3535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մասնակի</w:t>
            </w:r>
            <w:r w:rsidRPr="007122A8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E16996" w:rsidRDefault="0008448D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2018 թվականին իրականացված սուբվենցիայի ծրագրերի գնահատման արդյունքներով, Հանձնաժողովի նիստերում կայացած քննարկումների արդյունքներով՝ հանվել է բալային գնահատման համակարգը, քանի որ ըստ ոլորտային ուղղությունների ծրագրերը գնահատվում էին միայն նշված ոլորտի գերատեսչության կողմից և ընդհանուր գնահատակը դառնում էր անարդյունավետ։ Ընդուելով առաջարկությունը, նախագծում լրացվել է հանձնաժողովի կողմից  յուրաքանչյուր ծրագրային հայտի համար բացի դիրքորոշում տալուց նաև  եզրակացություն տալու վերաբերյալ դրույթը։ </w:t>
            </w:r>
            <w:r w:rsidR="00E169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08448D" w:rsidRDefault="0008448D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5353" w:rsidRPr="0008448D" w:rsidRDefault="0008448D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է։</w:t>
            </w:r>
          </w:p>
          <w:p w:rsidR="00C35353" w:rsidRDefault="00C35353" w:rsidP="00C35353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7122A8" w:rsidRPr="007122A8" w:rsidRDefault="007122A8" w:rsidP="007122A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առաջարկվող փոփոխությունները</w:t>
            </w: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առաջարկվող փոփոխությունները</w:t>
            </w: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առաջարկվող փոփոխությունները</w:t>
            </w:r>
          </w:p>
          <w:p w:rsidR="00C35353" w:rsidRDefault="00C35353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928A1" w:rsidRDefault="00C928A1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C35353" w:rsidRDefault="001805B0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Խմբագրման արդյունքում </w:t>
            </w:r>
            <w:r w:rsidR="0008448D" w:rsidRPr="007122A8">
              <w:rPr>
                <w:rFonts w:ascii="GHEA Grapalat" w:hAnsi="GHEA Grapalat" w:cs="Arial Armenian"/>
                <w:sz w:val="22"/>
                <w:szCs w:val="22"/>
              </w:rPr>
              <w:t>Ն</w:t>
            </w:r>
            <w:r w:rsidR="0008448D"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ախագծի N 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1</w:t>
            </w:r>
            <w:r w:rsidR="0008448D"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հավելվածի </w:t>
            </w:r>
            <w:r>
              <w:rPr>
                <w:rFonts w:ascii="GHEA Grapalat" w:hAnsi="GHEA Grapalat" w:cs="Arial Armenian"/>
                <w:sz w:val="22"/>
                <w:szCs w:val="22"/>
                <w:lang w:val="en-US"/>
              </w:rPr>
              <w:t>14</w:t>
            </w:r>
            <w:r w:rsidR="0008448D"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-րդ կետում </w:t>
            </w:r>
            <w:r w:rsidR="0008448D">
              <w:rPr>
                <w:rFonts w:ascii="GHEA Grapalat" w:hAnsi="GHEA Grapalat" w:cs="Arial Armenian"/>
                <w:sz w:val="22"/>
                <w:szCs w:val="22"/>
                <w:lang w:val="hy-AM"/>
              </w:rPr>
              <w:t>լրացվել է եզրակացություն տալու վերաբերյալ դրույթը։</w:t>
            </w: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Pr="00C35353" w:rsidRDefault="0008448D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Նախագծում կատարվել են 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lastRenderedPageBreak/>
              <w:t>առաջարկվող փոփոխությունները։</w:t>
            </w:r>
          </w:p>
        </w:tc>
      </w:tr>
      <w:tr w:rsidR="007870BB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lastRenderedPageBreak/>
              <w:t>ՀՀ տրանսպորտի, կապի և տեղեկատվական տեխնոլոգիաների նախարարության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19.11.2018թ.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01/14.1/18598-18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գրություն</w:t>
            </w:r>
          </w:p>
          <w:p w:rsidR="007870BB" w:rsidRPr="007122A8" w:rsidRDefault="007870BB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  <w:p w:rsidR="003F6990" w:rsidRPr="007122A8" w:rsidRDefault="003F6990" w:rsidP="003F6990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7870BB" w:rsidRPr="007122A8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Pr="007122A8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F6990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ՀՀ արտակարգ իրավիճակների նախարարությ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122A8">
              <w:rPr>
                <w:rFonts w:ascii="GHEA Grapalat" w:hAnsi="GHEA Grapalat"/>
                <w:sz w:val="22"/>
                <w:szCs w:val="22"/>
              </w:rPr>
              <w:t>ն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16.11.2018թ.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1/01.1/13783-18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7122A8">
              <w:rPr>
                <w:rFonts w:ascii="GHEA Grapalat" w:hAnsi="GHEA Grapalat"/>
                <w:sz w:val="22"/>
                <w:szCs w:val="22"/>
              </w:rPr>
              <w:t>րություն</w:t>
            </w:r>
          </w:p>
          <w:p w:rsidR="003F6990" w:rsidRPr="007122A8" w:rsidRDefault="003F6990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F6990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Ջրային կոմիտե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յի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21.11.2018թ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01/06/3895-18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գրություն</w:t>
            </w:r>
          </w:p>
          <w:p w:rsidR="003F6990" w:rsidRPr="007122A8" w:rsidRDefault="003F6990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7870BB" w:rsidRPr="001860C5" w:rsidTr="00E24001">
        <w:trPr>
          <w:trHeight w:val="32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Քաղաքաշինության կոմիտե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յի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21.11.2018թ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22A8">
              <w:rPr>
                <w:rFonts w:ascii="GHEA Grapalat" w:hAnsi="GHEA Grapalat"/>
                <w:sz w:val="22"/>
                <w:szCs w:val="22"/>
              </w:rPr>
              <w:t>N 01/14.1/5790-18 գրություն</w:t>
            </w:r>
          </w:p>
          <w:p w:rsidR="003F6990" w:rsidRPr="007122A8" w:rsidRDefault="003F6990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70BB" w:rsidRPr="007122A8" w:rsidRDefault="007870BB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90" w:rsidRPr="007122A8" w:rsidRDefault="003F6990" w:rsidP="003F6990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Ո</w:t>
            </w:r>
            <w:r w:rsidRPr="007122A8">
              <w:rPr>
                <w:rFonts w:ascii="GHEA Grapalat" w:hAnsi="GHEA Grapalat"/>
                <w:sz w:val="22"/>
                <w:szCs w:val="22"/>
              </w:rPr>
              <w:t>րոշման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7122A8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1.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22A8">
              <w:rPr>
                <w:rFonts w:ascii="GHEA Grapalat" w:hAnsi="GHEA Grapalat"/>
                <w:sz w:val="22"/>
                <w:szCs w:val="22"/>
              </w:rPr>
              <w:t>Սահման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ել»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 xml:space="preserve"> բառը փոխարինել 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>1.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Հաստատել»</w:t>
            </w:r>
            <w:r w:rsidRPr="007122A8">
              <w:rPr>
                <w:rFonts w:ascii="GHEA Grapalat" w:hAnsi="GHEA Grapalat"/>
                <w:sz w:val="22"/>
                <w:szCs w:val="22"/>
                <w:lang w:val="de-DE"/>
              </w:rPr>
              <w:t xml:space="preserve"> բառով.</w:t>
            </w:r>
          </w:p>
          <w:p w:rsidR="003F6990" w:rsidRDefault="003F6990" w:rsidP="003F699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142068" w:rsidRDefault="00142068" w:rsidP="003F699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3F6990" w:rsidRPr="007122A8" w:rsidRDefault="003F6990" w:rsidP="003F699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2. Հայաստանի Հանրապետության կառավարության 2006 թվականի նոյեմբերի 16-ի «Հայաստանի Հանրապետության պետական բյուջեից համայնքներին սուբվենցիաների տրամադրման կարգը հաստատելու մասին» N 1708-Ն որոշմամբ հաստատված կարգը համարակալել որպես N 1 հավելված:</w:t>
            </w:r>
          </w:p>
          <w:p w:rsidR="003F6990" w:rsidRPr="007122A8" w:rsidRDefault="003F6990" w:rsidP="003F6990">
            <w:pPr>
              <w:tabs>
                <w:tab w:val="left" w:pos="1440"/>
              </w:tabs>
              <w:ind w:left="72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1) Ուժը կորցրած ճանաչել </w:t>
            </w:r>
            <w:r w:rsidRPr="007122A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որոշման N 1 հավելվածի 4.5-րդ կետը։</w:t>
            </w:r>
          </w:p>
          <w:p w:rsidR="003F6990" w:rsidRPr="007122A8" w:rsidRDefault="003F6990" w:rsidP="003F6990">
            <w:pPr>
              <w:tabs>
                <w:tab w:val="left" w:pos="1440"/>
              </w:tabs>
              <w:ind w:right="-2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3. Ուղղել </w:t>
            </w:r>
            <w:r w:rsidRPr="007122A8">
              <w:rPr>
                <w:rFonts w:ascii="GHEA Grapalat" w:hAnsi="GHEA Grapalat"/>
                <w:sz w:val="22"/>
                <w:szCs w:val="22"/>
                <w:lang w:val="hy-AM"/>
              </w:rPr>
              <w:t>N 2 հավելվածում ընդգրկված Հայաստանի Հանրապետության համայնքների տնտեսական և սոցիալական ենթակառուցվածքների զարգացմանն ուղղված սուբվենցիայի հայտի մշակման, ներկայացման և հաստատման կարգի համարակալումը:</w:t>
            </w:r>
          </w:p>
          <w:p w:rsidR="007870BB" w:rsidRPr="007122A8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Default="0008448D" w:rsidP="0008448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Ընդունվել է։ </w:t>
            </w: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rPr>
                <w:rFonts w:ascii="GHEA Grapalat" w:hAnsi="GHEA Grapalat" w:cs="Sylfaen"/>
                <w:sz w:val="4"/>
                <w:szCs w:val="4"/>
                <w:lang w:val="hy-AM"/>
              </w:rPr>
            </w:pPr>
          </w:p>
          <w:p w:rsidR="0008448D" w:rsidRPr="0008448D" w:rsidRDefault="0008448D" w:rsidP="0008448D">
            <w:pPr>
              <w:spacing w:line="276" w:lineRule="auto"/>
              <w:rPr>
                <w:rFonts w:ascii="GHEA Grapalat" w:hAnsi="GHEA Grapalat" w:cs="Sylfaen"/>
                <w:sz w:val="4"/>
                <w:szCs w:val="4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08448D" w:rsidRPr="0008448D" w:rsidRDefault="0008448D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B" w:rsidRDefault="0008448D" w:rsidP="00142068">
            <w:pPr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7122A8">
              <w:rPr>
                <w:rFonts w:ascii="GHEA Grapalat" w:hAnsi="GHEA Grapalat" w:cs="Arial Armenian"/>
                <w:sz w:val="22"/>
                <w:szCs w:val="22"/>
              </w:rPr>
              <w:lastRenderedPageBreak/>
              <w:t>Ն</w:t>
            </w:r>
            <w:r w:rsidRPr="007122A8">
              <w:rPr>
                <w:rFonts w:ascii="GHEA Grapalat" w:hAnsi="GHEA Grapalat" w:cs="Arial Armenian"/>
                <w:sz w:val="22"/>
                <w:szCs w:val="22"/>
                <w:lang w:val="hy-AM"/>
              </w:rPr>
              <w:t>ախագծ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ում  կատարվել է առաջարկվող</w:t>
            </w:r>
            <w:r w:rsidR="00142068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փոփոխությունը։ </w:t>
            </w: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4"/>
                <w:szCs w:val="4"/>
                <w:lang w:val="hy-AM"/>
              </w:rPr>
            </w:pPr>
          </w:p>
          <w:p w:rsidR="0008448D" w:rsidRP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4"/>
                <w:szCs w:val="4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Նախագիծը խմբագրվել է։</w:t>
            </w: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Default="0008448D" w:rsidP="0008448D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  <w:p w:rsidR="0008448D" w:rsidRPr="007122A8" w:rsidRDefault="0008448D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>Ուղղվել է համարակալումը։</w:t>
            </w:r>
          </w:p>
        </w:tc>
      </w:tr>
      <w:tr w:rsidR="009C0F79" w:rsidRPr="001860C5" w:rsidTr="00E24001">
        <w:trPr>
          <w:trHeight w:val="71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EA6FEC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ֆինանսների</w:t>
            </w:r>
          </w:p>
          <w:p w:rsidR="009C0F79" w:rsidRPr="00EA6FEC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t>նախարարության</w:t>
            </w:r>
          </w:p>
          <w:p w:rsidR="009C0F79" w:rsidRPr="00EA6FEC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20.12</w:t>
            </w: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t>.2018</w:t>
            </w:r>
            <w:r w:rsidRPr="00EA6F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t>թվականի</w:t>
            </w:r>
          </w:p>
          <w:p w:rsidR="009C0F79" w:rsidRPr="009C0F79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t xml:space="preserve">թիվ </w:t>
            </w:r>
            <w:r w:rsidRPr="009C0F79">
              <w:rPr>
                <w:rFonts w:ascii="GHEA Grapalat" w:hAnsi="GHEA Grapalat"/>
                <w:sz w:val="22"/>
                <w:szCs w:val="22"/>
                <w:lang w:val="af-ZA"/>
              </w:rPr>
              <w:t>01/8-4/23719-18</w:t>
            </w:r>
          </w:p>
          <w:p w:rsidR="009C0F79" w:rsidRPr="00EA6FEC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A6FEC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142068" w:rsidRDefault="009C0F79" w:rsidP="00142068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Նախագծով առաջարկվում է հաստատել «Հայաստանի Հանրապետության պետական տարեկան բյուջեներով նախատեսված սուբվենցիաներից բացի Հայաստանի Հանրապետության համայնքների տնտեսական և սոցիալական ենթակառուցվածքների զարգացմանն ուղղված սուբվենցիայի հայտի մշակման, ներկայացման և հաստատման կարգը» (այսուհետ՝ Կարգ)։ Միևնույն ժամանակ ՀՀ կառավարության 16.11.2006թ-ի «Հայաստանի հանրապետության պետական բյուջեից համայնքներին սուբվենցիաների տրամադրման կարգը հաստատելու մասին»  N 1708-Ն որոշման (այսուհետ` Որոշում) հավելվածով հաստատված «Հայաստանի Հանրապետության պետական բյուջեից համայնքներին սուբվենցիաների տրամադրման» կարգի 1.1 կետով արդեն իսկ հաստատված է ՀՀ պետական բյուջեից համայնքներին տրամադրվող սուբվենցիաների ծրագրային հայտերի ներկայացման և քննարկման կարգ։ Առաջարկում ենք նշված կարգերը մեկտեղել և ՀՀ բոլոր համայնքներին (այդ թվում Երևան քաղաքին) տրամադրվող սուբվենցիաների համար սահմանել մեկ միասնական կարգ։ </w:t>
            </w: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C0F79" w:rsidRDefault="009C0F79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Ընդ որում, առաջարկում ենք սուբվենցիաների ծրագրային հայտերի քննարկման, հանձնաժողովի կողմից համապատասխան որոշման կայացման և այդ նպատակով ֆինանսական միջոցների նախատեսման գործընթացը դարձնել համահունչ բյուջետային գործընթացին։</w:t>
            </w: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42068" w:rsidRDefault="0014206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310D" w:rsidRDefault="00E5310D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310D" w:rsidRDefault="00E5310D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310D" w:rsidRDefault="00E5310D" w:rsidP="00142068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C0F79" w:rsidRPr="00142068" w:rsidRDefault="009C0F79" w:rsidP="00142068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Կարգի վերաբերյալ հայտնում ենք հետևյալը.</w:t>
            </w:r>
          </w:p>
          <w:p w:rsidR="009C0F79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ա) Առաջարկում ենք Կարգում ներկայացնել սուբվենցիաների ծրագրային հայտերի քննարկման հստակ գործընթաց` որոշումների կայացման հստակ հաջորդականությամբ և  ժամկետներով։ Մասնավորապես հստակ ներկայացնել.</w:t>
            </w:r>
          </w:p>
          <w:p w:rsidR="00A971E8" w:rsidRPr="00142068" w:rsidRDefault="00A971E8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C0F79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- ՀՀ համայնքների կողմից ՀՀ մարզպետարաններին ծրագրային հայտերի ներկայացման ժամկետները,</w:t>
            </w:r>
          </w:p>
          <w:p w:rsidR="00A971E8" w:rsidRDefault="00A971E8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Pr="00142068" w:rsidRDefault="00A971E8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- ծրագրային հայտերը ստանալուց հետո ՀՀ մարզպետարանների կողմից իրականացվելիք գործողությունները (մասնավորապես՝ որոշումների կայացման լիազորությունները) և ժամկետները,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 ՀՀ տարածքային կառավարման և զարգացման նախարարության կողմից ծրագրային հայտերի ամփոփման և ծրագրերի գնահատման միջգերատեսչական հանձնաժողովի անդամների և շահագրգիռ այլ մարմինների քննարկանը ներկայացնելու ժամկետները։ </w:t>
            </w:r>
          </w:p>
          <w:p w:rsidR="009C0F79" w:rsidRPr="00142068" w:rsidRDefault="009C0F79" w:rsidP="00142068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բ) Կարգում առաջարկում ենք սահմանել «ծրագիր» հասկացությունը։ Միաժամանակ առաջարկում ենք որպես առանձին ծրագիր դիտարկել այն ծրագրային հայտերը, որոնց շրջանակներում իրականացվելիք աշխատանքներն ունեն առանձին նախագծանա-խահաշվային փաստաթղթեր և հանդիսանում են առանձին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բնութագրեր ունեցող գնման առարկաներ: Նշված առաջարկության նպատակը կայանում է նրանում, որ մի քանի ծրագրեր չմիավորվեն և չներկայացվեն որպես մեկ ծրագիր, ինչպես, օրինակ, ՀՀ Գեղարքունիքի մարզի Գեղամասար համայնքի «Փոքր Մասրիկ բնակավայրի խմելու ջրագծի ներքին ցանցի կառուցում և Շատվան բնակավայրի խմելու արտաքին ջրագծի վերակառուցում» կամ  ՀՀ Տավուշի մարզի «Բերդ համայնքի գիշերային լուսավորության ցանցի կառուցում և Բերդի «Միջին աղբյուր» տարածքի բարեկարգում, աստիճանասանդղակի կառուցում» ծրագրերը։ 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գ) Կարգում առաջարկում ենք նախատեսել սուբվենցիաների ծրագրային հայտերի առաջնահերթության գնահատման համակարգը։ Նշված համակարգի կարևորությունն ու անհրաժեշտությունը  կայանում է նրանում, որ այն հնարավորություն է ընձեռում սահմանա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փակ ֆինանսական ռեսուրսների շրջանակներում դասակարգել առաջնահերթ ֆինան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սա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վորման ենթակա ծրագրային հայտերը։ Օրինակ, ենթադրենք ՀՀ համայնքներից ստացված և Կարգի դրույթներին համապատասխանող ծրագրերին պետության մասնակցության չափը կազմում է 10.0 մլրդ դրամ, սակայն պետական բյուջեից գումարի հատկացման հնարավորությունը կազմում է 3.0 մլրդ դրամ և այդ պարագայում պարզ չէ, թե ինչ սկզբունքով են ընտրվելու ֆինանսավորման ենթակա ծրագրերը։ 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դ) Պարզ չէ 7-րդ կետի 1-4 ենթակետերում նշված գործոնների դերը Նախագծով ներկայացված սուբվենցիաների ծրագրային հայտերի գնահատման համակարգում։ Օրինակ, պարզ չէ «ծրագրի իրականացման արդյունքում ծրագրի ուղղակի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շահառուների քանակը» գործոնը ինչպես է հաշվի առնվում ծրագրային հայտը գնահատելիս և որոշում կայացնելիս։ 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ե) Ներկայացված չեն 14-րդ կետի աղյուսակում նշված` ՀՀ պետական բյուջեից ՀՀ համայնքներին տրամադրվող սուբվենցիայի չափաբաժինների հիմնավորումները։ Միաժամանակ առաջարկում ենք քննարկել ՀՀ պետական բյուջեից ՀՀ համայնքներին տրամադրվող սուբվենցիայի առավելագույն չափաբաժինը սուբվենցիայի ծրագրային հայտի ընդհանուր արժեքի 50% սահմանելու հարցը։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զ) Կարգի 16-րդ կետի համաձայն մասնավոր հատվածի /կազմակերպություններ, ձեռ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նար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կություններ, բնակչություն/ կողմից ծրագրի 20 տոկոս և ավել համաֆինանսավորման դեպ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քում՝ ՀՀ պետական բյուջեից համաֆինանսավորման չափաբաժինն ավելանում է 5 տոկոսով։ Առաջարկում ենք մասնավոր հատվածի մասնակցությունը հաշվի առնել վերը նշված «գ» կետում առաջարկվող ծրագրային հայտերի առաջնահերթության գնահատման համակարգում: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է) Առաջարկում ենք Կարգի 6-րդ կետի.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- 3-րդ ենթակետում «եզրակացությունը» բառից հետո ավելացնել «ինչպես նաև «Գնումների մասին» ՀՀ օրենքի 15-րդ հոդվածի 6-րդ մասի պահանջներին համապատասխան կազմակերպված մրցակցային ընթացակարգի արդյունքում կնքված պայմանագրերը»։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- 4-րդ ենթակետը շարադրել հետևյալ բովանդակությամբ.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«4) Սարքավորումների և տեխնիկայի ձեռք բերման դեպքում՝ դրանց տեխնիկական բնութագրերը, ֆինանսական գնահատականները և «Գնումների մասին» ՀՀ օրենքի 15-րդ հոդվածի 6-րդ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մասի պահանջներին համապատասխան կազմակերպված մրցակցային ընթացակարգի արդյունքում կնքված պայմանագրերը։».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ը) Առաջարկում ենք Կարգի 13-րդ կետը շարադրել հետևյալ բովանդակությամբ.</w:t>
            </w:r>
          </w:p>
          <w:p w:rsidR="009C0F79" w:rsidRPr="00142068" w:rsidRDefault="009C0F79" w:rsidP="00142068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«13. Հանձնաժողովի դրական եզրակացության դեպքում նախարարությունը այդ մասին տեղեկացնում է համապատասխան հայտ ներկայացնող համայնքի ղեկավարին` նշելով ՀՀ պետական բյուջեից համայնքին սուբվենցիայի տրամադրման տոկոսը:».</w:t>
            </w:r>
          </w:p>
          <w:p w:rsidR="009C0F79" w:rsidRDefault="009C0F79" w:rsidP="0014206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թ) Կարգի 6-րդ կետի վերաբերյալ առաջարկվող փոփոխություններով պայմանա-էվորված առաջարկում ենք հանել Կարգի 18-րդ կետը:</w:t>
            </w:r>
          </w:p>
          <w:p w:rsidR="00BA54E6" w:rsidRPr="00142068" w:rsidRDefault="00BA54E6" w:rsidP="00142068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C0F79" w:rsidRPr="00142068" w:rsidRDefault="009C0F79" w:rsidP="00D57C1F">
            <w:pPr>
              <w:tabs>
                <w:tab w:val="left" w:pos="900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Հաշվի առնելով վերը նշվածները Նախագիծը լրամշակման կարիք ունի։ Ուստի Նախագծի վերաբերյալ ամբողջական դիրքորոշում կարող ենք հայտնել Նախագծի լրամշակված տարբերակի առկայության պարագայում։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68" w:rsidRPr="00EA6FEC" w:rsidRDefault="0014206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 է</w:t>
            </w:r>
            <w:r w:rsidRPr="00EA6FE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Pr="00EA6FEC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  <w:p w:rsidR="00142068" w:rsidRPr="00142068" w:rsidRDefault="00142068" w:rsidP="00C928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պետական տարեկան բյուջեներով հաստատվող համայնքներին տարբեր ծրագրերի շրջանակներում տրամադրվող սուբվենցիաների ընթացակարգը չխախտելու, ինչպես նաև  </w:t>
            </w:r>
            <w:proofErr w:type="spellStart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>հետագա</w:t>
            </w:r>
            <w:proofErr w:type="spellEnd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>տարընթերցումներից</w:t>
            </w:r>
            <w:proofErr w:type="spellEnd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>հակասություններից</w:t>
            </w:r>
            <w:proofErr w:type="spellEnd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>խուսափելու</w:t>
            </w:r>
            <w:proofErr w:type="spellEnd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FEC">
              <w:rPr>
                <w:rFonts w:ascii="GHEA Grapalat" w:hAnsi="GHEA Grapalat" w:cs="Sylfaen"/>
                <w:sz w:val="22"/>
                <w:szCs w:val="22"/>
                <w:lang w:val="fr-FR"/>
              </w:rPr>
              <w:t>նպատակով</w:t>
            </w:r>
            <w:proofErr w:type="spellEnd"/>
            <w:r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նախագծում կատարվել են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համապատասխան փոփոխություններ։ Միաժամանակ, դիտարկելով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«Հայաստանի Հանրապետության 2019 թվականի պետական բյուջեի մասին» ՀՀ օրենքի N 1 հավելվածով</w:t>
            </w:r>
          </w:p>
          <w:p w:rsidR="00142068" w:rsidRPr="00142068" w:rsidRDefault="00142068" w:rsidP="00C928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 համայնքին տրամադրված սուբվենցիաների բացվածքը, գտնում ենք, որ սուբվենցիաների գծով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օրինակ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«Եվրոպական ներդրումային բանկի աջակցությամբ իրականացվող</w:t>
            </w:r>
          </w:p>
          <w:p w:rsidR="00142068" w:rsidRPr="00142068" w:rsidRDefault="00142068" w:rsidP="00C928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Երևանի էներգաարդյունավետության ծրագրին պետական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աջակցություն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, «Աջակցություն Երևանի քաղաքապետի տեղական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 լիազորությունների իրականացմանը», «Վերգետնյա էլեկտրոտրանսպորտով ուղևորափոխադրումների</w:t>
            </w:r>
          </w:p>
          <w:p w:rsidR="00142068" w:rsidRPr="00142068" w:rsidRDefault="00142068" w:rsidP="00C928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ծառայությունների մատուցում» և այլ ծրագրերի և միջոցառումների մեկտեղումը սույն կարգ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ով </w:t>
            </w:r>
            <w:r w:rsidR="00E5310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նախատեսվող համայնքների սոցիալական և տնտեսական զարգացմանն ուղղված սուբվենցիայի տրամադրման գործընթացի հետ  անհնար է։ </w:t>
            </w:r>
          </w:p>
          <w:p w:rsidR="00A971E8" w:rsidRPr="00EA6FEC" w:rsidRDefault="00E5310D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 վերաբերում է </w:t>
            </w:r>
            <w:r w:rsidRPr="00142068">
              <w:rPr>
                <w:rFonts w:ascii="GHEA Grapalat" w:hAnsi="GHEA Grapalat" w:cs="Sylfaen"/>
                <w:sz w:val="22"/>
                <w:szCs w:val="22"/>
                <w:lang w:val="hy-AM"/>
              </w:rPr>
              <w:t>սուբվենցիաների ծրագրային հայտերի քննարկման, հանձնաժողովի կողմից համապատասխան որոշման կայացման և այդ նպատակով ֆինանսական միջոցների նախատեսման գործընթացը բյուջետային գործընթացին համահունչ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դարձնելուն, առաջարկն ընդուն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ելի 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նախատեսվում է իրականացնել մոտ ապագայում, քանի ո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 այս պահին դա դառնում է անհնար՝ 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 առնելով, որ 2019 թվականի բ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յուջեում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չ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նախատեսվել համապատասխան միջոցներ համայ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քների տնտեսական և սոցիալական ենթակառուցվածքների զարգացմանն ուղղված սուբվենց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այի տրամադրման համար, սակայն 2019 թվականին նախատեսվում է էլ ավելի թվով սուբվենիցայի ծրագրերի համաֆինանսավոր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մ /պահուստային ֆոնդից/, և հաշվի առնելով, որ համաֆինանսավորման չափը հստակեցվում է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միայն ծրագիրը հանձնաժողովի կողմից  հավանությ</w:t>
            </w:r>
            <w:r w:rsidR="00A971E8" w:rsidRPr="00EA6FEC">
              <w:rPr>
                <w:rFonts w:ascii="GHEA Grapalat" w:hAnsi="GHEA Grapalat" w:cs="Sylfaen"/>
                <w:sz w:val="22"/>
                <w:szCs w:val="22"/>
                <w:lang w:val="hy-AM"/>
              </w:rPr>
              <w:t>ան արժանանալուց հետո մրցույթային գործընթացների արդյունքներով</w:t>
            </w:r>
            <w:r w:rsidR="00A971E8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  <w:p w:rsidR="00E5310D" w:rsidRDefault="00E5310D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310D" w:rsidRDefault="00E5310D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71E8" w:rsidRDefault="00A971E8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 մասնակի։ 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Հաշվի առնելով, որ հայտով ներկայացվող ծրագիրը բացատրության կարիք չունի և դրա հետ մեկտեղ 19-րդ կետով առաջարկվող սուբվենցիայի չափաբաժիններն ըստ ոլորտների թույլ չի տա տարբեր ծրագրեր միացվեն ու ներկայացվեն։  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39FA" w:rsidRDefault="00D539FA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Չափաբաժինները ներկայացված են ըստ համայնքների զարգացման առաջնահերթությունների և չափաբաժինները քննարկվել են բոլոր շահագրգիռ մարմինների հետ։</w:t>
            </w: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DB3D69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3D69" w:rsidRDefault="007B5B2D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="00BA54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7C1F" w:rsidRPr="00EA6FEC" w:rsidRDefault="00D57C1F" w:rsidP="00C928A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68" w:rsidRDefault="0014206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A6FE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1-ին կետի 2-րդ ենթակետը խմբագրվել է հետևյալ կերպ</w:t>
            </w:r>
            <w:r w:rsidRPr="00EA6FE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EA6FEC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B81071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Հայաստանի Հանրապետության պետական </w:t>
            </w:r>
            <w:r w:rsidRPr="00EA6FE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տարեկան </w:t>
            </w:r>
            <w:r w:rsidRPr="00B81071">
              <w:rPr>
                <w:rFonts w:ascii="GHEA Grapalat" w:eastAsia="Calibri" w:hAnsi="GHEA Grapalat"/>
                <w:sz w:val="22"/>
                <w:szCs w:val="22"/>
                <w:lang w:val="hy-AM"/>
              </w:rPr>
              <w:t>բյուջե</w:t>
            </w:r>
            <w:r w:rsidRPr="00EA6FEC">
              <w:rPr>
                <w:rFonts w:ascii="GHEA Grapalat" w:eastAsia="Calibri" w:hAnsi="GHEA Grapalat"/>
                <w:sz w:val="22"/>
                <w:szCs w:val="22"/>
                <w:lang w:val="hy-AM"/>
              </w:rPr>
              <w:t>ն</w:t>
            </w:r>
            <w:r w:rsidRPr="00EA6FEC"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EA6FE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րով </w:t>
            </w:r>
            <w:r w:rsidRPr="00B81071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նախատեսված սուբվենցիաներից բացի </w:t>
            </w:r>
            <w:r w:rsidRPr="00EA6FEC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սուբվենցիայի հայտի մշակման, ներկայացման և հաստատման կարգը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»։</w:t>
            </w: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71E8" w:rsidRDefault="00A971E8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E5310D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310D" w:rsidRDefault="00D539FA" w:rsidP="00E5310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1-ին հավելվածի 4-ից 1</w:t>
            </w:r>
            <w:r w:rsidR="00A971E8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-րդ կետերով հստակ ներկայացվել են գործընթացի հաջորդականությունը և ժամկետները։</w:t>
            </w:r>
          </w:p>
          <w:p w:rsidR="00142068" w:rsidRPr="00EA6FEC" w:rsidRDefault="00D539FA" w:rsidP="00D539F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1-ին հավելվածի 5-րդ 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 xml:space="preserve">և 11-րդ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 լրացվել 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համապատասխան առաջարկությունե</w:t>
            </w:r>
            <w:r w:rsidR="00A971E8">
              <w:rPr>
                <w:rFonts w:ascii="GHEA Grapalat" w:hAnsi="GHEA Grapalat"/>
                <w:sz w:val="22"/>
                <w:szCs w:val="22"/>
                <w:lang w:val="hy-AM"/>
              </w:rPr>
              <w:t>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ով։</w:t>
            </w:r>
          </w:p>
          <w:p w:rsidR="009C0F79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հստակեցվել են գործընթացի ժամկետները։</w:t>
            </w: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հստակեցվել են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գործընթացի ժամկետները</w:t>
            </w: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Կարգով առանձնացվել են հստակ ոլորտները, ըստ որի յուրաքանչյուր ծրագիր պետք է ունենա մեկ ուղղություն/ոլորտ։</w:t>
            </w: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1-ին հավելվածի 1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կետը լրացվել է համապատասխան դրությով, ինչպես նաև կարգով ներկայացված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ոլորտների ՀՀ պետական բյուջեից համաֆինանսավորման չափը ենթադրում է նաև առաջահերթություններ։</w:t>
            </w: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539FA" w:rsidP="00D539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39FA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Նախագծից հանվել են նշված դրույթները։</w:t>
            </w: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կատարվել։</w:t>
            </w: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3D69" w:rsidRDefault="00DB3D69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4A0003">
              <w:rPr>
                <w:rFonts w:ascii="GHEA Grapalat" w:hAnsi="GHEA Grapalat"/>
                <w:sz w:val="22"/>
                <w:szCs w:val="22"/>
                <w:lang w:val="hy-AM"/>
              </w:rPr>
              <w:t>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A000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տվյալ դրույթը հանվել է։ </w:t>
            </w: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7954" w:rsidRDefault="005D7954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Խմբագրման արդյունքում 1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կետը լրացվել է </w:t>
            </w:r>
            <w:r w:rsidR="005D7954">
              <w:rPr>
                <w:rFonts w:ascii="GHEA Grapalat" w:hAnsi="GHEA Grapalat"/>
                <w:sz w:val="22"/>
                <w:szCs w:val="22"/>
                <w:lang w:val="hy-AM"/>
              </w:rPr>
              <w:t>առաջարկվող դրությով։</w:t>
            </w:r>
          </w:p>
          <w:p w:rsidR="005D7954" w:rsidRDefault="005D7954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Խմբագրման արդյունքում 1-ին հավելվածի 1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-րդ կետի 4-րդ ենթակետը խմբագրվել է։</w:t>
            </w:r>
          </w:p>
          <w:p w:rsidR="005D7954" w:rsidRDefault="005D7954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7954" w:rsidRDefault="00D57C1F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Խմբագրման արդյունքում 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-րդ կետը խմբագրվել է։</w:t>
            </w:r>
          </w:p>
          <w:p w:rsidR="005D7954" w:rsidRDefault="005D7954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7954" w:rsidRDefault="005D7954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5B2D" w:rsidRDefault="007B5B2D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4A0003" w:rsidP="00DB3D6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Նշված դրույթը հանվել է։</w:t>
            </w:r>
          </w:p>
          <w:p w:rsidR="00BA54E6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57C1F" w:rsidRDefault="00BA54E6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57C1F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ախագիծը լրամշակվել է հաշվի առնելով ներկայացված առաջարկությունները, ինչպես նաև սուբվենցիայի ծրագրերի չափորոշիչների մշակման համար ստեղծված աշխատանքային խմբի քննարկումների արդյունքներով։ </w:t>
            </w:r>
          </w:p>
          <w:p w:rsidR="00BB3C13" w:rsidRPr="00EA6FEC" w:rsidRDefault="00BB3C13" w:rsidP="00DC1A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C0F79" w:rsidRPr="001860C5" w:rsidTr="00E24001">
        <w:trPr>
          <w:trHeight w:val="19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D57C1F" w:rsidRDefault="009C0F79" w:rsidP="009C0F7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57C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տնտեսական զարգացման և ներդրումների նախարարությ</w:t>
            </w:r>
            <w:r w:rsidRPr="00D57C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 </w:t>
            </w:r>
          </w:p>
          <w:p w:rsidR="009C0F79" w:rsidRPr="00D57C1F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7C1F">
              <w:rPr>
                <w:rFonts w:ascii="GHEA Grapalat" w:hAnsi="GHEA Grapalat"/>
                <w:sz w:val="22"/>
                <w:szCs w:val="22"/>
                <w:lang w:val="af-ZA"/>
              </w:rPr>
              <w:t xml:space="preserve">21.12.2018 </w:t>
            </w:r>
            <w:r w:rsidRPr="00D57C1F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D57C1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:rsidR="009C0F79" w:rsidRPr="009C0F79" w:rsidRDefault="009C0F79" w:rsidP="009C0F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7C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թիվ </w:t>
            </w:r>
            <w:r w:rsidRPr="00D57C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01/08.3.1/10541-18</w:t>
            </w:r>
            <w:r w:rsidRPr="00D57C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DC1A1D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t xml:space="preserve">Որոշման նախագծով ներկայացված կարգավորումները համակարգային բնույթի չեն և ամբողջությամբ չեն նպաստում սուբվենցիաների ծրագրային հայտերի լիարժեք և արդյունավետ գնահատմանը և դրանց ֆինանսավորման վերաբերյալ որոշումների կայացմանը, թեև պարունակում են որոշակի դրույթներ, որոնք համակարգային կարգավորումների մաս կարող են հանդիսանալ: </w:t>
            </w:r>
          </w:p>
          <w:p w:rsidR="009C0F79" w:rsidRPr="00DC1A1D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Այս առումով դրական ենք համարում ս.թ. նոյեմբերի 7-ին սուբվենցիաներ ստանալու համար ծրագրային հայտերի գնահատման միջգերատեսչական նիստի N24.9/[488987]-18 արձանագրության 3-րդ կետով սուբվենցիաներ ստանալու համար ՀՀ համայնքներից ներկայացված հայտերում նշվող աշխատանքների միավորի արժեքների հաշվարկային ուղենշային միջինացված ցուցանիշներ, ինչպես նաև մանկապարտեզների խաղահրապարակների կառուցման և ճանապարհաշինության աշխատանքների կատարման համար ընդհանուր միասնական չափանիշներ մշակելու նախաձեռնությունը, ինչն այդ մասով թույլ կտա ֆինանսական առումով առավել հստակ և լիարժեք տեղեկատվություն ունենալ: </w:t>
            </w:r>
          </w:p>
          <w:p w:rsidR="009C0F79" w:rsidRPr="00DC1A1D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t xml:space="preserve">Սակայն դրան զուգահեռ ներկայացված նախագիծն ըստ էության չի լուծում հայտերի գնահատման և ֆինանսավորման չափի  ամբողջական համակարգի ձևավորման հարցը: Այս տեսանկյունից ևս անհրաժեշտ է սահմանել գնահատման  հստակ չափոփոշիչներ և դրանց մեծություններ, ինչը թույլ կտա ինչպես կրճատել գնահատման համար անհրաժեշտ մարդկային ռեսուրսները և ժամանակը, այնպես էլ որոշակիորեն և կամ ամբողջությամբ կբացառի որոշումների կայացման սուբյեկտիվ գործոնը և կամ շահերի բախումը: </w:t>
            </w:r>
          </w:p>
          <w:p w:rsidR="009C0F79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t xml:space="preserve">Ելնելով վերոգրյալից, առաջարկում ենք հետաձգել ներկայացված որոշման ընդունումը, այն լրամշակել` ներառելով առավել համակարգային լուծումներ: </w:t>
            </w: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BB3C13" w:rsidRPr="00DC1A1D" w:rsidRDefault="00BB3C13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:rsidR="009C0F79" w:rsidRPr="00DC1A1D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t xml:space="preserve">Վերոնշյալ հիմնավորումներին կից ներկայացնում ենք մի քանի նկատառումներ, որոնք որոշման նախագծի լրամշակման ընթացքում կարող են շահագրգիռ մարմինների համար քննարկման առարկա դառնալ: </w:t>
            </w:r>
          </w:p>
          <w:p w:rsidR="009C0F79" w:rsidRPr="00DC1A1D" w:rsidRDefault="009C0F79" w:rsidP="00DC1A1D">
            <w:pPr>
              <w:pStyle w:val="mechtex"/>
              <w:spacing w:after="200"/>
              <w:ind w:firstLine="25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Cs w:val="22"/>
                <w:lang w:val="hy-AM"/>
              </w:rPr>
              <w:t>Ընթացակարգ և չափորոշիչներ</w:t>
            </w: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տարվա ընթացքում համայնքների կողմից ներկայացված սուբվենցիաների ծրագրային հայտերի ուսումնասիրությունը ցույց տվեց, որ բովանդակային առումով դրանք կարելի է բաժանել 10 հիմնական ուղղությունների (այն բերված է նաև ներկայացված նախագծի հավելված 2-ի կետ 14-ից հետո բերված աղյուսակում): </w:t>
            </w:r>
          </w:p>
          <w:p w:rsidR="009C0F79" w:rsidRPr="00DC1A1D" w:rsidRDefault="009C0F79" w:rsidP="00DC1A1D">
            <w:pPr>
              <w:pStyle w:val="ListParagraph"/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առնելով թե տնտեսական և թե սոցիալական տեսանկյունից այդ ուղղությունների յուրահատկությունները, ինչպես նաև դրանց տարբեր ազդեցությունը շահառուների և ընդհանրապես համայնքի զարգացման վրա, առաջարկում ենք գնահատման չափոփոշիչներ </w:t>
            </w: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սահմանել ոչ թե ընդհանրական, այլ ըստ յուրաքանչյուր ուղղության:  </w:t>
            </w:r>
          </w:p>
          <w:p w:rsidR="009C0F79" w:rsidRPr="00DC1A1D" w:rsidRDefault="009C0F79" w:rsidP="00DC1A1D">
            <w:pPr>
              <w:pStyle w:val="ListParagraph"/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Օրինակ` «Փողոցների ասֆալտապատում» ուղղության համար որպես չափորոշիչ կարող են կիրառվել` փողոցի գլխավոր (միջպետական մայրուղուն միացող) և կամ երկրորդային լինելը (ներհամայնքայի և  դպրոցամերձ կամ զբոսաշրջային վայրերին հարակից լինելը և այլն (որպես օրինակ` ըստ ուղղությունների, ներկայացված է աղյուսակ 1-ում): Վերոնշյալ սկզբունքի ընդունման դեպքում չափորոշիչների ամբողջականության ապահովման նպատակով անհրաժեշտ կլինի բոլոր շահագրգիռ նախարարարությունների և գերատեսչությունների մասնակցությունը: </w:t>
            </w:r>
          </w:p>
          <w:p w:rsidR="009C0F79" w:rsidRPr="00DC1A1D" w:rsidRDefault="009C0F79" w:rsidP="00DC1A1D">
            <w:pPr>
              <w:pStyle w:val="ListParagraph"/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>Ի լրումն վերոնշյալի` առաջարկում ենք ներդնել վերոնշյալ չափորոշիչների գնահատման միջակայքային համակարգ. յուրաքանչյուր չափորոշիչ գնահատել օրինակ` 1-10 միջակայքում, յուրաքանչյուր չափորոշիչի համար սահմանել կշիռ և այնուհետև ագրեգացված գնահատականը ստանալ բոլոր չափորոշիչների կշռված միջին թվաբանականով: Յուրաքանչյուր չափորոշիչի գնահատման համար պատասխանատու կլինի մեկ գերատեսչություն (հանձնաժողովի անդամ):</w:t>
            </w: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Նախագծով առաջարկվող գնահատման ընթացակարգը ենթադրում է կրկնակի գնահատում (նախագծի հավելված 2-ի 7-րդ կետ, 9-րդ կետ և 11-րդ կետ), ընդ որում գնահատման հստակ չափորոշիչներ նախագծով ներկայացված չէ: Հավելված 2-ի 7-րդ կետով նախնական գնահատոումը վերապահվում է ՀՀ տարածքային կառավարման և զարգացման նախարարությանը` </w:t>
            </w: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սահմանելով միայն մի քանի գործոններ և չի ներկայացվում այդ գնահատման մեխանիզմները: Ընդ որում նշված նախարարությունը լինելով գնահատող հանձնաժողովում` չի կարող նախնական գնահատմամբ որոշել ծրագրերի նպատակայնությունը, արդյունավետությունը (գտնում ենք, որ դա հանձնաժողովի իրավասությունն է): </w:t>
            </w:r>
          </w:p>
          <w:p w:rsidR="009C0F79" w:rsidRPr="00DC1A1D" w:rsidRDefault="009C0F79" w:rsidP="00DC1A1D">
            <w:pPr>
              <w:pStyle w:val="ListParagraph"/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զարգացման նախարարությունը  կստուգի հայտերի համապատասխանությունը հայտերի ներկայացման պահանջներին, այնուհետև հայտը՝ չափոփոշիչների գնահատման թերթի հետ կտրամադրվի հանձնաժողովի անդամներին:</w:t>
            </w:r>
          </w:p>
          <w:p w:rsidR="009C0F79" w:rsidRPr="00DC1A1D" w:rsidRDefault="009C0F79" w:rsidP="00DC1A1D">
            <w:pPr>
              <w:pStyle w:val="ListParagraph"/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Հանձնաժողովի անդամներն, իրենց իրավասությանը վերապահված չափորոշիչների մասով կատարում են հայտերի գնահատում և արդյունքներն ուղարկում ՀՀ տարածքային կառավարման և զարգացման նախարարություն, որը ամփոփելով ստացված արդյունքները` սուբվենցիայի հայտերի ամբողջական փաթեթը ներկայացնում է հանձնաժողովի նիստի քննարկմանը:  </w:t>
            </w: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after="20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>Առաջարկվում է ըստ առանձին ուղղությունների մասնավոր հատվածի կողմից ծրագրի համաֆինանսավորման  չափը սահմանել որպես չափորոշիչ, որքան մեծ կլինի մասնավոր հատվածի համաֆինանսավորման մասնաբաժինը, այնքան բարձր կլինի ծրագրին տրվող գնահատականը:</w:t>
            </w: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Նիստի ընթացքում  հանձնաժողովի անդամները քննարկումից հետո քվեարկությամբ  կհաստատեն կամ կմերժեն ներկայացված հայտերը: </w:t>
            </w: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Ընդ որում հարկ է հստակ սահմանել նաև քվերակության արդյունքում դրական և բացասական ձայների հավասարության դեպքում` ինչպես է որոշվելու տվյալ հայտի հաստատելու կամ մերժելու հարցը: </w:t>
            </w:r>
          </w:p>
          <w:p w:rsidR="009C0F79" w:rsidRPr="00DC1A1D" w:rsidRDefault="009C0F79" w:rsidP="00DC1A1D">
            <w:pPr>
              <w:pStyle w:val="ListParagraph"/>
              <w:ind w:left="0" w:firstLine="252"/>
              <w:contextualSpacing w:val="0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i/>
                <w:sz w:val="22"/>
                <w:szCs w:val="22"/>
                <w:lang w:val="hy-AM"/>
              </w:rPr>
              <w:t>Ֆինանսավորում</w:t>
            </w:r>
          </w:p>
          <w:p w:rsidR="009C0F79" w:rsidRDefault="009C0F79" w:rsidP="00DC1A1D">
            <w:pPr>
              <w:pStyle w:val="ListParagraph"/>
              <w:numPr>
                <w:ilvl w:val="0"/>
                <w:numId w:val="28"/>
              </w:numPr>
              <w:spacing w:after="20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>Սահմանամերձ համայնքներից ծրագրերի դեպքում առաջարկվում է ծրագրի ագրեգացված գնահատականը բարձրացնել լրացուցիչ 1.5 միավորով:</w:t>
            </w:r>
          </w:p>
          <w:p w:rsidR="00665097" w:rsidRPr="00DC1A1D" w:rsidRDefault="00665097" w:rsidP="00665097">
            <w:pPr>
              <w:pStyle w:val="ListParagraph"/>
              <w:spacing w:after="200"/>
              <w:ind w:left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after="20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Ֆինանսավորման ենթակա են այն ծրագրերը, որոնց  ագրեգացված գնահատականը բարձր է 6.0 միավորից: </w:t>
            </w:r>
          </w:p>
          <w:p w:rsidR="009C0F79" w:rsidRPr="00DC1A1D" w:rsidRDefault="009C0F79" w:rsidP="00DC1A1D">
            <w:pPr>
              <w:pStyle w:val="ListParagraph"/>
              <w:numPr>
                <w:ilvl w:val="0"/>
                <w:numId w:val="28"/>
              </w:numPr>
              <w:spacing w:after="200"/>
              <w:ind w:left="0" w:firstLine="252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1A1D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Ծրագրերի ֆինանսավորումն առաջարկվում է կատարել հետևյալ եղանակով. հանձնաժողովի նիստի արդյունքում դրական հավանություն արժանացած, բարձր ագրեգացված գնահատական ստացած ծրագրերն առաջարկում ենք ֆինանսավորել ըստ գնահատականի նվազման կարգի, այսինքն` անկախ ծրագրի կողմից ակնկալվող համաֆինանսավորման չափից, ֆինանսավորում ստանում է ամենից բարձր գնահատական ստացած ծրագիրը, այնուհետև երկրորդն և այդպես շարունակ, այնքան միչև կլրանա տվյալ ժամանակահատվածում պետական բյուջեով սահմանված ֆինանսավորման չափը: Եթե կլինեն ծրագրեր, որոնք բյուջեի սղության պատճառով չեն կարող ֆինանսավորվել տվյալ ժամանակահատվածում (եռամսյակ, տարի), ապա վերջիններս կտեղափոխվեն հաջորդ նիստ: </w:t>
            </w:r>
          </w:p>
          <w:p w:rsidR="009C0F79" w:rsidRPr="00665097" w:rsidRDefault="009C0F79" w:rsidP="009C0F79">
            <w:pPr>
              <w:ind w:firstLine="252"/>
              <w:jc w:val="righ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650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Աղյուսակ 1</w:t>
            </w:r>
          </w:p>
          <w:p w:rsidR="009C0F79" w:rsidRPr="00DC1A1D" w:rsidRDefault="009C0F79" w:rsidP="009C0F79">
            <w:pPr>
              <w:ind w:firstLine="252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6509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Ծրագրերի չափորոշիչներն ըստ ոլորտային բաշխվածք</w:t>
            </w:r>
          </w:p>
          <w:p w:rsidR="009C0F79" w:rsidRPr="00DC1A1D" w:rsidRDefault="009C0F79" w:rsidP="009C0F79">
            <w:pPr>
              <w:ind w:firstLine="252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tbl>
            <w:tblPr>
              <w:tblW w:w="5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890"/>
              <w:gridCol w:w="810"/>
              <w:gridCol w:w="1080"/>
            </w:tblGrid>
            <w:tr w:rsidR="009C0F79" w:rsidRPr="00665097" w:rsidTr="00665097">
              <w:trPr>
                <w:tblHeader/>
              </w:trPr>
              <w:tc>
                <w:tcPr>
                  <w:tcW w:w="1237" w:type="dxa"/>
                  <w:shd w:val="clear" w:color="auto" w:fill="D9D9D9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  <w:t>Ոլորտ</w:t>
                  </w:r>
                </w:p>
              </w:tc>
              <w:tc>
                <w:tcPr>
                  <w:tcW w:w="1890" w:type="dxa"/>
                  <w:shd w:val="clear" w:color="auto" w:fill="D9D9D9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  <w:t>Չափորոշիչ</w:t>
                  </w:r>
                </w:p>
              </w:tc>
              <w:tc>
                <w:tcPr>
                  <w:tcW w:w="810" w:type="dxa"/>
                  <w:shd w:val="clear" w:color="auto" w:fill="D9D9D9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  <w:t>Չափորշիչի կշիռ</w:t>
                  </w:r>
                </w:p>
              </w:tc>
              <w:tc>
                <w:tcPr>
                  <w:tcW w:w="1080" w:type="dxa"/>
                  <w:shd w:val="clear" w:color="auto" w:fill="D9D9D9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/>
                      <w:b/>
                      <w:i/>
                      <w:sz w:val="14"/>
                      <w:szCs w:val="14"/>
                      <w:lang w:val="hy-AM"/>
                    </w:rPr>
                    <w:t>Գնահատող մարմին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Մեքենասարքավորումների ձեռք բերում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Սպասարկվող տարածքի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Սպասարկվող համայնքների/բնակչության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Պահպանման ծախսերի կատարման մեխանիզմը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Փողոցների ասֆալտապատում</w:t>
                  </w:r>
                </w:p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Փողոցային լուսավորության համակարգի անցկացում, վերանորոգում</w:t>
                  </w:r>
                </w:p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Փողոցի գլխավոր կամ երկրորդային լինելը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տրանսպորտի, կապի և ՏՏ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Փողոցի նպատակային կիրառություն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Դպրոցամերձ կամ զբոսաշրջային վայրերին հարակից լինելը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տնտեսական զարգացման և ներդրումների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Լուսավորության էներգախնայողության մակարդակ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Ջրամատակարարման և 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ջրահեռացման համակարգի անցկացում/վերանորոգում Ոռոգման համակարգի անցկացում/ վերանորոգում Աղբավայրերի բարեկարգում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Ջրի կորստի նվազեցման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Ոռոգվող տարած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քներ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Աղբավայրերի զբաղեցրած տարած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ք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Վերականգնվող էներգետիկա, այդ թվում արևային ֆոտովոլտային կայանների տեղադրում</w:t>
                  </w:r>
                </w:p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Էներգախնայողություն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էներգետիկ ենթակառուցվածքների եվ բնական պաշարների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Արևային կայանների միջոցով գեներացված էլեկտրաէներգիայի մասնաբաժինը ընդհանուր էլէկտրաէներգիայի ծախսի մեջ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Այգիների, պուրակների կառուցում/բարեկարգում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Զբոսաշրջային կենտրոնից կամ պատմամշակությաին հուշարձաններից հեռացվածություն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տնտեսական զարգացման և ներդրումների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Այցելած զբոսաշրջիկների տարեկան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Ստեղծված արդյունքի` մասնավորի անհատույց օգտագործման 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Պահպանման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խնամքի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հնարավորությունը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Օգտվող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բնակչության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թվաքանակ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Հանրակրթական օջախների</w:t>
                  </w:r>
                  <w:r w:rsidRPr="00665097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 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կառուցում/վերանորոգում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rPr>
                <w:trHeight w:val="337"/>
              </w:trPr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Նոր ստեղծվող աշխատատեղերի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աշխատանքի և սոցիալական հարցերի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Սպասարկվող համայնքների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բնակչության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Հանրային շենքերի (մշակույթի տուն, համայնքային կենտրոններ և այլն) կառուցում/վերանորոգում</w:t>
                  </w:r>
                </w:p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Այլընտրանքի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առկայություն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կամ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հեռացվածություն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Սպասարկվող համայնքների</w:t>
                  </w: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բնակչության</w:t>
                  </w:r>
                  <w:proofErr w:type="spellEnd"/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Գյուղատնտեսական ապրանքների շուկաներ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Զբոսաշրջային կենտրոնից հեռացվածություն*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տնտեսական զարգացման և ներդրումների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Այցելած զբոսաշրջիկների տարեկան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Սպասարկվող համայնքների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ՊՄԳ հնարավորությունը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Այլ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Համաֆինանսավորման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ՀՀ տարածքային կառավարման և զարգացման նախարարություն</w:t>
                  </w: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Մասնավորր հատվածի ֆինանսավորման չափ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1 շնչին բաժին ընկնող համայնքային բյուջեի եկամուտ*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9C0F79" w:rsidRPr="00665097" w:rsidTr="00665097">
              <w:tc>
                <w:tcPr>
                  <w:tcW w:w="1237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C0F79" w:rsidRPr="00665097" w:rsidRDefault="009C0F79" w:rsidP="009C0F79">
                  <w:pPr>
                    <w:ind w:firstLine="252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665097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Շահառուների թիվ</w:t>
                  </w:r>
                </w:p>
              </w:tc>
              <w:tc>
                <w:tcPr>
                  <w:tcW w:w="810" w:type="dxa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:rsidR="009C0F79" w:rsidRPr="00665097" w:rsidRDefault="009C0F79" w:rsidP="009C0F79">
                  <w:pPr>
                    <w:ind w:firstLine="252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9C0F79" w:rsidRPr="00DF631E" w:rsidRDefault="009C0F79" w:rsidP="009C0F79">
            <w:pPr>
              <w:tabs>
                <w:tab w:val="left" w:pos="709"/>
                <w:tab w:val="left" w:pos="851"/>
              </w:tabs>
              <w:spacing w:line="360" w:lineRule="auto"/>
              <w:ind w:left="567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Նախագ</w:t>
            </w:r>
            <w:r w:rsidR="00BB3C13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ծ</w:t>
            </w:r>
            <w:r w:rsidR="00BB3C1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լրամշակ</w:t>
            </w:r>
            <w:r w:rsidR="00BB3C13">
              <w:rPr>
                <w:rFonts w:ascii="GHEA Grapalat" w:hAnsi="GHEA Grapalat" w:cs="Sylfaen"/>
                <w:sz w:val="22"/>
                <w:szCs w:val="22"/>
                <w:lang w:val="hy-AM"/>
              </w:rPr>
              <w:t>վել 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հիմք ընդունելով բոլոր շահագիգիռ մարմինների կարծիքները, ինչպես նաև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սուբվենցիայի ծրագրերի չափորոշիչների մշակման համար ստեղծված աշխատանքային խմբի քննարկումների արդյունքներով։ </w:t>
            </w: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DC1A1D" w:rsidP="00C928A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37C6E" w:rsidRDefault="00A37C6E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C1A1D" w:rsidRDefault="00A37C6E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Նախագծով ներկայացվում է պետական բյուջեից հստակ ֆինանսավորման չափերը ըստ ոլորտների և ուղղությունների։ Դրա հետ մեկտեղ կարևորվում է գերատեսչությունների կողմից հայտերի վերաբերյալ տրվող կարծիքներն ու եզրակացությունները։ Միաժամանակ հաշվի առնելով, որ վերջնակա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փուլում բո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լոր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հայտերը քննարկվում են վարչապետի որո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շ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մամբ ստեղծված միջգերատեսչական հանձնաժողովում, ապա բացառվում է սուբյեկտիվ գործոնների կիրառումը։  Ինչ վերաբերում է </w:t>
            </w:r>
            <w:r w:rsidR="00BB3C13">
              <w:rPr>
                <w:rFonts w:ascii="GHEA Grapalat" w:hAnsi="GHEA Grapalat"/>
                <w:sz w:val="22"/>
                <w:szCs w:val="22"/>
                <w:lang w:val="hy-AM"/>
              </w:rPr>
              <w:t xml:space="preserve">գնահատման չափոփոշիչներին, ապա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2018 թվականին իրականացված սուբվենցիայի ծրագրերի գնահատման արդյունքներով, Հանձնաժողովի նիստերում կայացած քննարկումների արդյունքներով՝ հանվել է բալային գնահատման համակարգը, քանի որ ըստ ոլորտային ուղղությունների ծրագրերը գնահատվում էին միայն նշված ոլորտի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գերատեսչության կողմից և ընդհանուր գնահատակը դառնում էր անարդյունավետ։ </w:t>
            </w: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մասնակի։</w:t>
            </w: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Նախագծին կից ներկայացվող հայտի մեջ փոփոխություններ  են կատարվել, որտեղ հստակ նշվում են առաջարկվող չափորոշիչները ըստ ոլորտների, ինչը և հնարավորություն կտա գոլորտային գերատեսչությունների կողմից հստակ դիրքորոշում կազմել հայտի վերաբերյալ և ներկայացնել այն եզրակացության մեջ։</w:t>
            </w: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74FDD" w:rsidRPr="00E74FDD" w:rsidRDefault="00E74FDD" w:rsidP="00C928A1">
            <w:pPr>
              <w:spacing w:line="276" w:lineRule="auto"/>
              <w:jc w:val="both"/>
              <w:rPr>
                <w:rFonts w:ascii="GHEA Grapalat" w:hAnsi="GHEA Grapalat"/>
                <w:sz w:val="4"/>
                <w:szCs w:val="4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Նշված մոտեցմամբ 2018 թվականի ընթացքում կիրառված բալային և գնահատման համակարգի կիրառումը հանձնաժողովի կողմից գնահատվել է անարդյունավետ։ </w:t>
            </w: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է։</w:t>
            </w: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</w:t>
            </w: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0003" w:rsidRDefault="004A0003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</w:t>
            </w:r>
          </w:p>
          <w:p w:rsidR="00195648" w:rsidRDefault="00195648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C928A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195648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Բալային համակարգը գտնում ենք ո</w:t>
            </w:r>
            <w:r w:rsidR="0066509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նպատակահարմար</w:t>
            </w:r>
            <w:r w:rsidR="00665097">
              <w:rPr>
                <w:rFonts w:ascii="GHEA Grapalat" w:hAnsi="GHEA Grapalat" w:cs="Sylfaen"/>
                <w:sz w:val="22"/>
                <w:szCs w:val="22"/>
                <w:lang w:val="hy-AM"/>
              </w:rPr>
              <w:t>, իսկ սահամաներձ համայնքների համար 5 տոկոսով ավել է ՀՀ պետական բյուջեից ֆինանսավորման չափը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4"/>
                <w:szCs w:val="4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4"/>
                <w:szCs w:val="4"/>
                <w:lang w:val="hy-AM"/>
              </w:rPr>
            </w:pPr>
          </w:p>
          <w:p w:rsidR="00665097" w:rsidRP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4"/>
                <w:szCs w:val="4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Նման մոտեցումը կիրառվել է 2018 թվականի ընթացքում, սակայն այժմ այն ոչ նպատակահարմար է։</w:t>
            </w: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Բալային համակարգը գտնում ենք ոչ նպատակահարմար</w:t>
            </w:r>
            <w:r w:rsidR="00D06FA1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C4607" w:rsidRDefault="008C460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65097" w:rsidRDefault="00B12D7B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մասնակի։</w:t>
            </w:r>
          </w:p>
          <w:p w:rsidR="00665097" w:rsidRPr="00EA6FEC" w:rsidRDefault="00665097" w:rsidP="00C928A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Նշված չափորոշիչները ներառվել են նախագծի 2-րդ հավելվածով հաստատվող հայտի ձևաչափի մեջ, ինչը հնարավորություն կտա բոլոր շահագրգիռ մարմիններին ներկայացնել յուրաքանչյուր հայտի վերա</w:t>
            </w:r>
            <w:r w:rsidR="00B12D7B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երյալ հստակ դիրքորոշում և եզրակացություն։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Նախագիծը լրամշակվել է։</w:t>
            </w: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հավելված 2-</w:t>
            </w:r>
            <w:r w:rsidR="008F56EA">
              <w:rPr>
                <w:rFonts w:ascii="GHEA Grapalat" w:hAnsi="GHEA Grapalat"/>
                <w:sz w:val="22"/>
                <w:szCs w:val="22"/>
                <w:lang w:val="hy-AM"/>
              </w:rPr>
              <w:t>ով հայտի ձևաչափը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լրամշակվել է։</w:t>
            </w: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B3C13" w:rsidRDefault="00BB3C13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կատարվել։</w:t>
            </w: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A54E6" w:rsidRDefault="00BA54E6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Նշված դրույթը հանվել է նախագծից։</w:t>
            </w: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 1-ին հավելվածի 1</w:t>
            </w:r>
            <w:r w:rsidR="00BA54E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-րդ կետը լրացվել է համապատասխան դրույթով։</w:t>
            </w: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95648" w:rsidRDefault="00195648" w:rsidP="0019564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 1-ին հավելվածի 1</w:t>
            </w:r>
            <w:r w:rsidR="00D06FA1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-րդ կետը լրացվել է համապատասխան դրույթով։</w:t>
            </w: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F56EA" w:rsidRDefault="008F56EA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կատարվել։</w:t>
            </w: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65097" w:rsidRDefault="0066509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</w:t>
            </w:r>
            <w:r w:rsidR="00B12D7B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C4607" w:rsidRDefault="008C460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C4607" w:rsidRDefault="008C4607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Pr="00EA6FEC" w:rsidRDefault="008C4607" w:rsidP="008C460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B12D7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ախագծի 2-րդ հավելվածով ներկայացվող հայտի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ձևա</w:t>
            </w:r>
            <w:r w:rsidR="00B12D7B">
              <w:rPr>
                <w:rFonts w:ascii="GHEA Grapalat" w:hAnsi="GHEA Grapalat"/>
                <w:sz w:val="22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B12D7B">
              <w:rPr>
                <w:rFonts w:ascii="GHEA Grapalat" w:hAnsi="GHEA Grapalat"/>
                <w:sz w:val="22"/>
                <w:szCs w:val="22"/>
                <w:lang w:val="hy-AM"/>
              </w:rPr>
              <w:t>ը խմբագրվել է։</w:t>
            </w:r>
          </w:p>
        </w:tc>
      </w:tr>
      <w:tr w:rsidR="009C0F79" w:rsidRPr="001860C5" w:rsidTr="00E24001">
        <w:trPr>
          <w:trHeight w:val="19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B12D7B" w:rsidRDefault="009C0F79" w:rsidP="009C0F7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lastRenderedPageBreak/>
              <w:t xml:space="preserve">ՀՀ արդարադատության նախարարության </w:t>
            </w:r>
            <w:r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24.12.2018</w:t>
            </w:r>
            <w:r w:rsidR="001805B0"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թ</w:t>
            </w:r>
          </w:p>
          <w:p w:rsidR="009C0F79" w:rsidRPr="00B12D7B" w:rsidRDefault="00B12D7B" w:rsidP="00B12D7B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թ</w:t>
            </w:r>
            <w:r w:rsidR="001805B0"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իվ </w:t>
            </w:r>
            <w:r w:rsidR="009C0F79"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9C0F79" w:rsidRPr="00B12D7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01/14/631299-18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Pr="00B12D7B" w:rsidRDefault="009C0F79" w:rsidP="009C0F7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12D7B">
              <w:rPr>
                <w:rFonts w:ascii="GHEA Grapalat" w:hAnsi="GHEA Grapalat" w:cs="Sylfaen"/>
                <w:sz w:val="22"/>
                <w:szCs w:val="22"/>
              </w:rPr>
              <w:t>1.Նախագծի 1-ին կետի 1-ին ենթակետի համաձայն որոշման 1-ին կետի 1-ին ենթակետը խմբագրվում է, որի համաձայն որոշման հավելվածը դառնում է 1-ին հավելված: Այդ առումով անհրաժեշտ է նախատեսել դրույթ, որի համաձայն որոշման հավելվածում վերևի աջ անկյունի ,,հավելված,, բառը փոխարինվի ,,հավելված N1,, բառերով: Սույն փոփոխությունը կատարելուց հետո հնարավոր կլինի նախագծի 1-ին կետի 2-րդ ենթակետով նախատեսված փոփոխությունն իրականացնել:</w:t>
            </w:r>
          </w:p>
          <w:p w:rsidR="009C0F79" w:rsidRPr="00B12D7B" w:rsidRDefault="009C0F79" w:rsidP="009C0F7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12D7B">
              <w:rPr>
                <w:rFonts w:ascii="GHEA Grapalat" w:hAnsi="GHEA Grapalat" w:cs="Sylfaen"/>
                <w:sz w:val="22"/>
                <w:szCs w:val="22"/>
              </w:rPr>
              <w:tab/>
              <w:t>2. Նախագծում անհրաժեշտ է նախատեսել նոր դրույթ, որի համաձայն կլրացվեն N 2 և N 3 հավելվածներ՝ համաձայն N1 և N2 հավելվածների:</w:t>
            </w:r>
          </w:p>
          <w:p w:rsidR="009C0F79" w:rsidRPr="00B12D7B" w:rsidRDefault="009C0F79" w:rsidP="009C0F7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12D7B">
              <w:rPr>
                <w:rFonts w:ascii="GHEA Grapalat" w:hAnsi="GHEA Grapalat" w:cs="Sylfaen"/>
                <w:sz w:val="22"/>
                <w:szCs w:val="22"/>
              </w:rPr>
              <w:tab/>
              <w:t>3. 1-ին հավելվածի վերնագիրն անհրաժեշտ է համապատասխանեցնել նախագծի 1-ին կետի 1-ին ենթակետով խմբագրվող որոշման 1-ին կետի 2-րդ ենթակետի պահանջներին:</w:t>
            </w:r>
          </w:p>
          <w:p w:rsidR="009C0F79" w:rsidRPr="009C0F79" w:rsidRDefault="009C0F79" w:rsidP="00E24001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 w:rsidRPr="00B12D7B">
              <w:rPr>
                <w:rFonts w:ascii="GHEA Grapalat" w:hAnsi="GHEA Grapalat" w:cs="Sylfaen"/>
                <w:sz w:val="22"/>
                <w:szCs w:val="22"/>
              </w:rPr>
              <w:tab/>
              <w:t>4. 1-ին հավելվածի 1-ի կետում ,,ծրագրերի,, բառն անհրաժեշտ է փոխարինել ,,հայտերի,, բառով՝ նկատի ունենալով հավելվածի վերնագրի պահանջները: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12D7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12D7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Default="00B12D7B" w:rsidP="00B12D7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B12D7B" w:rsidRDefault="00B12D7B" w:rsidP="00B12D7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12D7B" w:rsidRPr="008C4607" w:rsidRDefault="00B12D7B" w:rsidP="00E2400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79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Նախագիծը խմբագրվել է։</w:t>
            </w: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Նախագիծը խմբագրվել է։</w:t>
            </w: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Նախագիծը խմբագրվել է։</w:t>
            </w: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2D7B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Նախագիծը խմբագրվել է։</w:t>
            </w:r>
          </w:p>
          <w:p w:rsidR="00B12D7B" w:rsidRPr="00EA6FEC" w:rsidRDefault="00B12D7B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74FDD" w:rsidRPr="00E74FDD" w:rsidTr="00E24001">
        <w:trPr>
          <w:trHeight w:val="19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Pr="00E74FDD" w:rsidRDefault="00E74FDD" w:rsidP="009C0F7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նախարարության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01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 xml:space="preserve">9 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թվականի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թիվ 01/8-4/589-19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Pr="00E74FDD" w:rsidRDefault="00E74FDD" w:rsidP="00E74FDD">
            <w:pPr>
              <w:numPr>
                <w:ilvl w:val="0"/>
                <w:numId w:val="29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Նախագծով առաջարկվում է հաստատել «Հայաստանի Հանրապետության պե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softHyphen/>
              <w:t>տա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softHyphen/>
              <w:t>կան տարեկան բյուջեներով նախատեսված սուբվենցիաներից բացի Հայաստանի Հանրա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softHyphen/>
              <w:t>պետու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softHyphen/>
              <w:t>թյան համայնքների տնտեսական և սոցիալական ենթակառուցվածքների զարգաց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softHyphen/>
              <w:t xml:space="preserve">մանն ուղղված սուբվենցիայի հայտի մշակման, ներկայացման և հաստատման կարգը» (այսուհետ՝ Կարգ)։ Միևնույն ժամանակ 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16.11.2006թ-ի «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տրամադրման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հաստատելու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 N 1708-Ն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որոշման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r w:rsidRPr="00E74FDD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այսուհետ` Որոշում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հաստատված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Հայաստանի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տրամադրման</w:t>
            </w:r>
            <w:proofErr w:type="spellEnd"/>
            <w:r w:rsidRPr="00E74FDD">
              <w:rPr>
                <w:rFonts w:ascii="GHEA Grapalat" w:hAnsi="GHEA Grapalat" w:cs="Sylfaen"/>
                <w:b/>
                <w:bCs/>
                <w:sz w:val="22"/>
                <w:szCs w:val="22"/>
                <w:lang w:val="fr-FR"/>
              </w:rPr>
              <w:t>»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1.1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կետով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արդեն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իսկ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հաստատված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տրամադրվող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ներկայացման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քննարկման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նշված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մեկտեղել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ՀՀ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բոլոր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այդ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թվում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Երևան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քաղաքին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տրամադրվող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սահմանել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մեկ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միասնական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</w:p>
          <w:p w:rsidR="00E74FDD" w:rsidRDefault="00E74FDD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Ընդ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որում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որոշման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կայացման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այդ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նպատակով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ֆինան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սա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միջոցների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նախատեսման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գործընթացը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դարձնել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համահունչ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բյուջետային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գործընթացին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DB22A3" w:rsidRDefault="00DB22A3" w:rsidP="00E74FDD">
            <w:pPr>
              <w:tabs>
                <w:tab w:val="left" w:pos="851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E74FDD" w:rsidRPr="00E74FDD" w:rsidRDefault="00E74FDD" w:rsidP="00E74FDD">
            <w:pPr>
              <w:numPr>
                <w:ilvl w:val="0"/>
                <w:numId w:val="29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վերաբերյալ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հայտնում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հետևյալը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.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սահմանել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ծրագիր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հասկացությունը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Միաժամանակ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ջարկում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որպես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առանձին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ծրագիր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դիտարկել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այն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որոնց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շրջա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նակներում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իրականացվելիք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աշխատանքներն ունեն առանձին նախագծանախա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հաշ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վային փաստաթղթեր և հանդիսանում են առանձին բնութագրեր ունեցող գնման առար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կաներ: Նշվ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ած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նպատակը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կայանում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է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նրանում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որ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մի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քանի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ծրագրեր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չմիա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վորվեն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չներկայացվեն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որպես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մեկ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ծրագիր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ինչպես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օրինակ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ՀՀ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Գեղարքունիքի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մար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զի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Գեղամասար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համայնքի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 xml:space="preserve">Փոքր Մասրիկ 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բնակավայրի խմելու ջրագծի ներքին ցանցի կառու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ցում և Շատվան բնակավայրի խմելու արտաքին ջրագծի վերակառուցում»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  <w:lang w:val="af-ZA"/>
              </w:rPr>
              <w:t xml:space="preserve">կամ 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Տավուշի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մարզի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Բերդ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համայնքի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գիշերային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լուսավորության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ցանցի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կառուցում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Բերդի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Միջին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աղբյուր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տարածքի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բարեկարգում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աստիճանասանդղակի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կառուցում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ծրագրերը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։ 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բ)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նախատեսել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սուբվենցիաների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նահերթության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գնահատման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համակարգը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Նշված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կարևորությունն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ու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անհրա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ժեշտությունը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կայանում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նրանում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որ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հնարավորություն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ընձեռում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սահմանա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փակ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ֆինանսական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ռեսուրսների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շրջանակներում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դասակարգել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առաջնահերթ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ֆինան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սա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վոր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ենթակա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Օրինակ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ենթադրենք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համայնքներից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ստացված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դրույթներին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համապատասխանող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ծրագրերին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պետության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մասնակցության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չափը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կազմում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10.0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մլրդ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դրամ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սակայն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գումարի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հատկացման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հնա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րա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վո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րու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թյունը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կազմում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3.0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մլրդ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դրամ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այդ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պարագայում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պարզ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չէ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թե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ինչ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սկզբունքով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ընտրվելու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ֆինանսավորման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ենթակա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ծրագրերը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գ)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5-րդ և 11-րդ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կետերի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համաձայն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` մ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արզպետարանը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,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E74FDD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սուբվենցիայի ծրագրերի 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հայտի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և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E74FDD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փաթեթ</w:t>
            </w:r>
            <w:r w:rsidRPr="00E74FDD">
              <w:rPr>
                <w:rFonts w:ascii="GHEA Grapalat" w:hAnsi="GHEA Grapalat" w:cs="GHEA Grapalat"/>
                <w:color w:val="000000"/>
                <w:sz w:val="22"/>
                <w:szCs w:val="22"/>
              </w:rPr>
              <w:t>ի</w:t>
            </w:r>
            <w:r w:rsidRPr="00E74FDD">
              <w:rPr>
                <w:rFonts w:ascii="GHEA Grapalat" w:hAnsi="GHEA Grapalat" w:cs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վերաբերյալ առարկություններ չունենալու դեպքում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</w:rPr>
              <w:t>վերջիններս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ներ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կա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յաց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 xml:space="preserve">նում է 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տարածքային կառավարման և զարգացման նախարարություն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Սակայն</w:t>
            </w:r>
            <w:proofErr w:type="spellEnd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Կար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softHyphen/>
              <w:t>գում</w:t>
            </w:r>
            <w:proofErr w:type="spellEnd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բացակայում</w:t>
            </w:r>
            <w:proofErr w:type="spellEnd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առարկություններ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լինելու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դեպքում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հետագա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ընթացակարգը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տասխան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ժամկետներով</w:t>
            </w:r>
            <w:proofErr w:type="spellEnd"/>
            <w:proofErr w:type="gram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)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։</w:t>
            </w:r>
            <w:proofErr w:type="gramEnd"/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lastRenderedPageBreak/>
              <w:t xml:space="preserve">դ)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14-րդ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կետի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համաձայն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ձևաչափին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անհամապատասխան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պահանջ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վող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թերի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փաստաթղթերով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սուբվենցիների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վերադարձվում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համայնք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նե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ղեկավարներին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լրամշակման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Սակայն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բացակայում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լրամշակված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ներ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կայացման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քննարկման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ընթացակարգը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ժամկետներով</w:t>
            </w:r>
            <w:proofErr w:type="spellEnd"/>
            <w:proofErr w:type="gram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)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։</w:t>
            </w:r>
            <w:proofErr w:type="gram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Վերջինս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softHyphen/>
              <w:t>ցակայում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նաև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18-րդ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կետի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համաձայն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լրամշակման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վերադարձված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գծով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:</w:t>
            </w:r>
          </w:p>
          <w:p w:rsid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ե)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4-րդ, 10-րդ, 13-րդ և 15-րդ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կետերում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սահմանել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հստակ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ժամ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կետներ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1F65F5" w:rsidRDefault="001F65F5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1F65F5" w:rsidRPr="00E74FDD" w:rsidRDefault="001F65F5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զ)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12-րդ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կետում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ամբողջական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փաթեթի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կազմից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դուրս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մնացել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Միաժամանակ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նույն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կետի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3-րդ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ենթակետում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Քաղաքաշինական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փաստաթղթերի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փոխարինել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Շինարարական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իսկ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օրենքներով և ենթաօրենսդրական նորմատիվ իրավական ակտերով նախատեսված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՝ «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ՀՀ 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օրենսդրությամբ</w:t>
            </w:r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սահմանված</w:t>
            </w:r>
            <w:proofErr w:type="spellEnd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կարգով</w:t>
            </w:r>
            <w:proofErr w:type="spellEnd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տրված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է)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Ներկայացված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չեն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22-րդ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կետի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աղյուսակում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նշված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` 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տրամադրվող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չափաբաժինների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հիմնավորումները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Միաժամանակ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պետական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բյուջեից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համայնքներին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տրամադրվող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առավելագույն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չափաբաժինը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ընդհանուր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արժեքի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50%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սահմանելու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հարցը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 xml:space="preserve">ը)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Բացի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այդ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աղյուսակում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որպես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ծրագրի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ոլորտ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նախատեսված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բազմաբնակարան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շենքերի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տանիքների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վերանորոգումը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Սակայն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արգի 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-րդ կետի պահանջների</w:t>
            </w:r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համաձայն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`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ս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ուբվենցիայի տրամադրման նպատակով դիտարկվում են այն ծրագրային հայտերը, որոնց իրականացումը կնպաստի </w:t>
            </w:r>
            <w:r w:rsidRPr="00E74FDD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համայնքին սեփականության իրավունքով պատկանող 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հիմնական միջոցների (հիմնական ֆոնդերի) ստեղծմանը (ձեռք բերմանը) կամ դրանց արժեքի ավելացմանը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մինչդեռ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բազմաբնակարան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շենքերի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տանիքները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հանդիսանում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շենքի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սեփականատերերի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ընդհանուր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բաժնային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սեփականություն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Միաժամանակ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բազմաբնակարան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շենքերի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կառավարման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ոլորտի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ներկայիս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կարգավորումների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պարագայում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նկատի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ունենալով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բազմաբնակարան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շենքերի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պատշաճ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պահպանման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շահագործման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բացակայությունը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տվյալ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ոլորտին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բյուջետային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հատկացումները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գտնում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ոչ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նպատակահարմար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առաջարկում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խնդիրը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դիտարկել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ոլորտի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հիմնախնդիրների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լուծման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ընդհանուր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համատեքստում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։</w:t>
            </w:r>
          </w:p>
          <w:p w:rsidR="005D5208" w:rsidRDefault="005D5208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5D5208" w:rsidRDefault="005D5208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5D5208" w:rsidRDefault="005D5208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թ)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23-րդ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կետի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համաձայն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` մ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ասնավոր հատվածի /կազմակերպություններ, բնակչություն/ կողմից ծրագրի 20 տոկոս և ավել համաֆինանսավորման դեպ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քում՝ ՀՀ պե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կան բյուջեից համաֆինանսավորման չափաբաժինն ավելանում է 5 տոկոսով։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Առա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ջար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կում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մ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ասնավոր հատվածի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մասնակցությունը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առնել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«բ»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կետում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առա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ջարկվող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lastRenderedPageBreak/>
              <w:t>ծրագրային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հայտերի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առաջնահերթության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գնահատման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համակարգում</w:t>
            </w:r>
            <w:proofErr w:type="spellEnd"/>
            <w:r w:rsidRPr="00E74FD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:</w:t>
            </w:r>
          </w:p>
          <w:p w:rsidR="00E74FDD" w:rsidRPr="00E74FDD" w:rsidRDefault="00E74FDD" w:rsidP="00E74FDD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Հաշվի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առնելով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վերը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նշվածները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Նախագիծը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լրամշակման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կարիք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ունի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Ուստի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Նա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խագ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ծի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վերաբերյալ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ամբողջական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դիրքորոշում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կարող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հայտնել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լրամ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շակված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տարբերակի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առկայության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պարագայում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</w:p>
          <w:p w:rsidR="00E74FDD" w:rsidRPr="00E74FDD" w:rsidRDefault="00E74FDD" w:rsidP="009C0F7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Pr="00E74FDD" w:rsidRDefault="00DB22A3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</w:t>
            </w:r>
            <w:r w:rsidR="00E74FDD"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>իտարկելով «Հայաստանի Հանրապետության 2019 թվականի պետական բյուջեի մասին» ՀՀ օրենքի N 1 հավելվածով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74FDD"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 համայնքին տրամադրված սուբվենցիաների բացվածքը, գտնում ենք, որ սուբվենցիաների գծով օրինակ «Եվրոպական ներդրումային բանկի աջակցությամբ իրականացվող</w:t>
            </w:r>
          </w:p>
          <w:p w:rsidR="00E74FDD" w:rsidRPr="00E74FDD" w:rsidRDefault="00E74FDD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Երևանի էներգաարդյունավետության ծրագրին պետական աջակցություն», «Աջակցություն Երևանի քաղաքապետի տեղական ինքնակառավարման լիազորությունների իրականացմանը», «Վերգետնյա էլեկտրոտրանսպորտով </w:t>
            </w:r>
            <w:r w:rsidR="00E24001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>ղևորափոխադրումների</w:t>
            </w:r>
          </w:p>
          <w:p w:rsidR="00E74FDD" w:rsidRDefault="00E74FDD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ծառայությունների մատուցում» և այլ ծրագրերի և միջոցառումների մեկտեղումը սույն կարգով նախատեսվող համայնքների սոցիալական և տնտեսական զարգացմանն ուղղված սուբվենցիայի տրամադրման գործընթացի հետ  անհնար է։ </w:t>
            </w:r>
          </w:p>
          <w:p w:rsidR="00E24001" w:rsidRDefault="00E24001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Pr="00E74FDD" w:rsidRDefault="00E24001" w:rsidP="00E74F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74FDD" w:rsidRDefault="00E74FDD" w:rsidP="00DB22A3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 վերաբերում է սուբվենցիաների ծրագրային հայտերի քննարկման, հանձնաժողովի կողմից համապատասխան որոշման կայացման և այդ նպատակով ֆինանսական միջոցների նախատեսման գործընթացը բյուջետային գործընթացին համահունչ դարձնելուն, առաջարկն ընդունելի է և նախատեսվում է իրականացնել մոտ ապագայում, քանի որ այս պահին դա դառնում է անհնար՝ հաշվի առնելով, որ 2019 թվականի բյուջեում չեն նախատեսվել համապատասխան </w:t>
            </w:r>
            <w:r w:rsidRPr="00E74FD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միջոցներ համայնքների տնտեսական և սոցիալական ենթակառուցվածքների զարգացմանն ուղղված սուբվենցիայի տրամադրման համար, սակայն 2019 թվականին նախատեսվում է էլ ավելի թվով սուբվենիցայի ծրագրերի համաֆինանսավորում /պահուստային ֆոնդից/, և</w:t>
            </w:r>
            <w:r w:rsidR="00DB22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բացի դրանից, քանի որ սույն որոշմամբ սահմանվում է սուբվենցիայի հատի մշակման, քննարկման և հաստատման ընթացակարգը, և համայնքները դեռևս չեն մշակել հայտեր՝ հաշվի առնելով առաջարկվող փոփոխությունները, ուստի 2019 թվականի համար անհնար է այն դարձնել բյուջետային ծրարգերի մշակման գործընթացի հետ համատեղ։ Սակայն հետագայում, երբ արդեն հատատված կլինեն հայտերի մշակման գործընթացը և համաֆինանսավորման չափերը,  կառավարության որոշման մեջ փոփոխություններ կատարելով այն կհամադրվի բյուջետային գործընթացի հետ։ </w:t>
            </w:r>
          </w:p>
          <w:p w:rsidR="00E24001" w:rsidRDefault="00E24001" w:rsidP="00DB22A3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DB22A3" w:rsidP="00DB22A3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Այն մտավախությունը, որ տարբեր ծրագրեր կմիավորվեն արդեն իսկ բացառվում է, քանի որ որոշման նախագծի 1 հավելվածի</w:t>
            </w:r>
            <w:r w:rsidR="001F65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24-րդ կետով Հ</w:t>
            </w:r>
            <w:r w:rsidR="001F65F5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պետական բյուջեի համաֆինանսավորման համար հստակ առանձնացված են ծրագրերի ուղղությունները, այսինքն հնարավոր չի լինի դիտարկել լուսավորությունն ու աստիճանասա</w:t>
            </w:r>
            <w:r w:rsidR="001F65F5">
              <w:rPr>
                <w:rFonts w:ascii="GHEA Grapalat" w:hAnsi="GHEA Grapalat" w:cs="Sylfaen"/>
                <w:sz w:val="22"/>
                <w:szCs w:val="22"/>
                <w:lang w:val="hy-AM"/>
              </w:rPr>
              <w:t>նդղակի կառուցումը մեկ ծրագրում։</w:t>
            </w:r>
          </w:p>
          <w:p w:rsidR="001F65F5" w:rsidRDefault="001F65F5" w:rsidP="00DB22A3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B22A3" w:rsidRDefault="00DB22A3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 է։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պետական բյուջեից տրամադրվող սուբվենցիայի չափաբաժինները ներկայացված են ըստ համայնքների զարգացման առաջնահերթությունների՝ և չափաբաժինները քննարկվել են բոլոր շահագրգիռ մարմինների հետ։</w:t>
            </w: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53380" w:rsidRDefault="00F53380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</w:t>
            </w:r>
            <w:r w:rsidR="00551A8E">
              <w:rPr>
                <w:rFonts w:ascii="GHEA Grapalat" w:hAnsi="GHEA Grapalat" w:cs="Sylfaen"/>
                <w:sz w:val="22"/>
                <w:szCs w:val="22"/>
                <w:lang w:val="hy-AM"/>
              </w:rPr>
              <w:t>անրապետությունում առկա են թվով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19195 բազմաբնակարան շենք, որից 14347-ը ՀՀ մարզերում,</w:t>
            </w:r>
            <w:r w:rsidR="00D70A9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ցավոք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դեռևս ձևավորված և հստակ չի գործում բազմաբնակարան շենքերի կառավարման մարմինների ինստիտուտը, ինչը հնարավորություն կտար պատշաճ կերպով պահպանել ընդհանուր բաժնային սեփականությունը, 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տանիքներ, նկուղներ, աստճանավանդակներ, մուտքեր/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։ </w:t>
            </w:r>
            <w:r w:rsidR="00D70A9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Հաշվի առնելով,  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>որ 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յդ ուղղությամբ 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վերջին 20 տարիների ընթացքում հիմնականում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ոչ մի ծախսեր չ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են կատարվել, ինչի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հետևանքով այսօր մենք ունենք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մաշված, հնացած բնակարանյին ֆոնդ, որը տարեց տարի դառնում է 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թարային։ Հաշվի առն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լով, որ նաև համայ</w:t>
            </w:r>
            <w:r w:rsidR="00310E4B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քները ի վիճակի չեն ինքնուրույն իրականացնել բազմաբնակարան շենքերի տանիքների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այլ տարրեի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վերանորոգման աշխատանքները, և կարևորելով հանրապետության բնակարանյին ֆոնդի պահպանումը, առաջարկում ենք նախագծով, որպես բացառություն սուբվենցիայի տրամարդման գործընթացում դիտարկել նաև ՀՀ մարզեորւմ բազմաբնակարան շենքերի ընդհանուր բաժնային սեփականության տարրե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նորոգումն ու վերանորոգումը</w:t>
            </w:r>
            <w:r w:rsidR="005D5208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E24001" w:rsidRDefault="00E24001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5D5208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1F65F5" w:rsidRPr="00E74FDD" w:rsidRDefault="001F65F5" w:rsidP="001F65F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փոփոխություններ չեն կատարվել</w:t>
            </w: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</w:t>
            </w: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հավելված 1-ի 18-րդ կետը լրացվել է համապատասխան առաջարկով</w:t>
            </w: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լրացումները։</w:t>
            </w: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հավելված 1-ում ում կատարվել են համապատասխան լրացումները՝  14 –րդ կետում և նախագիծը լրացվել է նոր 20-րդ կետով։</w:t>
            </w: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>Կարգի</w:t>
            </w:r>
            <w:proofErr w:type="spellEnd"/>
            <w:r w:rsidRPr="00E74FD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4-րդ, 10-րդ, 13-րդ և 15-րդ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կետերում լրացվել են ժամկետները։</w:t>
            </w: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1 հավելվածի 12-րդ կետը խմբագրվել է։</w:t>
            </w: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A460B" w:rsidRDefault="00FA460B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F65F5" w:rsidRDefault="001F65F5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փոփոխություններ չեն կատարվել։</w:t>
            </w: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Նախագծում փոփոխություններ չեն կատարվել</w:t>
            </w: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1F65F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Դրույթը հանվել է կարգից։</w:t>
            </w:r>
          </w:p>
          <w:p w:rsidR="005D5208" w:rsidRPr="001F65F5" w:rsidRDefault="005D5208" w:rsidP="001F65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74FDD" w:rsidRPr="00E74FDD" w:rsidTr="00E24001">
        <w:trPr>
          <w:trHeight w:val="19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74FDD">
              <w:rPr>
                <w:rFonts w:ascii="GHEA Grapalat" w:hAnsi="GHEA Grapalat"/>
                <w:sz w:val="22"/>
                <w:szCs w:val="22"/>
              </w:rPr>
              <w:lastRenderedPageBreak/>
              <w:t>Քաղաքաշինության կոմիտե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յի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FDD">
              <w:rPr>
                <w:rFonts w:ascii="GHEA Grapalat" w:hAnsi="GHEA Grapalat"/>
                <w:sz w:val="22"/>
                <w:szCs w:val="22"/>
              </w:rPr>
              <w:t>2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E74FDD">
              <w:rPr>
                <w:rFonts w:ascii="GHEA Grapalat" w:hAnsi="GHEA Grapalat"/>
                <w:sz w:val="22"/>
                <w:szCs w:val="22"/>
              </w:rPr>
              <w:t>.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01</w:t>
            </w:r>
            <w:r w:rsidRPr="00E74FDD">
              <w:rPr>
                <w:rFonts w:ascii="GHEA Grapalat" w:hAnsi="GHEA Grapalat"/>
                <w:sz w:val="22"/>
                <w:szCs w:val="22"/>
              </w:rPr>
              <w:t>.201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E74FDD">
              <w:rPr>
                <w:rFonts w:ascii="GHEA Grapalat" w:hAnsi="GHEA Grapalat"/>
                <w:sz w:val="22"/>
                <w:szCs w:val="22"/>
              </w:rPr>
              <w:t>թ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FDD">
              <w:rPr>
                <w:rFonts w:ascii="GHEA Grapalat" w:hAnsi="GHEA Grapalat"/>
                <w:sz w:val="22"/>
                <w:szCs w:val="22"/>
              </w:rPr>
              <w:t>N 01/14.1/212-19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FDD">
              <w:rPr>
                <w:rFonts w:ascii="GHEA Grapalat" w:hAnsi="GHEA Grapalat"/>
                <w:sz w:val="22"/>
                <w:szCs w:val="22"/>
              </w:rPr>
              <w:t>գրություն</w:t>
            </w:r>
          </w:p>
          <w:p w:rsidR="00E74FDD" w:rsidRPr="00E74FDD" w:rsidRDefault="00E74FDD" w:rsidP="00E74F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E74FDD" w:rsidRPr="00E74FDD" w:rsidRDefault="00E74FDD" w:rsidP="009C0F7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Pr="00E74FDD" w:rsidRDefault="00E74FDD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N 1 հավելված</w:t>
            </w:r>
            <w:r w:rsidRPr="00E74FDD">
              <w:rPr>
                <w:rFonts w:ascii="GHEA Grapalat" w:hAnsi="GHEA Grapalat"/>
                <w:sz w:val="22"/>
                <w:szCs w:val="22"/>
              </w:rPr>
              <w:t>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22-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կետի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2-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, 3-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և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4-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 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տողերում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անցկացում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վերանորոգում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կառուցում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, 6-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տողում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`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կառուցում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վերանորոգում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կառուցում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վերակառուցում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E74FDD" w:rsidRDefault="00E74FDD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N 1 հավելված</w:t>
            </w:r>
            <w:r w:rsidRPr="00E74FDD">
              <w:rPr>
                <w:rFonts w:ascii="GHEA Grapalat" w:hAnsi="GHEA Grapalat"/>
                <w:sz w:val="22"/>
                <w:szCs w:val="22"/>
              </w:rPr>
              <w:t>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22-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կետի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7-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տողում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Հանրային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 </w:t>
            </w:r>
            <w:proofErr w:type="spellStart"/>
            <w:r w:rsidRPr="00E74FDD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proofErr w:type="spellEnd"/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5D5208" w:rsidRPr="00E74FDD" w:rsidRDefault="005D5208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E74FDD" w:rsidRPr="00E74FDD" w:rsidRDefault="00E74FDD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N 1 հավելված</w:t>
            </w:r>
            <w:r w:rsidRPr="00E74FDD">
              <w:rPr>
                <w:rFonts w:ascii="GHEA Grapalat" w:hAnsi="GHEA Grapalat"/>
                <w:sz w:val="22"/>
                <w:szCs w:val="22"/>
              </w:rPr>
              <w:t>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22-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կետի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9-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տողում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Բազմաբնակարան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տանիքների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վերանորոգում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Բազմաբնակարան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շենքի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ընդհանուր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բաժնային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նորոգում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74FDD">
              <w:rPr>
                <w:rFonts w:ascii="GHEA Grapalat" w:hAnsi="GHEA Grapalat"/>
                <w:sz w:val="22"/>
                <w:szCs w:val="22"/>
              </w:rPr>
              <w:t>որը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հնարավորություն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կտա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ՀՀ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բյուջեից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տրամադրվող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սուբվենցիայի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չափաբաժինների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մոտեցումը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կիրառել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նաև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շենքի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գործառական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այլ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տարածքների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նորոգման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</w:p>
          <w:p w:rsidR="00E74FDD" w:rsidRPr="00E74FDD" w:rsidRDefault="00E74FDD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74FDD">
              <w:rPr>
                <w:rFonts w:ascii="GHEA Grapalat" w:hAnsi="GHEA Grapalat"/>
                <w:sz w:val="22"/>
                <w:szCs w:val="22"/>
                <w:lang w:val="hy-AM"/>
              </w:rPr>
              <w:t>N 1 հավելված</w:t>
            </w:r>
            <w:r w:rsidRPr="00E74FDD">
              <w:rPr>
                <w:rFonts w:ascii="GHEA Grapalat" w:hAnsi="GHEA Grapalat"/>
                <w:sz w:val="22"/>
                <w:szCs w:val="22"/>
              </w:rPr>
              <w:t>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22-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կետի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11-</w:t>
            </w:r>
            <w:r w:rsidRPr="00E74FDD">
              <w:rPr>
                <w:rFonts w:ascii="GHEA Grapalat" w:hAnsi="GHEA Grapalat"/>
                <w:sz w:val="22"/>
                <w:szCs w:val="22"/>
              </w:rPr>
              <w:t>րդ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տողում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&lt;&lt;</w:t>
            </w:r>
            <w:r w:rsidRPr="00E74FDD">
              <w:rPr>
                <w:rFonts w:ascii="GHEA Grapalat" w:hAnsi="GHEA Grapalat"/>
                <w:sz w:val="22"/>
                <w:szCs w:val="22"/>
              </w:rPr>
              <w:t>Աղբավայրերի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բարեկարգում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կամ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փակում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&gt;&gt; </w:t>
            </w:r>
            <w:r w:rsidRPr="00E74FDD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74FDD">
              <w:rPr>
                <w:rFonts w:ascii="GHEA Grapalat" w:hAnsi="GHEA Grapalat"/>
                <w:sz w:val="22"/>
                <w:szCs w:val="22"/>
              </w:rPr>
              <w:t>վերանայել</w:t>
            </w:r>
            <w:r w:rsidRPr="00E74FDD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</w:p>
          <w:p w:rsidR="00E74FDD" w:rsidRPr="00E74FDD" w:rsidRDefault="00E74FDD" w:rsidP="00E74FDD">
            <w:pPr>
              <w:ind w:left="-18" w:firstLine="27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E74FDD" w:rsidRPr="00E74FDD" w:rsidRDefault="00E74FDD" w:rsidP="009C0F7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 է։</w:t>
            </w: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4001" w:rsidRDefault="00E24001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է։</w:t>
            </w: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BE24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Pr="00E74FDD" w:rsidRDefault="005D5208" w:rsidP="005D520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առնոլով, որ հնարապետությունում առկա են շուրջ 350 աղբանոցներ, որոնք չեն համապատասխանում բնապահպանական և քաղաքաշինական ոչ մի ներմերին՝ դրանց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բացասական ազդեցությունները նվազեցնելու մարդու առողջությանն ու շրջակա միջավայրին հրատապ հարցէ հանդիսանում աղբանոցների բարեկարգումը կամ փակումը։ Հաշվի առնելով, որ նախորտ 1,5 տարվա ընթացքում համայնքների կողմից փակվել են 1700 աղբանոց, այժմ համայնքները ի վիճակի չեն ինքնուրույն լուծել մյուս աղբանոցների փակման կամ բարեկարգման աշխատանքները։ Ուստի առաջարկվում է պետական աջակցությունը նշված գործընթացում։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D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Կատարվել են համապատասխան փոփոխությունները։</w:t>
            </w: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փոփոխությունները։</w:t>
            </w:r>
          </w:p>
          <w:p w:rsidR="00E24001" w:rsidRDefault="00E24001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24001" w:rsidRDefault="00E24001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փոփոխությունները։</w:t>
            </w: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փոփոխություններ չեն կատարվել։ </w:t>
            </w: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5208" w:rsidRPr="00E74FDD" w:rsidRDefault="005D5208" w:rsidP="00EA6FE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340B6B" w:rsidRPr="00E74FDD" w:rsidRDefault="00340B6B" w:rsidP="005D5208">
      <w:pPr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sectPr w:rsidR="00340B6B" w:rsidRPr="00E74FDD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50EA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173907"/>
    <w:multiLevelType w:val="hybridMultilevel"/>
    <w:tmpl w:val="5F34E06A"/>
    <w:lvl w:ilvl="0" w:tplc="A3DE209C">
      <w:start w:val="1"/>
      <w:numFmt w:val="decimal"/>
      <w:lvlText w:val="%1."/>
      <w:lvlJc w:val="left"/>
      <w:pPr>
        <w:ind w:left="720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3E47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E04386"/>
    <w:multiLevelType w:val="hybridMultilevel"/>
    <w:tmpl w:val="B62E8DC6"/>
    <w:lvl w:ilvl="0" w:tplc="EE4A1C5E">
      <w:start w:val="1"/>
      <w:numFmt w:val="decimal"/>
      <w:lvlText w:val="%1."/>
      <w:lvlJc w:val="left"/>
      <w:pPr>
        <w:ind w:left="927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05E7D"/>
    <w:multiLevelType w:val="hybridMultilevel"/>
    <w:tmpl w:val="6602B68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667E22"/>
    <w:multiLevelType w:val="hybridMultilevel"/>
    <w:tmpl w:val="845C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F0D7F"/>
    <w:multiLevelType w:val="hybridMultilevel"/>
    <w:tmpl w:val="96AE0962"/>
    <w:lvl w:ilvl="0" w:tplc="E3723D4A">
      <w:start w:val="1"/>
      <w:numFmt w:val="decimal"/>
      <w:lvlText w:val="%1."/>
      <w:lvlJc w:val="left"/>
      <w:pPr>
        <w:ind w:left="927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9454B"/>
    <w:multiLevelType w:val="hybridMultilevel"/>
    <w:tmpl w:val="5F34E06A"/>
    <w:lvl w:ilvl="0" w:tplc="A3DE209C">
      <w:start w:val="1"/>
      <w:numFmt w:val="decimal"/>
      <w:lvlText w:val="%1."/>
      <w:lvlJc w:val="left"/>
      <w:pPr>
        <w:ind w:left="720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4F656E0"/>
    <w:multiLevelType w:val="hybridMultilevel"/>
    <w:tmpl w:val="00AE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2"/>
  </w:num>
  <w:num w:numId="5">
    <w:abstractNumId w:val="13"/>
  </w:num>
  <w:num w:numId="6">
    <w:abstractNumId w:val="21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27"/>
  </w:num>
  <w:num w:numId="12">
    <w:abstractNumId w:val="14"/>
  </w:num>
  <w:num w:numId="13">
    <w:abstractNumId w:val="4"/>
  </w:num>
  <w:num w:numId="14">
    <w:abstractNumId w:val="19"/>
  </w:num>
  <w:num w:numId="15">
    <w:abstractNumId w:val="25"/>
  </w:num>
  <w:num w:numId="16">
    <w:abstractNumId w:val="5"/>
  </w:num>
  <w:num w:numId="17">
    <w:abstractNumId w:val="12"/>
  </w:num>
  <w:num w:numId="18">
    <w:abstractNumId w:val="3"/>
  </w:num>
  <w:num w:numId="19">
    <w:abstractNumId w:val="6"/>
  </w:num>
  <w:num w:numId="20">
    <w:abstractNumId w:val="2"/>
  </w:num>
  <w:num w:numId="21">
    <w:abstractNumId w:val="15"/>
  </w:num>
  <w:num w:numId="22">
    <w:abstractNumId w:val="17"/>
  </w:num>
  <w:num w:numId="23">
    <w:abstractNumId w:val="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7"/>
  </w:num>
  <w:num w:numId="27">
    <w:abstractNumId w:val="18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37"/>
    <w:rsid w:val="00007BC1"/>
    <w:rsid w:val="00011C58"/>
    <w:rsid w:val="00022A3E"/>
    <w:rsid w:val="000376CD"/>
    <w:rsid w:val="00041044"/>
    <w:rsid w:val="0005355B"/>
    <w:rsid w:val="00056265"/>
    <w:rsid w:val="000736F5"/>
    <w:rsid w:val="0008448D"/>
    <w:rsid w:val="000C5D33"/>
    <w:rsid w:val="000C6536"/>
    <w:rsid w:val="000C68E0"/>
    <w:rsid w:val="000D7D88"/>
    <w:rsid w:val="000E40FF"/>
    <w:rsid w:val="000E54D1"/>
    <w:rsid w:val="000F4487"/>
    <w:rsid w:val="00102759"/>
    <w:rsid w:val="0010444A"/>
    <w:rsid w:val="001102F8"/>
    <w:rsid w:val="00121AB4"/>
    <w:rsid w:val="0012206A"/>
    <w:rsid w:val="00122246"/>
    <w:rsid w:val="0013158B"/>
    <w:rsid w:val="00133E98"/>
    <w:rsid w:val="00141893"/>
    <w:rsid w:val="00142068"/>
    <w:rsid w:val="001431CF"/>
    <w:rsid w:val="00160C8D"/>
    <w:rsid w:val="001805B0"/>
    <w:rsid w:val="00184A02"/>
    <w:rsid w:val="001860C5"/>
    <w:rsid w:val="00195648"/>
    <w:rsid w:val="001B6ABA"/>
    <w:rsid w:val="001D4A1A"/>
    <w:rsid w:val="001D7FFC"/>
    <w:rsid w:val="001E5ABF"/>
    <w:rsid w:val="001F65F5"/>
    <w:rsid w:val="002069C8"/>
    <w:rsid w:val="002248FB"/>
    <w:rsid w:val="002404E5"/>
    <w:rsid w:val="002539E5"/>
    <w:rsid w:val="00256495"/>
    <w:rsid w:val="0025707C"/>
    <w:rsid w:val="00257998"/>
    <w:rsid w:val="00263A13"/>
    <w:rsid w:val="00267152"/>
    <w:rsid w:val="002747A9"/>
    <w:rsid w:val="00281065"/>
    <w:rsid w:val="0028287F"/>
    <w:rsid w:val="00291C41"/>
    <w:rsid w:val="002A7C5C"/>
    <w:rsid w:val="002D2589"/>
    <w:rsid w:val="002D447E"/>
    <w:rsid w:val="002D5416"/>
    <w:rsid w:val="003018E0"/>
    <w:rsid w:val="00302CFD"/>
    <w:rsid w:val="0031003C"/>
    <w:rsid w:val="00310E4B"/>
    <w:rsid w:val="003341AE"/>
    <w:rsid w:val="00340B6B"/>
    <w:rsid w:val="00341F2B"/>
    <w:rsid w:val="0034553B"/>
    <w:rsid w:val="00355BC7"/>
    <w:rsid w:val="00355BD7"/>
    <w:rsid w:val="00357635"/>
    <w:rsid w:val="00357782"/>
    <w:rsid w:val="00367C17"/>
    <w:rsid w:val="00370F20"/>
    <w:rsid w:val="0038445A"/>
    <w:rsid w:val="00396588"/>
    <w:rsid w:val="003B3EC7"/>
    <w:rsid w:val="003D4920"/>
    <w:rsid w:val="003E003A"/>
    <w:rsid w:val="003E746A"/>
    <w:rsid w:val="003F0FF6"/>
    <w:rsid w:val="003F6990"/>
    <w:rsid w:val="00403929"/>
    <w:rsid w:val="004175E4"/>
    <w:rsid w:val="004322E7"/>
    <w:rsid w:val="00436BA8"/>
    <w:rsid w:val="00442FBA"/>
    <w:rsid w:val="004557AA"/>
    <w:rsid w:val="00462FEE"/>
    <w:rsid w:val="00466A0F"/>
    <w:rsid w:val="0049124E"/>
    <w:rsid w:val="00491939"/>
    <w:rsid w:val="004932E9"/>
    <w:rsid w:val="004974B1"/>
    <w:rsid w:val="004A0003"/>
    <w:rsid w:val="004B2FB7"/>
    <w:rsid w:val="004D3CE2"/>
    <w:rsid w:val="004D473F"/>
    <w:rsid w:val="004E5DD6"/>
    <w:rsid w:val="004F4FA8"/>
    <w:rsid w:val="00507BC5"/>
    <w:rsid w:val="00523609"/>
    <w:rsid w:val="00525D72"/>
    <w:rsid w:val="00551A8E"/>
    <w:rsid w:val="00552F9F"/>
    <w:rsid w:val="00553FAA"/>
    <w:rsid w:val="005554FD"/>
    <w:rsid w:val="00565FDA"/>
    <w:rsid w:val="005877C4"/>
    <w:rsid w:val="005B1748"/>
    <w:rsid w:val="005C05B2"/>
    <w:rsid w:val="005C093D"/>
    <w:rsid w:val="005D5208"/>
    <w:rsid w:val="005D7954"/>
    <w:rsid w:val="005F24D0"/>
    <w:rsid w:val="005F59C9"/>
    <w:rsid w:val="006149D0"/>
    <w:rsid w:val="00617A02"/>
    <w:rsid w:val="006212FF"/>
    <w:rsid w:val="0064217A"/>
    <w:rsid w:val="00643710"/>
    <w:rsid w:val="006526DC"/>
    <w:rsid w:val="00665097"/>
    <w:rsid w:val="0067263A"/>
    <w:rsid w:val="0067280C"/>
    <w:rsid w:val="006824F0"/>
    <w:rsid w:val="00682DB4"/>
    <w:rsid w:val="006B4BA5"/>
    <w:rsid w:val="006C2204"/>
    <w:rsid w:val="006C4A37"/>
    <w:rsid w:val="006D541E"/>
    <w:rsid w:val="006F38D5"/>
    <w:rsid w:val="006F7E22"/>
    <w:rsid w:val="00702F49"/>
    <w:rsid w:val="00712236"/>
    <w:rsid w:val="007122A8"/>
    <w:rsid w:val="007128DF"/>
    <w:rsid w:val="00722FC2"/>
    <w:rsid w:val="007253E0"/>
    <w:rsid w:val="00731560"/>
    <w:rsid w:val="0073748E"/>
    <w:rsid w:val="0073777F"/>
    <w:rsid w:val="007521D7"/>
    <w:rsid w:val="007544F0"/>
    <w:rsid w:val="0075672B"/>
    <w:rsid w:val="00764AA7"/>
    <w:rsid w:val="0076697E"/>
    <w:rsid w:val="007870BB"/>
    <w:rsid w:val="007947A0"/>
    <w:rsid w:val="007A588D"/>
    <w:rsid w:val="007A632B"/>
    <w:rsid w:val="007B4473"/>
    <w:rsid w:val="007B5B2D"/>
    <w:rsid w:val="007C1F11"/>
    <w:rsid w:val="007C1F96"/>
    <w:rsid w:val="007C7F4E"/>
    <w:rsid w:val="007E7E12"/>
    <w:rsid w:val="00802237"/>
    <w:rsid w:val="00805C05"/>
    <w:rsid w:val="00805F09"/>
    <w:rsid w:val="008062FD"/>
    <w:rsid w:val="00807965"/>
    <w:rsid w:val="00824F4D"/>
    <w:rsid w:val="0085170E"/>
    <w:rsid w:val="008524E0"/>
    <w:rsid w:val="0086040A"/>
    <w:rsid w:val="00862B4C"/>
    <w:rsid w:val="008C4607"/>
    <w:rsid w:val="008E07BB"/>
    <w:rsid w:val="008F56EA"/>
    <w:rsid w:val="009017B9"/>
    <w:rsid w:val="00904061"/>
    <w:rsid w:val="00911264"/>
    <w:rsid w:val="009249B6"/>
    <w:rsid w:val="00942592"/>
    <w:rsid w:val="00947194"/>
    <w:rsid w:val="00953BE6"/>
    <w:rsid w:val="00954E91"/>
    <w:rsid w:val="0096427D"/>
    <w:rsid w:val="0097747F"/>
    <w:rsid w:val="009801CC"/>
    <w:rsid w:val="00986586"/>
    <w:rsid w:val="00987718"/>
    <w:rsid w:val="00991AB3"/>
    <w:rsid w:val="009B26F4"/>
    <w:rsid w:val="009C0F79"/>
    <w:rsid w:val="009C3EE6"/>
    <w:rsid w:val="009C6FD1"/>
    <w:rsid w:val="009D46A6"/>
    <w:rsid w:val="009D7123"/>
    <w:rsid w:val="00A10A43"/>
    <w:rsid w:val="00A1274B"/>
    <w:rsid w:val="00A13E77"/>
    <w:rsid w:val="00A2017C"/>
    <w:rsid w:val="00A267D4"/>
    <w:rsid w:val="00A276E1"/>
    <w:rsid w:val="00A37C6E"/>
    <w:rsid w:val="00A46344"/>
    <w:rsid w:val="00A51352"/>
    <w:rsid w:val="00A51C71"/>
    <w:rsid w:val="00A971E8"/>
    <w:rsid w:val="00AC0B07"/>
    <w:rsid w:val="00AD7B88"/>
    <w:rsid w:val="00AE39FA"/>
    <w:rsid w:val="00AE5C93"/>
    <w:rsid w:val="00AE6CE8"/>
    <w:rsid w:val="00AF64EF"/>
    <w:rsid w:val="00B050B8"/>
    <w:rsid w:val="00B116E1"/>
    <w:rsid w:val="00B12D7B"/>
    <w:rsid w:val="00B525B5"/>
    <w:rsid w:val="00B5411C"/>
    <w:rsid w:val="00B63091"/>
    <w:rsid w:val="00B73F09"/>
    <w:rsid w:val="00B748ED"/>
    <w:rsid w:val="00B805E4"/>
    <w:rsid w:val="00B8144C"/>
    <w:rsid w:val="00B93A9E"/>
    <w:rsid w:val="00BA20A0"/>
    <w:rsid w:val="00BA4348"/>
    <w:rsid w:val="00BA54E6"/>
    <w:rsid w:val="00BB3C13"/>
    <w:rsid w:val="00BB42CF"/>
    <w:rsid w:val="00BC0313"/>
    <w:rsid w:val="00BD382E"/>
    <w:rsid w:val="00BE24BD"/>
    <w:rsid w:val="00BF09F9"/>
    <w:rsid w:val="00BF0E33"/>
    <w:rsid w:val="00BF12AA"/>
    <w:rsid w:val="00BF4180"/>
    <w:rsid w:val="00C02350"/>
    <w:rsid w:val="00C04094"/>
    <w:rsid w:val="00C106DA"/>
    <w:rsid w:val="00C171DF"/>
    <w:rsid w:val="00C35353"/>
    <w:rsid w:val="00C471AE"/>
    <w:rsid w:val="00C50740"/>
    <w:rsid w:val="00C643B5"/>
    <w:rsid w:val="00C7665E"/>
    <w:rsid w:val="00C928A1"/>
    <w:rsid w:val="00CA3E9A"/>
    <w:rsid w:val="00CE01E2"/>
    <w:rsid w:val="00CE35BE"/>
    <w:rsid w:val="00CF2CE3"/>
    <w:rsid w:val="00D06FA1"/>
    <w:rsid w:val="00D466CB"/>
    <w:rsid w:val="00D50EC6"/>
    <w:rsid w:val="00D539FA"/>
    <w:rsid w:val="00D57C1F"/>
    <w:rsid w:val="00D61C74"/>
    <w:rsid w:val="00D70A91"/>
    <w:rsid w:val="00D752F5"/>
    <w:rsid w:val="00D767C6"/>
    <w:rsid w:val="00DB22A3"/>
    <w:rsid w:val="00DB3D69"/>
    <w:rsid w:val="00DB722E"/>
    <w:rsid w:val="00DC1A1D"/>
    <w:rsid w:val="00DC2DE4"/>
    <w:rsid w:val="00DF5F47"/>
    <w:rsid w:val="00E07707"/>
    <w:rsid w:val="00E16996"/>
    <w:rsid w:val="00E24001"/>
    <w:rsid w:val="00E32410"/>
    <w:rsid w:val="00E4491F"/>
    <w:rsid w:val="00E5310D"/>
    <w:rsid w:val="00E7112A"/>
    <w:rsid w:val="00E71A3E"/>
    <w:rsid w:val="00E74FDD"/>
    <w:rsid w:val="00E77329"/>
    <w:rsid w:val="00E962C7"/>
    <w:rsid w:val="00E9767C"/>
    <w:rsid w:val="00EA2ABE"/>
    <w:rsid w:val="00EA6FEC"/>
    <w:rsid w:val="00ED1AB4"/>
    <w:rsid w:val="00ED700E"/>
    <w:rsid w:val="00EF41EB"/>
    <w:rsid w:val="00F029C4"/>
    <w:rsid w:val="00F254E5"/>
    <w:rsid w:val="00F255A5"/>
    <w:rsid w:val="00F37561"/>
    <w:rsid w:val="00F467D2"/>
    <w:rsid w:val="00F53380"/>
    <w:rsid w:val="00F60DAD"/>
    <w:rsid w:val="00F64F7C"/>
    <w:rsid w:val="00F72169"/>
    <w:rsid w:val="00F80C77"/>
    <w:rsid w:val="00F93E0B"/>
    <w:rsid w:val="00FA0724"/>
    <w:rsid w:val="00FA460B"/>
    <w:rsid w:val="00FA7C98"/>
    <w:rsid w:val="00FB0F7F"/>
    <w:rsid w:val="00FC6F6B"/>
    <w:rsid w:val="00FE7C87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90465-6465-4D07-BAD6-FAA535D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3A89-21E9-42D9-9240-B4A93CFB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5633</Words>
  <Characters>32112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Narine Avetyan</dc:creator>
  <cp:keywords>https://mul2.gov.am/tasks/10863/oneclick/4ampopatert2.docx?token=4b2451ae38831124ba47241a7a7926e8</cp:keywords>
  <cp:lastModifiedBy>Narine Avetyan</cp:lastModifiedBy>
  <cp:revision>3</cp:revision>
  <cp:lastPrinted>2019-01-25T09:04:00Z</cp:lastPrinted>
  <dcterms:created xsi:type="dcterms:W3CDTF">2019-01-25T09:03:00Z</dcterms:created>
  <dcterms:modified xsi:type="dcterms:W3CDTF">2019-01-25T15:43:00Z</dcterms:modified>
</cp:coreProperties>
</file>