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8E5BBE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8E5BBE">
        <w:rPr>
          <w:rFonts w:ascii="GHEA Grapalat" w:hAnsi="GHEA Grapalat"/>
          <w:u w:val="single"/>
        </w:rPr>
        <w:t>ՆԱԽԱԳԻԾ</w:t>
      </w:r>
    </w:p>
    <w:p w:rsidR="00F56F36" w:rsidRPr="008E5BBE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8E5BBE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8E5BBE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8E5BBE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8E5BBE">
        <w:rPr>
          <w:rFonts w:ascii="GHEA Grapalat" w:hAnsi="GHEA Grapalat" w:cs="Sylfaen"/>
          <w:b/>
          <w:bCs/>
          <w:lang w:eastAsia="en-GB"/>
        </w:rPr>
        <w:t xml:space="preserve"> </w:t>
      </w:r>
      <w:r w:rsidRPr="008E5BBE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8E5BBE">
        <w:rPr>
          <w:rFonts w:ascii="GHEA Grapalat" w:hAnsi="GHEA Grapalat" w:cs="Sylfaen"/>
          <w:b/>
          <w:bCs/>
          <w:lang w:eastAsia="en-GB"/>
        </w:rPr>
        <w:t xml:space="preserve"> </w:t>
      </w:r>
      <w:r w:rsidRPr="008E5BBE">
        <w:rPr>
          <w:rFonts w:ascii="GHEA Grapalat" w:hAnsi="GHEA Grapalat" w:cs="Sylfaen"/>
          <w:b/>
          <w:bCs/>
          <w:lang w:eastAsia="en-GB"/>
        </w:rPr>
        <w:t>ԿԱՌԱՎԱՐՈՒԹՅՈՒ</w:t>
      </w:r>
      <w:r w:rsidRPr="008E5BBE">
        <w:rPr>
          <w:rFonts w:ascii="GHEA Grapalat" w:hAnsi="GHEA Grapalat"/>
          <w:b/>
          <w:bCs/>
          <w:lang w:eastAsia="en-GB"/>
        </w:rPr>
        <w:t>Ն</w:t>
      </w:r>
    </w:p>
    <w:p w:rsidR="00F56F36" w:rsidRPr="008E5BBE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8E5BBE">
        <w:rPr>
          <w:rFonts w:ascii="Calibri" w:hAnsi="Calibri" w:cs="Calibri"/>
          <w:lang w:eastAsia="en-GB"/>
        </w:rPr>
        <w:t> </w:t>
      </w:r>
      <w:r w:rsidRPr="008E5BBE">
        <w:rPr>
          <w:rFonts w:ascii="Calibri" w:hAnsi="Calibri" w:cs="Calibri"/>
          <w:b/>
          <w:bCs/>
          <w:lang w:eastAsia="en-GB"/>
        </w:rPr>
        <w:t> </w:t>
      </w:r>
      <w:r w:rsidRPr="008E5BBE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8E5BBE" w:rsidRDefault="00F56F36" w:rsidP="00F56F36">
      <w:pPr>
        <w:pStyle w:val="mechtex"/>
        <w:rPr>
          <w:rFonts w:ascii="GHEA Grapalat" w:hAnsi="GHEA Grapalat"/>
        </w:rPr>
      </w:pPr>
    </w:p>
    <w:p w:rsidR="00F56F36" w:rsidRPr="008E5BBE" w:rsidRDefault="00F56F36" w:rsidP="00F56F36">
      <w:pPr>
        <w:pStyle w:val="mechtex"/>
        <w:rPr>
          <w:rFonts w:ascii="GHEA Grapalat" w:hAnsi="GHEA Grapalat"/>
        </w:rPr>
      </w:pPr>
    </w:p>
    <w:p w:rsidR="00F56F36" w:rsidRPr="008E5BBE" w:rsidRDefault="00F56F36" w:rsidP="00F56F36">
      <w:pPr>
        <w:jc w:val="center"/>
        <w:rPr>
          <w:rFonts w:ascii="GHEA Grapalat" w:hAnsi="GHEA Grapalat"/>
        </w:rPr>
      </w:pPr>
      <w:r w:rsidRPr="008E5BBE">
        <w:rPr>
          <w:rFonts w:ascii="GHEA Grapalat" w:hAnsi="GHEA Grapalat" w:cs="Sylfaen"/>
        </w:rPr>
        <w:t xml:space="preserve">   _</w:t>
      </w:r>
      <w:r w:rsidR="00E90310" w:rsidRPr="008E5BBE">
        <w:rPr>
          <w:rFonts w:ascii="GHEA Grapalat" w:hAnsi="GHEA Grapalat" w:cs="Sylfaen"/>
          <w:lang w:val="hy-AM"/>
        </w:rPr>
        <w:t xml:space="preserve"> սեպտեմբերի</w:t>
      </w:r>
      <w:r w:rsidR="00501F2E" w:rsidRPr="008E5BBE">
        <w:rPr>
          <w:rFonts w:ascii="GHEA Grapalat" w:hAnsi="GHEA Grapalat"/>
        </w:rPr>
        <w:t xml:space="preserve"> 2020</w:t>
      </w:r>
      <w:r w:rsidR="000063CA" w:rsidRPr="008E5BBE">
        <w:rPr>
          <w:rFonts w:ascii="GHEA Grapalat" w:hAnsi="GHEA Grapalat"/>
        </w:rPr>
        <w:t xml:space="preserve"> </w:t>
      </w:r>
      <w:proofErr w:type="spellStart"/>
      <w:proofErr w:type="gramStart"/>
      <w:r w:rsidRPr="008E5BBE">
        <w:rPr>
          <w:rFonts w:ascii="GHEA Grapalat" w:hAnsi="GHEA Grapalat"/>
        </w:rPr>
        <w:t>թվականի</w:t>
      </w:r>
      <w:proofErr w:type="spellEnd"/>
      <w:r w:rsidRPr="008E5BBE">
        <w:rPr>
          <w:rFonts w:ascii="GHEA Grapalat" w:hAnsi="GHEA Grapalat"/>
        </w:rPr>
        <w:t xml:space="preserve">  N</w:t>
      </w:r>
      <w:proofErr w:type="gramEnd"/>
      <w:r w:rsidRPr="008E5BBE">
        <w:rPr>
          <w:rFonts w:ascii="GHEA Grapalat" w:hAnsi="GHEA Grapalat"/>
        </w:rPr>
        <w:t xml:space="preserve">             - Լ</w:t>
      </w:r>
    </w:p>
    <w:p w:rsidR="00F56F36" w:rsidRPr="008E5BBE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8E5BBE" w:rsidRDefault="00890A91" w:rsidP="00F56F36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af-ZA"/>
        </w:rPr>
      </w:pPr>
      <w:r w:rsidRPr="008E5BBE">
        <w:rPr>
          <w:rFonts w:ascii="GHEA Grapalat" w:hAnsi="GHEA Grapalat" w:cs="Sylfaen"/>
          <w:color w:val="000000"/>
          <w:spacing w:val="10"/>
          <w:lang w:val="af-ZA"/>
        </w:rPr>
        <w:t>«ՍՊԱՌՈՂԱԿԱՆ ԿՐԵԴԻՏԱՎՈՐՄԱՆ ՄԱՍԻՆ» ՀԱՅԱՍՏԱՆԻ ՀԱՆՐԱՊԵՏՈՒԹՅԱՆ ՕՐԵՆՔՈՒՄ ԼՐԱՑՈՒՄ ԿԱՏԱՐԵԼՈՒ ՄԱՍԻՆ»</w:t>
      </w:r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r w:rsidR="00F56F36" w:rsidRPr="008E5BBE">
        <w:rPr>
          <w:rFonts w:ascii="GHEA Grapalat" w:hAnsi="GHEA Grapalat" w:cs="Sylfaen"/>
          <w:spacing w:val="10"/>
          <w:lang w:val="af-ZA"/>
        </w:rPr>
        <w:t>ՀԱՅԱՍՏԱ</w:t>
      </w:r>
      <w:r w:rsidR="00F56F36" w:rsidRPr="008E5BBE">
        <w:rPr>
          <w:rFonts w:ascii="GHEA Grapalat" w:hAnsi="GHEA Grapalat" w:cs="Sylfaen"/>
          <w:spacing w:val="10"/>
          <w:lang w:val="af-ZA"/>
        </w:rPr>
        <w:softHyphen/>
        <w:t>ՆԻ ՀԱՆՐԱՊԵՏՈՒԹՅԱՆ ՕՐԵՆՔԻ ՆԱԽԱԳԾԻ</w:t>
      </w:r>
      <w:r w:rsidR="000063CA" w:rsidRPr="008E5BBE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501F2E" w:rsidRPr="008E5BBE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8E5BBE">
        <w:rPr>
          <w:rFonts w:ascii="GHEA Grapalat" w:hAnsi="GHEA Grapalat" w:cs="Tahoma"/>
          <w:spacing w:val="-4"/>
          <w:lang w:val="af-ZA"/>
        </w:rPr>
        <w:t>ՀԱՅԱՍՏԱՆԻ ՀԱՆՐԱՊԵՏՈՒԹՅԱՆ ԿԱՌԱՎԱՐՈՒԹՅԱՆ ԱՌԱՋԱՐԿՈՒԹՅԱՆ ՄԱՍԻՆ</w:t>
      </w:r>
    </w:p>
    <w:p w:rsidR="00F56F36" w:rsidRPr="008E5BBE" w:rsidRDefault="00F56F36" w:rsidP="00F56F36">
      <w:pPr>
        <w:pStyle w:val="mechtex"/>
        <w:rPr>
          <w:rFonts w:ascii="GHEA Grapalat" w:hAnsi="GHEA Grapalat"/>
          <w:caps/>
          <w:lang w:val="af-ZA"/>
        </w:rPr>
      </w:pPr>
      <w:r w:rsidRPr="008E5BBE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-------------------------------------------------------------------------------------------------------</w:t>
      </w:r>
    </w:p>
    <w:p w:rsidR="00F56F36" w:rsidRPr="008E5BBE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8E5BBE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890A91" w:rsidRPr="008E5BBE" w:rsidRDefault="00F56F36" w:rsidP="00890A91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proofErr w:type="spellStart"/>
      <w:r w:rsidRPr="008E5BBE">
        <w:rPr>
          <w:rFonts w:ascii="GHEA Grapalat" w:hAnsi="GHEA Grapalat" w:cs="Tahoma"/>
          <w:szCs w:val="22"/>
        </w:rPr>
        <w:t>Հիմք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ընդունելով</w:t>
      </w:r>
      <w:proofErr w:type="spellEnd"/>
      <w:r w:rsidRPr="008E5BBE">
        <w:rPr>
          <w:rFonts w:ascii="GHEA Grapalat" w:hAnsi="GHEA Grapalat"/>
          <w:szCs w:val="22"/>
          <w:lang w:val="af-ZA"/>
        </w:rPr>
        <w:t xml:space="preserve"> «</w:t>
      </w:r>
      <w:proofErr w:type="spellStart"/>
      <w:r w:rsidRPr="008E5BBE">
        <w:rPr>
          <w:rFonts w:ascii="GHEA Grapalat" w:hAnsi="GHEA Grapalat" w:cs="Tahoma"/>
          <w:szCs w:val="22"/>
        </w:rPr>
        <w:t>Ազգային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ժողովի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կանոնակարգ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t xml:space="preserve">» </w:t>
      </w:r>
      <w:proofErr w:type="spellStart"/>
      <w:r w:rsidRPr="008E5BBE">
        <w:rPr>
          <w:rFonts w:ascii="GHEA Grapalat" w:hAnsi="GHEA Grapalat" w:cs="Tahoma"/>
          <w:szCs w:val="22"/>
        </w:rPr>
        <w:t>սահ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մանա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դրա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կան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օրենքի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t xml:space="preserve"> 77-</w:t>
      </w:r>
      <w:proofErr w:type="spellStart"/>
      <w:r w:rsidRPr="008E5BBE">
        <w:rPr>
          <w:rFonts w:ascii="GHEA Grapalat" w:hAnsi="GHEA Grapalat" w:cs="Tahoma"/>
          <w:szCs w:val="22"/>
        </w:rPr>
        <w:t>րդ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հոդվածի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t xml:space="preserve"> 1-</w:t>
      </w:r>
      <w:proofErr w:type="spellStart"/>
      <w:r w:rsidRPr="008E5BBE">
        <w:rPr>
          <w:rFonts w:ascii="GHEA Grapalat" w:hAnsi="GHEA Grapalat" w:cs="Tahoma"/>
          <w:szCs w:val="22"/>
        </w:rPr>
        <w:t>ին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մասը</w:t>
      </w:r>
      <w:proofErr w:type="spellEnd"/>
      <w:r w:rsidRPr="008E5BBE">
        <w:rPr>
          <w:rFonts w:ascii="GHEA Grapalat" w:hAnsi="GHEA Grapalat" w:cs="Tahoma"/>
          <w:szCs w:val="22"/>
        </w:rPr>
        <w:t>՝</w:t>
      </w:r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Հանրա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պե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տու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թյան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կառա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վա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րությունը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որոշում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r w:rsidRPr="008E5BBE">
        <w:rPr>
          <w:rFonts w:ascii="GHEA Grapalat" w:hAnsi="GHEA Grapalat" w:cs="Tahoma"/>
          <w:szCs w:val="22"/>
        </w:rPr>
        <w:t>է</w:t>
      </w:r>
      <w:r w:rsidRPr="008E5BBE">
        <w:rPr>
          <w:rFonts w:ascii="GHEA Grapalat" w:hAnsi="GHEA Grapalat" w:cs="Tahoma"/>
          <w:szCs w:val="22"/>
          <w:lang w:val="af-ZA"/>
        </w:rPr>
        <w:t>.</w:t>
      </w:r>
    </w:p>
    <w:p w:rsidR="00F56F36" w:rsidRPr="008E5BBE" w:rsidRDefault="00F56F36" w:rsidP="00890A91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8E5BBE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8E5BBE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տալ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«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Սպառողական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 xml:space="preserve"> 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կրեդիտավորման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 xml:space="preserve"> 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մասին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 xml:space="preserve">» 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Հայաստանի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 xml:space="preserve"> 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Հանրապետության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 xml:space="preserve"> 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օրենքում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 xml:space="preserve"> 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լրացում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 xml:space="preserve"> 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կատարելու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 xml:space="preserve"> </w:t>
      </w:r>
      <w:proofErr w:type="spellStart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մասին</w:t>
      </w:r>
      <w:proofErr w:type="spellEnd"/>
      <w:r w:rsidR="00890A91" w:rsidRPr="008E5BBE">
        <w:rPr>
          <w:rFonts w:ascii="GHEA Grapalat" w:hAnsi="GHEA Grapalat" w:cs="Sylfaen"/>
          <w:color w:val="000000"/>
          <w:spacing w:val="10"/>
          <w:szCs w:val="22"/>
          <w:lang w:val="af-ZA"/>
        </w:rPr>
        <w:t>»</w:t>
      </w:r>
      <w:r w:rsidRPr="008E5BB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0063CA" w:rsidRPr="008E5BB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8E5BBE">
        <w:rPr>
          <w:rFonts w:ascii="GHEA Grapalat" w:hAnsi="GHEA Grapalat" w:cs="Sylfaen"/>
          <w:spacing w:val="10"/>
          <w:szCs w:val="22"/>
          <w:lang w:val="af-ZA"/>
        </w:rPr>
        <w:softHyphen/>
        <w:t>պետության</w:t>
      </w:r>
      <w:proofErr w:type="spellEnd"/>
      <w:r w:rsidR="000063CA" w:rsidRPr="008E5BB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szCs w:val="22"/>
          <w:lang w:val="af-ZA"/>
        </w:rPr>
        <w:t>օրենքի</w:t>
      </w:r>
      <w:proofErr w:type="spellEnd"/>
      <w:r w:rsidR="000063CA" w:rsidRPr="008E5BBE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szCs w:val="22"/>
          <w:lang w:val="af-ZA"/>
        </w:rPr>
        <w:t>նախագծի</w:t>
      </w:r>
      <w:proofErr w:type="spellEnd"/>
      <w:r w:rsidRPr="008E5BBE">
        <w:rPr>
          <w:rFonts w:ascii="GHEA Grapalat" w:hAnsi="GHEA Grapalat" w:cs="Sylfaen"/>
          <w:spacing w:val="10"/>
          <w:szCs w:val="22"/>
          <w:lang w:val="af-ZA"/>
        </w:rPr>
        <w:t xml:space="preserve"> (</w:t>
      </w:r>
      <w:r w:rsidR="00890A91" w:rsidRPr="008E5BBE">
        <w:rPr>
          <w:rFonts w:ascii="GHEA Grapalat" w:hAnsi="GHEA Grapalat"/>
          <w:i/>
          <w:iCs/>
          <w:color w:val="000000"/>
          <w:szCs w:val="22"/>
        </w:rPr>
        <w:t>Պ</w:t>
      </w:r>
      <w:r w:rsidR="00890A91" w:rsidRPr="008E5BBE">
        <w:rPr>
          <w:rFonts w:ascii="GHEA Grapalat" w:hAnsi="GHEA Grapalat"/>
          <w:i/>
          <w:iCs/>
          <w:color w:val="000000"/>
          <w:szCs w:val="22"/>
          <w:lang w:val="fr-FR"/>
        </w:rPr>
        <w:t>-727-10.09.2020-</w:t>
      </w:r>
      <w:r w:rsidR="00890A91" w:rsidRPr="008E5BBE">
        <w:rPr>
          <w:rFonts w:ascii="GHEA Grapalat" w:hAnsi="GHEA Grapalat"/>
          <w:i/>
          <w:iCs/>
          <w:color w:val="000000"/>
          <w:szCs w:val="22"/>
        </w:rPr>
        <w:t>ՖՎ</w:t>
      </w:r>
      <w:r w:rsidR="00890A91" w:rsidRPr="008E5BBE">
        <w:rPr>
          <w:rFonts w:ascii="GHEA Grapalat" w:hAnsi="GHEA Grapalat"/>
          <w:i/>
          <w:iCs/>
          <w:color w:val="000000"/>
          <w:szCs w:val="22"/>
          <w:lang w:val="fr-FR"/>
        </w:rPr>
        <w:t>-011/0</w:t>
      </w:r>
      <w:r w:rsidRPr="008E5BBE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8E5BBE">
        <w:rPr>
          <w:rFonts w:ascii="GHEA Grapalat" w:hAnsi="GHEA Grapalat" w:cs="Tahoma"/>
          <w:szCs w:val="22"/>
        </w:rPr>
        <w:t>վերաբերյալ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Հայաս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տա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նի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Հանրապե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տու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թյան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կա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ռա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վա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րու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թյան</w:t>
      </w:r>
      <w:proofErr w:type="spellEnd"/>
      <w:r w:rsidR="000063CA" w:rsidRPr="008E5BBE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 w:cs="Tahoma"/>
          <w:szCs w:val="22"/>
        </w:rPr>
        <w:t>առաջար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8E5BBE">
        <w:rPr>
          <w:rFonts w:ascii="GHEA Grapalat" w:hAnsi="GHEA Grapalat" w:cs="Tahoma"/>
          <w:szCs w:val="22"/>
        </w:rPr>
        <w:t>կությանը</w:t>
      </w:r>
      <w:proofErr w:type="spellEnd"/>
      <w:r w:rsidRPr="008E5BBE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8E5BBE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8E5BBE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8E5BBE">
        <w:rPr>
          <w:rFonts w:ascii="GHEA Grapalat" w:hAnsi="GHEA Grapalat"/>
          <w:szCs w:val="22"/>
        </w:rPr>
        <w:t>Հայաս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տա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նի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Հանրապե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տու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թյան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կա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ռա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վա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րու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թյան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առաջար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կությունը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սահ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ման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ված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կարգով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ներկայացնել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Հա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յաս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r w:rsidRPr="008E5BBE">
        <w:rPr>
          <w:rFonts w:ascii="GHEA Grapalat" w:hAnsi="GHEA Grapalat"/>
          <w:szCs w:val="22"/>
          <w:lang w:val="af-ZA"/>
        </w:rPr>
        <w:softHyphen/>
      </w:r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տա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նի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Հան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րա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պե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տու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թյան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Ազգային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ժողովի</w:t>
      </w:r>
      <w:proofErr w:type="spellEnd"/>
      <w:r w:rsidR="000063CA" w:rsidRPr="008E5BBE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zCs w:val="22"/>
        </w:rPr>
        <w:t>աշխա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տա</w:t>
      </w:r>
      <w:proofErr w:type="spellEnd"/>
      <w:r w:rsidRPr="008E5BBE">
        <w:rPr>
          <w:rFonts w:ascii="GHEA Grapalat" w:hAnsi="GHEA Grapalat"/>
          <w:szCs w:val="22"/>
          <w:lang w:val="af-ZA"/>
        </w:rPr>
        <w:softHyphen/>
      </w:r>
      <w:proofErr w:type="spellStart"/>
      <w:r w:rsidRPr="008E5BBE">
        <w:rPr>
          <w:rFonts w:ascii="GHEA Grapalat" w:hAnsi="GHEA Grapalat"/>
          <w:szCs w:val="22"/>
        </w:rPr>
        <w:t>կազմ</w:t>
      </w:r>
      <w:proofErr w:type="spellEnd"/>
      <w:r w:rsidRPr="008E5BBE">
        <w:rPr>
          <w:rFonts w:ascii="GHEA Grapalat" w:hAnsi="GHEA Grapalat"/>
          <w:szCs w:val="22"/>
          <w:lang w:val="af-ZA"/>
        </w:rPr>
        <w:t>:</w:t>
      </w:r>
    </w:p>
    <w:p w:rsidR="00F56F36" w:rsidRPr="008E5BBE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8E5BBE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8E5BBE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8E5BBE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8E5BBE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8E5BBE">
        <w:rPr>
          <w:rFonts w:ascii="GHEA Grapalat" w:hAnsi="GHEA Grapalat" w:cs="Sylfaen"/>
          <w:lang w:val="af-ZA"/>
        </w:rPr>
        <w:t xml:space="preserve">               </w:t>
      </w:r>
      <w:r w:rsidR="00F56F36" w:rsidRPr="008E5BBE">
        <w:rPr>
          <w:rFonts w:ascii="GHEA Grapalat" w:hAnsi="GHEA Grapalat" w:cs="Sylfaen"/>
        </w:rPr>
        <w:t>ՎԱՐՉԱՊԵՏ</w:t>
      </w:r>
      <w:r w:rsidR="00F56F36" w:rsidRPr="008E5BBE">
        <w:rPr>
          <w:rFonts w:ascii="GHEA Grapalat" w:hAnsi="GHEA Grapalat" w:cs="Arial Armenian"/>
          <w:lang w:val="af-ZA"/>
        </w:rPr>
        <w:tab/>
      </w:r>
      <w:r w:rsidR="00F56F36" w:rsidRPr="008E5BBE">
        <w:rPr>
          <w:rFonts w:ascii="GHEA Grapalat" w:hAnsi="GHEA Grapalat" w:cs="Arial Armenian"/>
          <w:lang w:val="af-ZA"/>
        </w:rPr>
        <w:tab/>
      </w:r>
      <w:r w:rsidR="00F56F36" w:rsidRPr="008E5BBE">
        <w:rPr>
          <w:rFonts w:ascii="GHEA Grapalat" w:hAnsi="GHEA Grapalat" w:cs="Arial Armenian"/>
          <w:lang w:val="af-ZA"/>
        </w:rPr>
        <w:tab/>
      </w:r>
      <w:r w:rsidR="00731A73" w:rsidRPr="008E5BBE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8E5BBE">
        <w:rPr>
          <w:rFonts w:ascii="GHEA Grapalat" w:hAnsi="GHEA Grapalat" w:cs="Arial Armenian"/>
        </w:rPr>
        <w:t>Ն</w:t>
      </w:r>
      <w:r w:rsidR="00F56F36" w:rsidRPr="008E5BBE">
        <w:rPr>
          <w:rFonts w:ascii="GHEA Grapalat" w:hAnsi="GHEA Grapalat" w:cs="Sylfaen"/>
          <w:lang w:val="af-ZA"/>
        </w:rPr>
        <w:t>.</w:t>
      </w:r>
      <w:r w:rsidR="00F56F36" w:rsidRPr="008E5BBE">
        <w:rPr>
          <w:rFonts w:ascii="GHEA Grapalat" w:hAnsi="GHEA Grapalat" w:cs="Arial Armenian"/>
          <w:lang w:val="af-ZA"/>
        </w:rPr>
        <w:t xml:space="preserve"> ՓԱՇԻՆ</w:t>
      </w:r>
      <w:r w:rsidR="00F56F36" w:rsidRPr="008E5BBE">
        <w:rPr>
          <w:rFonts w:ascii="GHEA Grapalat" w:hAnsi="GHEA Grapalat" w:cs="Sylfaen"/>
        </w:rPr>
        <w:t>ՅԱՆ</w:t>
      </w:r>
    </w:p>
    <w:p w:rsidR="00F56F36" w:rsidRPr="008E5BBE" w:rsidRDefault="00F56F36" w:rsidP="00F56F36">
      <w:pPr>
        <w:rPr>
          <w:rFonts w:ascii="GHEA Grapalat" w:hAnsi="GHEA Grapalat"/>
          <w:lang w:val="af-ZA"/>
        </w:rPr>
      </w:pPr>
    </w:p>
    <w:p w:rsidR="00F56F36" w:rsidRPr="008E5BBE" w:rsidRDefault="00501F2E" w:rsidP="00F56F36">
      <w:pPr>
        <w:rPr>
          <w:rFonts w:ascii="GHEA Grapalat" w:hAnsi="GHEA Grapalat"/>
          <w:spacing w:val="-4"/>
          <w:lang w:val="hy-AM"/>
        </w:rPr>
      </w:pPr>
      <w:r w:rsidRPr="008E5BBE">
        <w:rPr>
          <w:rFonts w:ascii="GHEA Grapalat" w:hAnsi="GHEA Grapalat"/>
          <w:lang w:val="af-ZA"/>
        </w:rPr>
        <w:tab/>
        <w:t xml:space="preserve">   2020</w:t>
      </w:r>
      <w:r w:rsidR="00607F0A" w:rsidRPr="008E5BBE">
        <w:rPr>
          <w:rFonts w:ascii="GHEA Grapalat" w:hAnsi="GHEA Grapalat"/>
          <w:lang w:val="hy-AM"/>
        </w:rPr>
        <w:t xml:space="preserve"> </w:t>
      </w:r>
      <w:r w:rsidR="00F56F36" w:rsidRPr="008E5BBE">
        <w:rPr>
          <w:rFonts w:ascii="GHEA Grapalat" w:hAnsi="GHEA Grapalat" w:cs="Sylfaen"/>
        </w:rPr>
        <w:t>թ</w:t>
      </w:r>
      <w:r w:rsidR="00F56F36" w:rsidRPr="008E5BBE">
        <w:rPr>
          <w:rFonts w:ascii="GHEA Grapalat" w:hAnsi="GHEA Grapalat" w:cs="Arial Armenian"/>
          <w:lang w:val="af-ZA"/>
        </w:rPr>
        <w:t xml:space="preserve">. </w:t>
      </w:r>
      <w:r w:rsidR="00E90310" w:rsidRPr="008E5BBE">
        <w:rPr>
          <w:rFonts w:ascii="GHEA Grapalat" w:hAnsi="GHEA Grapalat" w:cs="IRTEK Courier"/>
          <w:spacing w:val="-4"/>
          <w:lang w:val="hy-AM"/>
        </w:rPr>
        <w:t>սեպտեմբերի</w:t>
      </w:r>
    </w:p>
    <w:p w:rsidR="00F56F36" w:rsidRPr="008E5BBE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8E5BBE">
        <w:rPr>
          <w:rFonts w:ascii="GHEA Grapalat" w:hAnsi="GHEA Grapalat"/>
          <w:lang w:val="af-ZA"/>
        </w:rPr>
        <w:tab/>
      </w:r>
      <w:r w:rsidR="000063CA" w:rsidRPr="008E5BBE">
        <w:rPr>
          <w:rFonts w:ascii="GHEA Grapalat" w:hAnsi="GHEA Grapalat"/>
          <w:lang w:val="af-ZA"/>
        </w:rPr>
        <w:t xml:space="preserve">         </w:t>
      </w:r>
      <w:proofErr w:type="spellStart"/>
      <w:r w:rsidRPr="008E5BBE">
        <w:rPr>
          <w:rFonts w:ascii="GHEA Grapalat" w:hAnsi="GHEA Grapalat" w:cs="Sylfaen"/>
        </w:rPr>
        <w:t>Երևան</w:t>
      </w:r>
      <w:proofErr w:type="spellEnd"/>
    </w:p>
    <w:p w:rsidR="00D40405" w:rsidRPr="008E5BBE" w:rsidRDefault="00D40405">
      <w:pPr>
        <w:rPr>
          <w:rFonts w:ascii="GHEA Grapalat" w:hAnsi="GHEA Grapalat"/>
          <w:lang w:val="fr-FR"/>
        </w:rPr>
      </w:pPr>
    </w:p>
    <w:p w:rsidR="00D65AA1" w:rsidRPr="008E5BBE" w:rsidRDefault="00D65AA1" w:rsidP="00D65AA1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af-ZA"/>
        </w:rPr>
      </w:pPr>
      <w:r w:rsidRPr="008E5BBE">
        <w:rPr>
          <w:rFonts w:ascii="GHEA Grapalat" w:hAnsi="GHEA Grapalat" w:cs="Sylfaen"/>
          <w:color w:val="000000"/>
          <w:spacing w:val="10"/>
          <w:lang w:val="af-ZA"/>
        </w:rPr>
        <w:lastRenderedPageBreak/>
        <w:t>«ՍՊԱՌՈՂԱԿԱՆ ԿՐԵԴԻՏԱՎՈՐՄԱՆ ՄԱՍԻՆ» ՀԱՅԱՍՏԱՆԻ ՀԱՆՐԱՊԵՏՈՒԹՅԱՆ ՕՐԵՆՔՈՒՄ ԼՐԱՑՈՒՄ ԿԱՏԱՐԵԼՈՒ ՄԱՍԻՆ»</w:t>
      </w:r>
      <w:r w:rsidRPr="008E5BBE">
        <w:rPr>
          <w:rFonts w:ascii="GHEA Grapalat" w:hAnsi="GHEA Grapalat" w:cs="Sylfaen"/>
          <w:spacing w:val="10"/>
          <w:lang w:val="af-ZA"/>
        </w:rPr>
        <w:t xml:space="preserve"> ՀԱՅԱՍՏԱ</w:t>
      </w:r>
      <w:r w:rsidRPr="008E5BBE">
        <w:rPr>
          <w:rFonts w:ascii="GHEA Grapalat" w:hAnsi="GHEA Grapalat" w:cs="Sylfaen"/>
          <w:spacing w:val="10"/>
          <w:lang w:val="af-ZA"/>
        </w:rPr>
        <w:softHyphen/>
        <w:t>ՆԻ ՀԱՆՐԱՊԵՏՈՒԹՅԱՆ ՕՐԵՆՔԻ ՆԱԽԱ</w:t>
      </w:r>
      <w:r w:rsidRPr="008E5BBE">
        <w:rPr>
          <w:rFonts w:ascii="GHEA Grapalat" w:hAnsi="GHEA Grapalat" w:cs="Sylfaen"/>
          <w:spacing w:val="10"/>
          <w:lang w:val="hy-AM"/>
        </w:rPr>
        <w:t>-</w:t>
      </w:r>
      <w:r w:rsidRPr="008E5BBE">
        <w:rPr>
          <w:rFonts w:ascii="GHEA Grapalat" w:hAnsi="GHEA Grapalat" w:cs="Sylfaen"/>
          <w:spacing w:val="10"/>
          <w:lang w:val="af-ZA"/>
        </w:rPr>
        <w:t>ԳԾԻ</w:t>
      </w:r>
      <w:r w:rsidRPr="008E5BBE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Pr="008E5BBE">
        <w:rPr>
          <w:rFonts w:ascii="GHEA Grapalat" w:hAnsi="GHEA Grapalat" w:cs="Sylfaen"/>
          <w:spacing w:val="10"/>
          <w:lang w:val="af-ZA"/>
        </w:rPr>
        <w:t>(</w:t>
      </w:r>
      <w:r w:rsidRPr="008E5BBE">
        <w:rPr>
          <w:rFonts w:ascii="GHEA Grapalat" w:hAnsi="GHEA Grapalat"/>
          <w:i/>
          <w:iCs/>
          <w:color w:val="000000"/>
        </w:rPr>
        <w:t>Պ</w:t>
      </w:r>
      <w:r w:rsidRPr="008E5BBE">
        <w:rPr>
          <w:rFonts w:ascii="GHEA Grapalat" w:hAnsi="GHEA Grapalat"/>
          <w:i/>
          <w:iCs/>
          <w:color w:val="000000"/>
          <w:lang w:val="fr-FR"/>
        </w:rPr>
        <w:t>-727-10.09.2020-</w:t>
      </w:r>
      <w:r w:rsidRPr="008E5BBE">
        <w:rPr>
          <w:rFonts w:ascii="GHEA Grapalat" w:hAnsi="GHEA Grapalat"/>
          <w:i/>
          <w:iCs/>
          <w:color w:val="000000"/>
        </w:rPr>
        <w:t>ՖՎ</w:t>
      </w:r>
      <w:r w:rsidRPr="008E5BBE">
        <w:rPr>
          <w:rFonts w:ascii="GHEA Grapalat" w:hAnsi="GHEA Grapalat"/>
          <w:i/>
          <w:iCs/>
          <w:color w:val="000000"/>
          <w:lang w:val="fr-FR"/>
        </w:rPr>
        <w:t>-011/0</w:t>
      </w:r>
      <w:r w:rsidRPr="008E5BBE">
        <w:rPr>
          <w:rFonts w:ascii="GHEA Grapalat" w:hAnsi="GHEA Grapalat" w:cs="Sylfaen"/>
          <w:spacing w:val="10"/>
          <w:lang w:val="af-ZA"/>
        </w:rPr>
        <w:t xml:space="preserve">) </w:t>
      </w:r>
      <w:r w:rsidRPr="008E5BBE">
        <w:rPr>
          <w:rFonts w:ascii="GHEA Grapalat" w:hAnsi="GHEA Grapalat" w:cs="Tahoma"/>
          <w:spacing w:val="-4"/>
          <w:lang w:val="af-ZA"/>
        </w:rPr>
        <w:t>ՎԵՐԱԲԵՐՅԱԼ ՀԱՅԱՍ</w:t>
      </w:r>
      <w:r w:rsidRPr="008E5BBE">
        <w:rPr>
          <w:rFonts w:ascii="GHEA Grapalat" w:hAnsi="GHEA Grapalat" w:cs="Tahoma"/>
          <w:spacing w:val="-4"/>
          <w:lang w:val="hy-AM"/>
        </w:rPr>
        <w:t>-</w:t>
      </w:r>
      <w:r w:rsidRPr="008E5BBE">
        <w:rPr>
          <w:rFonts w:ascii="GHEA Grapalat" w:hAnsi="GHEA Grapalat" w:cs="Tahoma"/>
          <w:spacing w:val="-4"/>
          <w:lang w:val="af-ZA"/>
        </w:rPr>
        <w:t>ՏԱՆԻ ՀԱՆՐԱՊԵՏՈՒԹՅԱՆ ԿԱՌԱՎԱՐՈՒԹՅԱՆ ԱՌԱՋԱՐԿՈՒԹՅՈՒՆԸ</w:t>
      </w:r>
    </w:p>
    <w:p w:rsidR="00D65AA1" w:rsidRPr="008E5BBE" w:rsidRDefault="00D65AA1">
      <w:pPr>
        <w:rPr>
          <w:rFonts w:ascii="GHEA Grapalat" w:hAnsi="GHEA Grapalat"/>
          <w:lang w:val="af-ZA"/>
        </w:rPr>
      </w:pPr>
    </w:p>
    <w:p w:rsidR="00D65AA1" w:rsidRPr="008E5BBE" w:rsidRDefault="00D65AA1">
      <w:pPr>
        <w:rPr>
          <w:rFonts w:ascii="GHEA Grapalat" w:hAnsi="GHEA Grapalat"/>
          <w:lang w:val="af-ZA"/>
        </w:rPr>
      </w:pPr>
    </w:p>
    <w:p w:rsidR="00D65AA1" w:rsidRPr="008E5BBE" w:rsidRDefault="00D65AA1">
      <w:pPr>
        <w:rPr>
          <w:rFonts w:ascii="GHEA Grapalat" w:hAnsi="GHEA Grapalat"/>
          <w:lang w:val="fr-FR"/>
        </w:rPr>
      </w:pP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>«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Սպառողական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կրեդիտավորման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օրենքում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լրացում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կատարելու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D65AA1" w:rsidRPr="008E5BBE">
        <w:rPr>
          <w:rFonts w:ascii="GHEA Grapalat" w:hAnsi="GHEA Grapalat"/>
          <w:color w:val="000000"/>
          <w:shd w:val="clear" w:color="auto" w:fill="FFFFFF"/>
        </w:rPr>
        <w:t>նախագծով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(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`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Նախագիծ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)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նախատեսվում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8E5BBE">
        <w:rPr>
          <w:rFonts w:ascii="GHEA Grapalat" w:hAnsi="GHEA Grapalat"/>
          <w:color w:val="000000"/>
          <w:shd w:val="clear" w:color="auto" w:fill="FFFFFF"/>
        </w:rPr>
        <w:t>է</w:t>
      </w:r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«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Սպառողական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կրեդիտավորման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r w:rsidRPr="008E5BBE">
        <w:rPr>
          <w:rFonts w:ascii="GHEA Grapalat" w:hAnsi="GHEA Grapalat"/>
          <w:color w:val="000000"/>
          <w:shd w:val="clear" w:color="auto" w:fill="FFFFFF"/>
        </w:rPr>
        <w:t>ՀՀ</w:t>
      </w:r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օրենքում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նախատեսել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փաստացի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տոկոսադրույքի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առավելագույն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չափի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կարգավորում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որի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</w:rPr>
        <w:t>՝</w:t>
      </w:r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բանկերի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8E5BBE">
        <w:rPr>
          <w:rFonts w:ascii="GHEA Grapalat" w:hAnsi="GHEA Grapalat"/>
          <w:color w:val="000000"/>
          <w:shd w:val="clear" w:color="auto" w:fill="FFFFFF"/>
        </w:rPr>
        <w:t>և</w:t>
      </w:r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օտարերկրյա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բանկերի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մասնաճյուղերի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տրամադրված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կրեդիտների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փաստացի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տոկոսադրուքի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չափը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չի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գերազանցել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կրեդիտավորման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պայմանագրի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կնքման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օրվա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դրությամբ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8E5BBE">
        <w:rPr>
          <w:rFonts w:ascii="GHEA Grapalat" w:hAnsi="GHEA Grapalat"/>
          <w:color w:val="000000"/>
          <w:shd w:val="clear" w:color="auto" w:fill="FFFFFF"/>
        </w:rPr>
        <w:t>ԿԲ</w:t>
      </w:r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>-</w:t>
      </w:r>
      <w:r w:rsidRPr="008E5BBE">
        <w:rPr>
          <w:rFonts w:ascii="GHEA Grapalat" w:hAnsi="GHEA Grapalat"/>
          <w:color w:val="000000"/>
          <w:shd w:val="clear" w:color="auto" w:fill="FFFFFF"/>
        </w:rPr>
        <w:t>ի</w:t>
      </w:r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</w:rPr>
        <w:t>սահմանած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shd w:val="clear" w:color="auto" w:fill="FFFFFF"/>
        </w:rPr>
        <w:t>բանկային</w:t>
      </w:r>
      <w:proofErr w:type="spellEnd"/>
      <w:r w:rsidRPr="008E5BBE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shd w:val="clear" w:color="auto" w:fill="FFFFFF"/>
        </w:rPr>
        <w:t>տոկոսի</w:t>
      </w:r>
      <w:proofErr w:type="spellEnd"/>
      <w:r w:rsidRPr="008E5BBE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shd w:val="clear" w:color="auto" w:fill="FFFFFF"/>
        </w:rPr>
        <w:t>հաշվարկային</w:t>
      </w:r>
      <w:proofErr w:type="spellEnd"/>
      <w:r w:rsidRPr="008E5BBE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shd w:val="clear" w:color="auto" w:fill="FFFFFF"/>
        </w:rPr>
        <w:t>դրույքի</w:t>
      </w:r>
      <w:proofErr w:type="spellEnd"/>
      <w:r w:rsidRPr="008E5BBE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Pr="008E5BBE">
        <w:rPr>
          <w:rFonts w:ascii="GHEA Grapalat" w:hAnsi="GHEA Grapalat"/>
          <w:shd w:val="clear" w:color="auto" w:fill="FFFFFF"/>
        </w:rPr>
        <w:t>կրկնապատիկը</w:t>
      </w:r>
      <w:proofErr w:type="spellEnd"/>
      <w:r w:rsidRPr="008E5BBE">
        <w:rPr>
          <w:rFonts w:ascii="GHEA Grapalat" w:hAnsi="GHEA Grapalat"/>
          <w:shd w:val="clear" w:color="auto" w:fill="FFFFFF"/>
        </w:rPr>
        <w:t>։</w:t>
      </w:r>
      <w:r w:rsidRPr="008E5BBE">
        <w:rPr>
          <w:rFonts w:ascii="GHEA Grapalat" w:hAnsi="GHEA Grapalat"/>
          <w:shd w:val="clear" w:color="auto" w:fill="FFFFFF"/>
          <w:lang w:val="fr-FR"/>
        </w:rPr>
        <w:t xml:space="preserve"> 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E5BBE">
        <w:rPr>
          <w:rFonts w:ascii="GHEA Grapalat" w:hAnsi="GHEA Grapalat" w:cs="Sylfaen"/>
          <w:lang w:val="hy-AM"/>
        </w:rPr>
        <w:t xml:space="preserve">Առաջարկվող կարգավորման անհրաժեշտությունը հիմնավորվում է գործնականում տարեկան փաստացի </w:t>
      </w:r>
      <w:proofErr w:type="spellStart"/>
      <w:r w:rsidRPr="008E5BBE">
        <w:rPr>
          <w:rFonts w:ascii="GHEA Grapalat" w:hAnsi="GHEA Grapalat" w:cs="Sylfaen"/>
          <w:lang w:val="hy-AM"/>
        </w:rPr>
        <w:t>տոկոսադրուքի</w:t>
      </w:r>
      <w:proofErr w:type="spellEnd"/>
      <w:r w:rsidRPr="008E5BBE">
        <w:rPr>
          <w:rFonts w:ascii="GHEA Grapalat" w:hAnsi="GHEA Grapalat" w:cs="Sylfaen"/>
          <w:lang w:val="hy-AM"/>
        </w:rPr>
        <w:t>՝ ՀՀ կենտրոնական բանկի կողմից սահմանված բանկային տոկոսի հաշվարկային դրույքի կրկնապատիկը գերազանցելու նկատառումներից ելնելով։ Մասնավորապես</w:t>
      </w:r>
      <w:r w:rsidR="00B06688">
        <w:rPr>
          <w:rFonts w:ascii="GHEA Grapalat" w:hAnsi="GHEA Grapalat" w:cs="Sylfaen"/>
          <w:lang w:val="hy-AM"/>
        </w:rPr>
        <w:t>,</w:t>
      </w:r>
      <w:r w:rsidRPr="008E5BBE">
        <w:rPr>
          <w:rFonts w:ascii="GHEA Grapalat" w:hAnsi="GHEA Grapalat" w:cs="Sylfaen"/>
          <w:lang w:val="hy-AM"/>
        </w:rPr>
        <w:t xml:space="preserve"> Նախագծին կից ներկայացրած հիմնավորման մեջ նշվում է, որ գործող </w:t>
      </w:r>
      <w:proofErr w:type="spellStart"/>
      <w:r w:rsidRPr="008E5BBE">
        <w:rPr>
          <w:rFonts w:ascii="GHEA Grapalat" w:hAnsi="GHEA Grapalat" w:cs="Sylfaen"/>
          <w:lang w:val="hy-AM"/>
        </w:rPr>
        <w:t>կարգավորումների</w:t>
      </w:r>
      <w:proofErr w:type="spellEnd"/>
      <w:r w:rsidRPr="008E5BBE">
        <w:rPr>
          <w:rFonts w:ascii="GHEA Grapalat" w:hAnsi="GHEA Grapalat" w:cs="Sylfaen"/>
          <w:lang w:val="hy-AM"/>
        </w:rPr>
        <w:t xml:space="preserve"> պայմաններում, երբ տարեկան փաստացի տոկոսադրույքը </w:t>
      </w:r>
      <w:proofErr w:type="spellStart"/>
      <w:r w:rsidRPr="008E5BBE">
        <w:rPr>
          <w:rFonts w:ascii="GHEA Grapalat" w:hAnsi="GHEA Grapalat" w:cs="Sylfaen"/>
          <w:lang w:val="hy-AM"/>
        </w:rPr>
        <w:t>որևէ</w:t>
      </w:r>
      <w:proofErr w:type="spellEnd"/>
      <w:r w:rsidRPr="008E5BBE">
        <w:rPr>
          <w:rFonts w:ascii="GHEA Grapalat" w:hAnsi="GHEA Grapalat" w:cs="Sylfaen"/>
          <w:lang w:val="hy-AM"/>
        </w:rPr>
        <w:t xml:space="preserve"> կերպ սահմանափակված չէ բոլոր բանկերի և վարկային կազմակերպությունների կողմից տրամադրվող գրեթե բոլոր </w:t>
      </w:r>
      <w:proofErr w:type="spellStart"/>
      <w:r w:rsidRPr="008E5BBE">
        <w:rPr>
          <w:rFonts w:ascii="GHEA Grapalat" w:hAnsi="GHEA Grapalat" w:cs="Sylfaen"/>
          <w:lang w:val="hy-AM"/>
        </w:rPr>
        <w:t>վարկատեսակներով</w:t>
      </w:r>
      <w:proofErr w:type="spellEnd"/>
      <w:r w:rsidRPr="008E5BBE">
        <w:rPr>
          <w:rFonts w:ascii="GHEA Grapalat" w:hAnsi="GHEA Grapalat" w:cs="Sylfaen"/>
          <w:lang w:val="hy-AM"/>
        </w:rPr>
        <w:t xml:space="preserve">, ՀՀ կենտրոնական բանկի սահմանած բանկային տոկոսի հաշվարկային դրույքի կրկնապատիկը </w:t>
      </w:r>
      <w:proofErr w:type="spellStart"/>
      <w:r w:rsidRPr="008E5BBE">
        <w:rPr>
          <w:rFonts w:ascii="GHEA Grapalat" w:hAnsi="GHEA Grapalat" w:cs="Sylfaen"/>
          <w:lang w:val="hy-AM"/>
        </w:rPr>
        <w:t>գերազանցվում</w:t>
      </w:r>
      <w:proofErr w:type="spellEnd"/>
      <w:r w:rsidRPr="008E5BBE">
        <w:rPr>
          <w:rFonts w:ascii="GHEA Grapalat" w:hAnsi="GHEA Grapalat" w:cs="Sylfaen"/>
          <w:lang w:val="hy-AM"/>
        </w:rPr>
        <w:t xml:space="preserve"> է և </w:t>
      </w:r>
      <w:proofErr w:type="spellStart"/>
      <w:r w:rsidRPr="008E5BBE">
        <w:rPr>
          <w:rFonts w:ascii="GHEA Grapalat" w:hAnsi="GHEA Grapalat" w:cs="Sylfaen"/>
          <w:lang w:val="hy-AM"/>
        </w:rPr>
        <w:t>վարկառուները</w:t>
      </w:r>
      <w:proofErr w:type="spellEnd"/>
      <w:r w:rsidRPr="008E5BBE">
        <w:rPr>
          <w:rFonts w:ascii="GHEA Grapalat" w:hAnsi="GHEA Grapalat" w:cs="Sylfaen"/>
          <w:lang w:val="hy-AM"/>
        </w:rPr>
        <w:t xml:space="preserve"> ստիպված են անհամաչափ մեծ գումար վճարել ստացված վարկի դիմաց, ինչն էլ իր հերթին բացասաբար է ազդում մարդկանց կենսամակարդակի վրա՝ բանկերի և վարկային կազմակերպությունների համար ապահովելով գերշահույթ։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8E5BBE">
        <w:rPr>
          <w:rFonts w:ascii="GHEA Grapalat" w:hAnsi="GHEA Grapalat" w:cs="Sylfaen"/>
          <w:lang w:val="hy-AM"/>
        </w:rPr>
        <w:t xml:space="preserve">Հարկ է նշել, որ առաջարկվող կարգավորումը պետք է դիտարկել </w:t>
      </w:r>
      <w:r w:rsidRPr="008E5BBE">
        <w:rPr>
          <w:rFonts w:ascii="GHEA Grapalat" w:hAnsi="GHEA Grapalat"/>
          <w:shd w:val="clear" w:color="auto" w:fill="FFFFFF"/>
          <w:lang w:val="hy-AM"/>
        </w:rPr>
        <w:t>կամքի ինքնավարության և պայմանագրի ազատության սկզբունքների համատեքստում։ Այսպես</w:t>
      </w:r>
      <w:r w:rsidRPr="008E5BBE">
        <w:rPr>
          <w:rFonts w:ascii="GHEA Grapalat" w:hAnsi="GHEA Grapalat" w:cs="Cambria Math"/>
          <w:shd w:val="clear" w:color="auto" w:fill="FFFFFF"/>
          <w:lang w:val="hy-AM"/>
        </w:rPr>
        <w:t>.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8E5BBE">
        <w:rPr>
          <w:rFonts w:ascii="GHEA Grapalat" w:hAnsi="GHEA Grapalat" w:cs="Sylfaen"/>
          <w:lang w:val="hy-AM"/>
        </w:rPr>
        <w:lastRenderedPageBreak/>
        <w:t xml:space="preserve">ՀՀ քաղաքացիական օրենսգրքի (այսուհետ՝ Օրենսգիրք) 3-րդ հոդվածի 2-րդ մասով սահմանվում է, որ </w:t>
      </w:r>
      <w:r w:rsidRPr="008E5BBE">
        <w:rPr>
          <w:rFonts w:ascii="GHEA Grapalat" w:hAnsi="GHEA Grapalat"/>
          <w:shd w:val="clear" w:color="auto" w:fill="FFFFFF"/>
          <w:lang w:val="hy-AM"/>
        </w:rPr>
        <w:t xml:space="preserve">քաղաքացիները և իրավաբանական անձինք քաղաքացիական իրավունքները ձեռք են բերում ու իրականացնում իրենց կամքով և ի շահ իրենց: </w:t>
      </w:r>
      <w:r w:rsidRPr="008E5BBE">
        <w:rPr>
          <w:rFonts w:ascii="GHEA Grapalat" w:hAnsi="GHEA Grapalat"/>
          <w:b/>
          <w:shd w:val="clear" w:color="auto" w:fill="FFFFFF"/>
          <w:lang w:val="hy-AM"/>
        </w:rPr>
        <w:t>Նրանք ազատ են պայմանագրի հիման վրա սահմանելու իրենց իրավունքները և պարտականությունները, որոշելու պայմանագրի` օրենսդրությանը չհակասող ցանկացած պայման: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eastAsia="Times New Roman" w:hAnsi="GHEA Grapalat"/>
          <w:b/>
          <w:lang w:val="hy-AM"/>
        </w:rPr>
      </w:pPr>
      <w:r w:rsidRPr="008E5BBE">
        <w:rPr>
          <w:rFonts w:ascii="GHEA Grapalat" w:hAnsi="GHEA Grapalat" w:cs="Sylfaen"/>
          <w:lang w:val="hy-AM"/>
        </w:rPr>
        <w:t xml:space="preserve">Օրենսգրքի 887-րդ հոդվածի համաձայն՝ </w:t>
      </w:r>
      <w:r w:rsidRPr="008E5BBE">
        <w:rPr>
          <w:rFonts w:ascii="GHEA Grapalat" w:eastAsia="Times New Roman" w:hAnsi="GHEA Grapalat"/>
          <w:lang w:val="hy-AM"/>
        </w:rPr>
        <w:t xml:space="preserve">վարկային պայմանագրով բանկը կամ այլ վարկային կազմակերպությունը (վարկատուն) պարտավորվում է պայմանագրով նախատեսված չափերով և պայմաններով դրամական միջոցներ (վարկ) տրամադրել փոխառուին, իսկ </w:t>
      </w:r>
      <w:proofErr w:type="spellStart"/>
      <w:r w:rsidRPr="008E5BBE">
        <w:rPr>
          <w:rFonts w:ascii="GHEA Grapalat" w:eastAsia="Times New Roman" w:hAnsi="GHEA Grapalat"/>
          <w:lang w:val="hy-AM"/>
        </w:rPr>
        <w:t>փոխառուն</w:t>
      </w:r>
      <w:proofErr w:type="spellEnd"/>
      <w:r w:rsidRPr="008E5BBE">
        <w:rPr>
          <w:rFonts w:ascii="GHEA Grapalat" w:eastAsia="Times New Roman" w:hAnsi="GHEA Grapalat"/>
          <w:lang w:val="hy-AM"/>
        </w:rPr>
        <w:t xml:space="preserve"> պարտավորվում է վերադարձնել ստացված գումարը և տոկոսներ վճարել դրանից: Վարկային պայմանագրից բխող հարաբերությունների նկատմամբ </w:t>
      </w:r>
      <w:r w:rsidRPr="008E5BBE">
        <w:rPr>
          <w:rFonts w:ascii="GHEA Grapalat" w:eastAsia="Times New Roman" w:hAnsi="GHEA Grapalat"/>
          <w:b/>
          <w:lang w:val="hy-AM"/>
        </w:rPr>
        <w:t>կիրառվում են սույն օրենսգրքի 46 գլխում նախատեսված կանոնները, եթե այլ բան նախատեսված չէ սույն գլխի կանոններով և վարկային պայմանագրով:</w:t>
      </w:r>
    </w:p>
    <w:p w:rsidR="00B25411" w:rsidRPr="008E5BBE" w:rsidRDefault="00B25411" w:rsidP="00464EBD">
      <w:pPr>
        <w:widowControl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8E5BBE">
        <w:rPr>
          <w:rFonts w:ascii="GHEA Grapalat" w:hAnsi="GHEA Grapalat"/>
          <w:color w:val="000000"/>
          <w:lang w:val="hy-AM"/>
        </w:rPr>
        <w:t xml:space="preserve">Օրենսգրքի 46-րդ գլուխը կարգավորում է փոխառության հետ կապված իրավահարաբերությունները: Ընդ որում, Օրենսգրքի 879-րդ հոդվածը, ամրագրելով փոխառության գումարից տոկոսներ ստանալու՝ փոխառուի իրավունքը, </w:t>
      </w:r>
      <w:proofErr w:type="spellStart"/>
      <w:r w:rsidRPr="008E5BBE">
        <w:rPr>
          <w:rFonts w:ascii="GHEA Grapalat" w:hAnsi="GHEA Grapalat"/>
          <w:color w:val="000000"/>
          <w:lang w:val="hy-AM"/>
        </w:rPr>
        <w:t>միևնույն</w:t>
      </w:r>
      <w:proofErr w:type="spellEnd"/>
      <w:r w:rsidRPr="008E5BBE">
        <w:rPr>
          <w:rFonts w:ascii="GHEA Grapalat" w:hAnsi="GHEA Grapalat"/>
          <w:color w:val="000000"/>
          <w:lang w:val="hy-AM"/>
        </w:rPr>
        <w:t xml:space="preserve">  ժամանակ նախատեսում է այդ տոկոսների առավելագույն չափի սահմանափակում: Մասնավորապես, Օրենսգրքի 879-րդ հոդվածի 1-ին մասի համաձայն՝ </w:t>
      </w: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փոխառության պայմանագրի կնքման պահին տոկոսների չափը չի կարող գերազանցել Հայաստանի Հանրապետության կենտրոնական բանկի սահմանած բանկային տոկոսի հաշվարկային դրույքի կրկնապատիկը:</w:t>
      </w:r>
    </w:p>
    <w:p w:rsidR="00B25411" w:rsidRPr="008E5BBE" w:rsidRDefault="00B25411" w:rsidP="00464EBD">
      <w:pPr>
        <w:widowControl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b/>
          <w:lang w:val="hy-AM"/>
        </w:rPr>
      </w:pPr>
      <w:r w:rsidRPr="008E5BBE">
        <w:rPr>
          <w:rFonts w:ascii="GHEA Grapalat" w:hAnsi="GHEA Grapalat"/>
          <w:lang w:val="hy-AM"/>
        </w:rPr>
        <w:t xml:space="preserve">ՀՀ քաղաքացիական օրենսգրքի՝ վերոշարադրյալ նորմերի </w:t>
      </w:r>
      <w:proofErr w:type="spellStart"/>
      <w:r w:rsidRPr="008E5BBE">
        <w:rPr>
          <w:rFonts w:ascii="GHEA Grapalat" w:hAnsi="GHEA Grapalat"/>
          <w:lang w:val="hy-AM"/>
        </w:rPr>
        <w:t>վերլուծությունից</w:t>
      </w:r>
      <w:proofErr w:type="spellEnd"/>
      <w:r w:rsidRPr="008E5BBE">
        <w:rPr>
          <w:rFonts w:ascii="GHEA Grapalat" w:hAnsi="GHEA Grapalat"/>
          <w:lang w:val="hy-AM"/>
        </w:rPr>
        <w:t xml:space="preserve"> բխում է, որ վարկային պայմանագրի նկատմամբ փոխառության պայմանագրին վերաբերող գլխի կանոնները, այդ թվում՝ պայմանագրով սահմանվող տոկոսների առավելագույն չափի սահմանափակմանը վերաբերող դրույթը, կարող են կիրառվել այն դեպքում, </w:t>
      </w:r>
      <w:r w:rsidRPr="008E5BBE">
        <w:rPr>
          <w:rFonts w:ascii="GHEA Grapalat" w:hAnsi="GHEA Grapalat"/>
          <w:b/>
          <w:lang w:val="hy-AM"/>
        </w:rPr>
        <w:t>եթե վարկային պայմանագրով այլ բան նախատեսված չէ:</w:t>
      </w:r>
    </w:p>
    <w:p w:rsidR="00B25411" w:rsidRPr="008E5BBE" w:rsidRDefault="00B25411" w:rsidP="00464EBD">
      <w:pPr>
        <w:widowControl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8E5BBE">
        <w:rPr>
          <w:rFonts w:ascii="GHEA Grapalat" w:hAnsi="GHEA Grapalat"/>
          <w:b/>
          <w:lang w:val="hy-AM"/>
        </w:rPr>
        <w:t xml:space="preserve"> </w:t>
      </w:r>
      <w:r w:rsidRPr="008E5BBE">
        <w:rPr>
          <w:rFonts w:ascii="GHEA Grapalat" w:hAnsi="GHEA Grapalat"/>
          <w:lang w:val="hy-AM"/>
        </w:rPr>
        <w:t xml:space="preserve">Այսինքն՝ բանկերը կամ վարկային կազմակերպությունները վարկային պայմանագրերով նախատեսվող տոկոսների չափի սահմանման հարցում ՀՀ քաղաքացիական օրենսգրքով </w:t>
      </w:r>
      <w:proofErr w:type="spellStart"/>
      <w:r w:rsidRPr="008E5BBE">
        <w:rPr>
          <w:rFonts w:ascii="GHEA Grapalat" w:hAnsi="GHEA Grapalat"/>
          <w:lang w:val="hy-AM"/>
        </w:rPr>
        <w:t>որևէ</w:t>
      </w:r>
      <w:proofErr w:type="spellEnd"/>
      <w:r w:rsidRPr="008E5BBE">
        <w:rPr>
          <w:rFonts w:ascii="GHEA Grapalat" w:hAnsi="GHEA Grapalat"/>
          <w:lang w:val="hy-AM"/>
        </w:rPr>
        <w:t xml:space="preserve"> կերպ սահմանափակված չեն: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eastAsia="Times New Roman" w:hAnsi="GHEA Grapalat"/>
          <w:b/>
          <w:lang w:val="hy-AM"/>
        </w:rPr>
      </w:pPr>
      <w:r w:rsidRPr="008E5BBE">
        <w:rPr>
          <w:rFonts w:ascii="GHEA Grapalat" w:hAnsi="GHEA Grapalat"/>
          <w:lang w:val="hy-AM"/>
        </w:rPr>
        <w:lastRenderedPageBreak/>
        <w:t>Այս կապակցությամբ թիվ ԱՎԴ/4/0145/02/08 քաղաքացիական գործի շրջանակներում իր դիր</w:t>
      </w:r>
      <w:r w:rsidRPr="008E5BBE">
        <w:rPr>
          <w:rFonts w:ascii="GHEA Grapalat" w:hAnsi="GHEA Grapalat"/>
          <w:lang w:val="hy-AM"/>
        </w:rPr>
        <w:softHyphen/>
        <w:t>քորոշումն է արտահայտել նաև ՀՀ վճռաբեկ դատարանը: Մասնավորապես, ՀՀ քաղաքաց</w:t>
      </w:r>
      <w:r w:rsidRPr="008E5BBE">
        <w:rPr>
          <w:rFonts w:ascii="GHEA Grapalat" w:hAnsi="GHEA Grapalat"/>
          <w:lang w:val="hy-AM"/>
        </w:rPr>
        <w:softHyphen/>
        <w:t>ի</w:t>
      </w:r>
      <w:r w:rsidRPr="008E5BBE">
        <w:rPr>
          <w:rFonts w:ascii="GHEA Grapalat" w:hAnsi="GHEA Grapalat"/>
          <w:lang w:val="hy-AM"/>
        </w:rPr>
        <w:softHyphen/>
        <w:t>ա</w:t>
      </w:r>
      <w:r w:rsidRPr="008E5BBE">
        <w:rPr>
          <w:rFonts w:ascii="GHEA Grapalat" w:hAnsi="GHEA Grapalat"/>
          <w:lang w:val="hy-AM"/>
        </w:rPr>
        <w:softHyphen/>
        <w:t xml:space="preserve">կան օրենսգրքի 46-րդ և 47-րդ գլուխներով սահմանված նորմերի համադրված վերլուծության արդյունքում Վճռաբեկ դատարանն արձանագրել է, </w:t>
      </w:r>
      <w:r w:rsidRPr="008E5BBE">
        <w:rPr>
          <w:rFonts w:ascii="GHEA Grapalat" w:hAnsi="GHEA Grapalat"/>
          <w:shd w:val="clear" w:color="auto" w:fill="FFFFFF"/>
          <w:lang w:val="hy-AM"/>
        </w:rPr>
        <w:t>որ վարկային պայմանագրից բխող հարա</w:t>
      </w:r>
      <w:r w:rsidRPr="008E5BBE">
        <w:rPr>
          <w:rFonts w:ascii="GHEA Grapalat" w:hAnsi="GHEA Grapalat"/>
          <w:shd w:val="clear" w:color="auto" w:fill="FFFFFF"/>
          <w:lang w:val="hy-AM"/>
        </w:rPr>
        <w:softHyphen/>
        <w:t>բե</w:t>
      </w:r>
      <w:r w:rsidRPr="008E5BBE">
        <w:rPr>
          <w:rFonts w:ascii="GHEA Grapalat" w:hAnsi="GHEA Grapalat"/>
          <w:shd w:val="clear" w:color="auto" w:fill="FFFFFF"/>
          <w:lang w:val="hy-AM"/>
        </w:rPr>
        <w:softHyphen/>
        <w:t>րությունների նկատմամբ ՀՀ քաղաքացիական օրենսգրքի փոխառությանը վերաբերող 46 գլխում նախատեսված կանոնները չեն կիրառվում,</w:t>
      </w:r>
      <w:r w:rsidRPr="008E5BBE">
        <w:rPr>
          <w:rFonts w:ascii="Calibri" w:hAnsi="Calibri" w:cs="Calibri"/>
          <w:shd w:val="clear" w:color="auto" w:fill="FFFFFF"/>
          <w:lang w:val="hy-AM"/>
        </w:rPr>
        <w:t> </w:t>
      </w:r>
      <w:r w:rsidRPr="008E5BBE">
        <w:rPr>
          <w:rFonts w:ascii="GHEA Grapalat" w:hAnsi="GHEA Grapalat"/>
          <w:b/>
          <w:bCs/>
          <w:shd w:val="clear" w:color="auto" w:fill="FFFFFF"/>
          <w:lang w:val="hy-AM"/>
        </w:rPr>
        <w:t>եթե կողմերը այլ կանոններ են սահմանել վարկային պայմանագրով,</w:t>
      </w:r>
      <w:r w:rsidRPr="008E5BB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8E5BBE">
        <w:rPr>
          <w:rFonts w:ascii="GHEA Grapalat" w:hAnsi="GHEA Grapalat"/>
          <w:shd w:val="clear" w:color="auto" w:fill="FFFFFF"/>
          <w:lang w:val="hy-AM"/>
        </w:rPr>
        <w:t xml:space="preserve">և որոնք չեն հակասում վարկային հարաբերությունները կարգավորող նորմերի պահանջներին: Ընդ որում օրենսդիրը, ելնելով ՀՀ քաղաքացիական օրենսգրքի 3-րդ և 437-րդ հոդվածներում ամրագրված պայմանագրի ազատության սկզբունքից, </w:t>
      </w:r>
      <w:r w:rsidRPr="008E5BBE">
        <w:rPr>
          <w:rFonts w:ascii="GHEA Grapalat" w:hAnsi="GHEA Grapalat"/>
          <w:b/>
          <w:shd w:val="clear" w:color="auto" w:fill="FFFFFF"/>
          <w:lang w:val="hy-AM"/>
        </w:rPr>
        <w:t>կողմերին հնարավորու</w:t>
      </w:r>
      <w:r w:rsidRPr="008E5BBE">
        <w:rPr>
          <w:rFonts w:ascii="GHEA Grapalat" w:hAnsi="GHEA Grapalat"/>
          <w:b/>
          <w:shd w:val="clear" w:color="auto" w:fill="FFFFFF"/>
          <w:lang w:val="hy-AM"/>
        </w:rPr>
        <w:softHyphen/>
        <w:t>թյուն է տալիս պայմանները որոշել իրենց հայեցողությամբ, բացառությամբ այն դեպքի, երբ հա</w:t>
      </w:r>
      <w:r w:rsidRPr="008E5BBE">
        <w:rPr>
          <w:rFonts w:ascii="GHEA Grapalat" w:hAnsi="GHEA Grapalat"/>
          <w:b/>
          <w:shd w:val="clear" w:color="auto" w:fill="FFFFFF"/>
          <w:lang w:val="hy-AM"/>
        </w:rPr>
        <w:softHyphen/>
        <w:t>մապատասխան պայմանի բովանդակությունը սահմանված է ՀՀ քաղաքացիական օրենս</w:t>
      </w:r>
      <w:r w:rsidRPr="008E5BBE">
        <w:rPr>
          <w:rFonts w:ascii="GHEA Grapalat" w:hAnsi="GHEA Grapalat"/>
          <w:b/>
          <w:shd w:val="clear" w:color="auto" w:fill="FFFFFF"/>
          <w:lang w:val="hy-AM"/>
        </w:rPr>
        <w:softHyphen/>
        <w:t xml:space="preserve">գրքի` վարկին վերաբերող 47-րդ գլխի </w:t>
      </w:r>
      <w:proofErr w:type="spellStart"/>
      <w:r w:rsidRPr="008E5BBE">
        <w:rPr>
          <w:rFonts w:ascii="GHEA Grapalat" w:hAnsi="GHEA Grapalat"/>
          <w:b/>
          <w:shd w:val="clear" w:color="auto" w:fill="FFFFFF"/>
          <w:lang w:val="hy-AM"/>
        </w:rPr>
        <w:t>իմպերատիվ</w:t>
      </w:r>
      <w:proofErr w:type="spellEnd"/>
      <w:r w:rsidRPr="008E5BBE">
        <w:rPr>
          <w:rFonts w:ascii="GHEA Grapalat" w:hAnsi="GHEA Grapalat"/>
          <w:b/>
          <w:shd w:val="clear" w:color="auto" w:fill="FFFFFF"/>
          <w:lang w:val="hy-AM"/>
        </w:rPr>
        <w:t xml:space="preserve"> նորմերով</w:t>
      </w:r>
      <w:r w:rsidRPr="008E5BBE">
        <w:rPr>
          <w:rFonts w:ascii="GHEA Grapalat" w:hAnsi="GHEA Grapalat"/>
          <w:shd w:val="clear" w:color="auto" w:fill="FFFFFF"/>
          <w:lang w:val="hy-AM"/>
        </w:rPr>
        <w:t>: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8E5BBE">
        <w:rPr>
          <w:rFonts w:ascii="GHEA Grapalat" w:hAnsi="GHEA Grapalat"/>
          <w:shd w:val="clear" w:color="auto" w:fill="FFFFFF"/>
          <w:lang w:val="hy-AM"/>
        </w:rPr>
        <w:t xml:space="preserve">Փաստորեն, </w:t>
      </w:r>
      <w:r w:rsidRPr="008E5BBE">
        <w:rPr>
          <w:rFonts w:ascii="GHEA Grapalat" w:hAnsi="GHEA Grapalat"/>
          <w:lang w:val="hy-AM"/>
        </w:rPr>
        <w:t xml:space="preserve">Օրենսգրքով </w:t>
      </w:r>
      <w:r w:rsidRPr="008E5BBE">
        <w:rPr>
          <w:rFonts w:ascii="GHEA Grapalat" w:hAnsi="GHEA Grapalat"/>
          <w:shd w:val="clear" w:color="auto" w:fill="FFFFFF"/>
          <w:lang w:val="hy-AM"/>
        </w:rPr>
        <w:t>կողմերին հնարավորու</w:t>
      </w:r>
      <w:r w:rsidRPr="008E5BBE">
        <w:rPr>
          <w:rFonts w:ascii="GHEA Grapalat" w:hAnsi="GHEA Grapalat"/>
          <w:shd w:val="clear" w:color="auto" w:fill="FFFFFF"/>
          <w:lang w:val="hy-AM"/>
        </w:rPr>
        <w:softHyphen/>
        <w:t>թյուն է տրված պայմանագրի պայմանները որոշել իրենց հայեցողությամբ</w:t>
      </w:r>
      <w:r w:rsidRPr="008E5BBE">
        <w:rPr>
          <w:rFonts w:ascii="GHEA Grapalat" w:hAnsi="GHEA Grapalat"/>
          <w:lang w:val="hy-AM"/>
        </w:rPr>
        <w:t xml:space="preserve">, այդ թվում՝ տոկոսների առավելագույն չափին վերաբերող </w:t>
      </w:r>
      <w:proofErr w:type="spellStart"/>
      <w:r w:rsidRPr="008E5BBE">
        <w:rPr>
          <w:rFonts w:ascii="GHEA Grapalat" w:hAnsi="GHEA Grapalat"/>
          <w:lang w:val="hy-AM"/>
        </w:rPr>
        <w:t>կարգավորումներից</w:t>
      </w:r>
      <w:proofErr w:type="spellEnd"/>
      <w:r w:rsidRPr="008E5BBE">
        <w:rPr>
          <w:rFonts w:ascii="GHEA Grapalat" w:hAnsi="GHEA Grapalat"/>
          <w:lang w:val="hy-AM"/>
        </w:rPr>
        <w:t xml:space="preserve"> տարբերվող այլ </w:t>
      </w:r>
      <w:proofErr w:type="spellStart"/>
      <w:r w:rsidRPr="008E5BBE">
        <w:rPr>
          <w:rFonts w:ascii="GHEA Grapalat" w:hAnsi="GHEA Grapalat"/>
          <w:lang w:val="hy-AM"/>
        </w:rPr>
        <w:t>կար</w:t>
      </w:r>
      <w:r w:rsidRPr="008E5BBE">
        <w:rPr>
          <w:rFonts w:ascii="GHEA Grapalat" w:hAnsi="GHEA Grapalat"/>
          <w:lang w:val="hy-AM"/>
        </w:rPr>
        <w:softHyphen/>
        <w:t>գավորումներ</w:t>
      </w:r>
      <w:proofErr w:type="spellEnd"/>
      <w:r w:rsidRPr="008E5BBE">
        <w:rPr>
          <w:rFonts w:ascii="GHEA Grapalat" w:hAnsi="GHEA Grapalat"/>
          <w:lang w:val="hy-AM"/>
        </w:rPr>
        <w:t>՝ պայմանով, որ դրանք չեն հակասի ՀՀ քաղաքացիական օրենսգրքի՝ վարկային հարաբերությունների կանոնակարգմանն ուղղված 47-րդ գլխի կանոններին: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Միաժամանակ պետք է նշել, որ ներկայումս տարեկան փաստացի տոկոսադրույքի վերաբերյալ իրավահարաբերությունները կարգավորվում են «Սպառողական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կրեդիտավորման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ՀՀ օրենքով, «Բնակարանային հիպոտեկային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կրեդիտավորման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ՀՀ օրենքով, ինչպես նաև Հայաստանի Հանրապետության կենտրոնական բանկի խորհրդի որոշումներով։ 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 իրավական ակտերով սահմանված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իրավակարգավորումները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բխում են միջազգային լավագույն փորձից և բավարարում են ԵՄ-ՀՀ համագործակցության շրջանակներում ստանձնած պարտավորությունները։ </w:t>
      </w:r>
    </w:p>
    <w:p w:rsidR="008E5BBE" w:rsidRPr="008E5BBE" w:rsidRDefault="00E90310" w:rsidP="008E5BB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Վերը թվարկված իրավական ակտերի համաձայն տարեկան փաստացի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տոկոսադրույքն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այն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տոկոսադրույքն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է, որը ցույց է տալիս բոլոր տոկոսները և այլ </w:t>
      </w: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վճարումները, որոնք սպառողը պետք է կատարի վարկավորման համար և հնարավորություն է տալիս սպառողներին մեկ թվի միջոցով համեմատել նույն տեսակի վարկերը և կատարել ընտրություն: Դրա մեջ ներառվում են անվանական տոկոսադրույքը և բոլոր այն պարտադիր վճարները, որոնք սպառողը կատարում է ինչպես վարկը տրամադրող կազմակերպությանը, այնպես էլ այլ կազմակերպություններին ու անձանց, ներառյալ՝ պետական մարմիններին կատարված վճարները։ Մասնավորապես՝ այդ ծախսի մեջ են մտնում վարկի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ձևակերպման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վճարը, փաստաթղթերի պատրաստման վճարը, ապահովագրական ծախսերը, գրավի առարկայի գնահատման ծախսերը, գրավի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ձևակերպման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վճարը և վերոնշյալ իրավական ակտերով սահմանված այլ ծախսեր։ Բացառություն են կազմում այնպիսի վճարները, որոնք հաճախորդը պետք է կատարի անկախ վարկը վերցնելու հանգամանքից: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Հետևաբար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՝ պետք է նշել, որ</w:t>
      </w:r>
      <w:r w:rsidR="00D65AA1" w:rsidRPr="008E5BBE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8E5BBE" w:rsidRPr="008E5BBE" w:rsidRDefault="008E5BBE" w:rsidP="008E5BB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1) </w:t>
      </w:r>
      <w:r w:rsidR="00E90310" w:rsidRPr="008E5BBE">
        <w:rPr>
          <w:rFonts w:ascii="GHEA Grapalat" w:hAnsi="GHEA Grapalat" w:cs="Arial"/>
          <w:color w:val="000000"/>
          <w:shd w:val="clear" w:color="auto" w:fill="FFFFFF"/>
          <w:lang w:val="hy-AM"/>
        </w:rPr>
        <w:t>Փաստացի</w:t>
      </w:r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տոկոսադրույքի մեջ մտնող մի շարք վճարների չափերը կարող են պայմանավորված լինել նաև վարկի տրամադրմամբ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զուգորդվող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այլ գործընկեր կազմակերպությունների (ապահովագրավճարները՝ ապահովագրական ընկերությունների կողմից, գույքի գնահատման վճարները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գնահատողների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կողմից, նոտարական վճարները՝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նոտարների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կողմից, կադաստրային ծառայություններ և այլն) կողմից տրամադրվող ծառայություններով: Ընդ որում՝ առանձին դեպքերում ֆինանսական կազմակերպությունը կարող է հավելյալ ծառայություններ մատուցել իր հաճախորդին՝ վարկի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ստացմանն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ուղեկցող գործընթացների անմիջականորեն կազմակերպումը և դրանից բխող վճարները ներառելով իր կողմից առաջարկվող վարկային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պրոդուկտի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մեջ և դրա համար գանձելով համապատասխան սպասարկման վճարներ,</w:t>
      </w:r>
    </w:p>
    <w:p w:rsidR="008E5BBE" w:rsidRPr="008E5BBE" w:rsidRDefault="008E5BBE" w:rsidP="008E5BB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2) </w:t>
      </w:r>
      <w:r w:rsidR="00E90310" w:rsidRPr="008E5BBE">
        <w:rPr>
          <w:rFonts w:ascii="GHEA Grapalat" w:hAnsi="GHEA Grapalat" w:cs="Arial"/>
          <w:color w:val="000000"/>
          <w:shd w:val="clear" w:color="auto" w:fill="FFFFFF"/>
          <w:lang w:val="hy-AM"/>
        </w:rPr>
        <w:t>Ոչ</w:t>
      </w:r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բոլոր պարտադիր վճարներն են կազմակերպության համար եկամուտ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ձևավորող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վճարներ</w:t>
      </w:r>
      <w:r w:rsidR="00464EBD" w:rsidRPr="008E5BBE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8E5BBE" w:rsidRPr="008E5BBE" w:rsidRDefault="008E5BBE" w:rsidP="008E5BB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3) </w:t>
      </w:r>
      <w:r w:rsidR="00E90310" w:rsidRPr="008E5BBE">
        <w:rPr>
          <w:rFonts w:ascii="GHEA Grapalat" w:hAnsi="GHEA Grapalat" w:cs="Arial"/>
          <w:color w:val="000000"/>
          <w:shd w:val="clear" w:color="auto" w:fill="FFFFFF"/>
          <w:lang w:val="hy-AM"/>
        </w:rPr>
        <w:t>Փաստացի</w:t>
      </w:r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տոկոսադրույքը հաշվարկվում է այն ենթադրությամբ, որ պայմանագրի գործողության ընթացքում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որևէ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պայման չի փոխվելու,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հետևաբար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՝ այն չի արտացոլում ընթացիկ ցանկացած փոփոխություն (ըստ «Սպառողական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կրեդիտավորման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օրենքի և «Բնակարանային հիպոտեկային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կրեդիտավորման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օրենքի),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hակառակ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պարագայում այն հաշվարկելը կլիներ անհնար։ Սա ինչպես արդեն նշել ենք, նպատակ ունի </w:t>
      </w:r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սպառողին տալ նմանատիպ վարկերը համեմատելու և ընտրություն կատարելու </w:t>
      </w:r>
      <w:r w:rsidR="00464EBD" w:rsidRPr="008E5BBE">
        <w:rPr>
          <w:rFonts w:ascii="GHEA Grapalat" w:hAnsi="GHEA Grapalat"/>
          <w:color w:val="000000"/>
          <w:shd w:val="clear" w:color="auto" w:fill="FFFFFF"/>
          <w:lang w:val="hy-AM"/>
        </w:rPr>
        <w:t>հնարավորություն,</w:t>
      </w:r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8E5BBE" w:rsidRPr="008E5BBE" w:rsidRDefault="008E5BBE" w:rsidP="008E5BB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4) </w:t>
      </w:r>
      <w:r w:rsidR="00E90310" w:rsidRPr="008E5BBE">
        <w:rPr>
          <w:rFonts w:ascii="GHEA Grapalat" w:hAnsi="GHEA Grapalat" w:cs="Arial"/>
          <w:color w:val="000000"/>
          <w:shd w:val="clear" w:color="auto" w:fill="FFFFFF"/>
          <w:lang w:val="hy-AM"/>
        </w:rPr>
        <w:t>Այդ</w:t>
      </w:r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տոկոսադրույքը կարճաժամկետ վարկերի (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մեկ տարի ժամկետով տրամադրված) և երկարաժամկետ վարկերի դեպքում նույն պայմանների առկայության պարագայում տարբեր պատկեր է ցույց տալիս։ Օրինակ, եթե վարկի գումարը 500 000 ՀՀ դրամ է, վարկի հետ կապված պարտադիր վճարը՝ վարկի մայր գումարից 3%, իսկ անվանական տոկոսադրույքը 15% է, ապա մեկ ամիս ժամկետով տրամադրված վարկի փաստացի տոկոսադրույքը կկազմի 66%,  մինչդեռ նույն պայմաններով, սակայն մեկ տարուց ավելի ժամկետով տրամադրված վարկի դեպքում փաստացի տոկոսադրույքը կկազմի</w:t>
      </w:r>
      <w:r w:rsidR="00464EBD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23%,</w:t>
      </w:r>
    </w:p>
    <w:p w:rsidR="008E5BBE" w:rsidRPr="008E5BBE" w:rsidRDefault="008E5BBE" w:rsidP="008E5BB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5) </w:t>
      </w:r>
      <w:r w:rsidR="00E90310" w:rsidRPr="008E5BBE">
        <w:rPr>
          <w:rFonts w:ascii="GHEA Grapalat" w:hAnsi="GHEA Grapalat" w:cs="Arial"/>
          <w:color w:val="000000"/>
          <w:shd w:val="clear" w:color="auto" w:fill="FFFFFF"/>
          <w:lang w:val="hy-AM"/>
        </w:rPr>
        <w:t>Որպեսզի</w:t>
      </w:r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սպառողը կարողանա մեկ թվի միջոցով համեմատել նմանատիպ, բայց տարբեր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ժամկետայնությամբ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վարկատեսակները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, փաստացի տոկոսադրույքը վերածվում է տարեկան տոկոսադրույքի, որ</w:t>
      </w:r>
      <w:bookmarkStart w:id="0" w:name="_GoBack"/>
      <w:bookmarkEnd w:id="0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ն էլ ապահովում է դրանց </w:t>
      </w:r>
      <w:r w:rsidR="00464EBD" w:rsidRPr="008E5BBE">
        <w:rPr>
          <w:rFonts w:ascii="GHEA Grapalat" w:hAnsi="GHEA Grapalat"/>
          <w:color w:val="000000"/>
          <w:shd w:val="clear" w:color="auto" w:fill="FFFFFF"/>
          <w:lang w:val="hy-AM"/>
        </w:rPr>
        <w:t>համադրելիությունը,</w:t>
      </w:r>
    </w:p>
    <w:p w:rsidR="00275409" w:rsidRPr="008E5BBE" w:rsidRDefault="008E5BBE" w:rsidP="008E5BB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6) </w:t>
      </w:r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Քանի որ տարեկան փաստացի տոկոսադրույքը բոլոր դեպքերում տարեկան  տոկոսադրույք է, ուստի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մեկ տարի ժամկետով տրամադրված վարկերի դեպքում փաստացի տոկոսադրույքը անհամեմատ բարձր մեծություն է թվում՝ համեմատած երկարաժամկետ վարկերի հետ, ինչը զուտ մեթոդաբանական ցուցանիշ է: Դա է պատճառը, որ մեր շուկայում որոշ դեպքերում առկա են բարձր փաստացի տոկոսադրույքներ, սակայն իրականում այն կախված է վարկի ժամկետից, վարկի հետ կապված վճարների կատարման </w:t>
      </w:r>
      <w:proofErr w:type="spellStart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>հաճախականությունից</w:t>
      </w:r>
      <w:proofErr w:type="spellEnd"/>
      <w:r w:rsidR="00E90310"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և կարող է էականորեն ցածր լինել երկարաժամկետ վարկերի դեպքում:</w:t>
      </w:r>
    </w:p>
    <w:p w:rsidR="00275409" w:rsidRPr="008E5BBE" w:rsidRDefault="00275409" w:rsidP="00464EBD">
      <w:pPr>
        <w:spacing w:after="0" w:line="360" w:lineRule="auto"/>
        <w:ind w:firstLine="567"/>
        <w:jc w:val="both"/>
        <w:rPr>
          <w:rFonts w:ascii="GHEA Grapalat" w:hAnsi="GHEA Grapalat" w:cs="Times New Roman"/>
          <w:color w:val="000000"/>
          <w:shd w:val="clear" w:color="auto" w:fill="FFFFFF"/>
          <w:lang w:val="hy-AM"/>
        </w:rPr>
      </w:pPr>
      <w:proofErr w:type="spellStart"/>
      <w:r w:rsidRPr="008E5BBE">
        <w:rPr>
          <w:rFonts w:ascii="GHEA Grapalat" w:hAnsi="GHEA Grapalat" w:cs="Sylfaen"/>
          <w:spacing w:val="10"/>
          <w:lang w:val="af-ZA"/>
        </w:rPr>
        <w:t>Նախագծով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r w:rsidRPr="008E5BBE">
        <w:rPr>
          <w:rFonts w:ascii="GHEA Grapalat" w:hAnsi="GHEA Grapalat" w:cs="Sylfaen"/>
          <w:spacing w:val="10"/>
          <w:lang w:val="hy-AM"/>
        </w:rPr>
        <w:t xml:space="preserve">սահմանափակման տարբերակված մոտեցում է նախատեսվում վարկատու տարբեր սուբյեկտների համար։ Մասնավորապես </w:t>
      </w:r>
      <w:proofErr w:type="spellStart"/>
      <w:r w:rsidRPr="008E5BBE">
        <w:rPr>
          <w:rFonts w:ascii="GHEA Grapalat" w:hAnsi="GHEA Grapalat" w:cs="Sylfaen"/>
          <w:spacing w:val="10"/>
          <w:lang w:val="hy-AM"/>
        </w:rPr>
        <w:t>հականալի</w:t>
      </w:r>
      <w:proofErr w:type="spellEnd"/>
      <w:r w:rsidRPr="008E5BBE">
        <w:rPr>
          <w:rFonts w:ascii="GHEA Grapalat" w:hAnsi="GHEA Grapalat" w:cs="Sylfaen"/>
          <w:spacing w:val="10"/>
          <w:lang w:val="hy-AM"/>
        </w:rPr>
        <w:t xml:space="preserve"> չէ, թե ինչու է նշված դրույթը սահմանվում միայն բանկերի համար և ոչ՝ վարկային կազմակերպությունների և </w:t>
      </w:r>
      <w:proofErr w:type="spellStart"/>
      <w:r w:rsidRPr="008E5BBE">
        <w:rPr>
          <w:rFonts w:ascii="GHEA Grapalat" w:hAnsi="GHEA Grapalat" w:cs="Sylfaen"/>
          <w:spacing w:val="10"/>
          <w:lang w:val="hy-AM"/>
        </w:rPr>
        <w:t>գրավատնային</w:t>
      </w:r>
      <w:proofErr w:type="spellEnd"/>
      <w:r w:rsidRPr="008E5BBE">
        <w:rPr>
          <w:rFonts w:ascii="GHEA Grapalat" w:hAnsi="GHEA Grapalat" w:cs="Sylfaen"/>
          <w:spacing w:val="10"/>
          <w:lang w:val="hy-AM"/>
        </w:rPr>
        <w:t xml:space="preserve"> գործունեություն իրականացնող կազմակերպությունների համար։ Նշվածի վերաբերյալ չեն ներկայացվել հիմնավորումներ, թե ինչով է պայմանավորված նման տարանջատումը։ </w:t>
      </w:r>
      <w:proofErr w:type="spellStart"/>
      <w:r w:rsidRPr="008E5BBE">
        <w:rPr>
          <w:rFonts w:ascii="GHEA Grapalat" w:hAnsi="GHEA Grapalat" w:cs="Sylfaen"/>
          <w:spacing w:val="10"/>
          <w:lang w:val="hy-AM"/>
        </w:rPr>
        <w:t>Միևնույն</w:t>
      </w:r>
      <w:proofErr w:type="spellEnd"/>
      <w:r w:rsidRPr="008E5BBE">
        <w:rPr>
          <w:rFonts w:ascii="GHEA Grapalat" w:hAnsi="GHEA Grapalat" w:cs="Sylfaen"/>
          <w:spacing w:val="10"/>
          <w:lang w:val="hy-AM"/>
        </w:rPr>
        <w:t xml:space="preserve"> </w:t>
      </w:r>
      <w:r w:rsidRPr="008E5BBE">
        <w:rPr>
          <w:rFonts w:ascii="GHEA Grapalat" w:hAnsi="GHEA Grapalat" w:cs="Sylfaen"/>
          <w:spacing w:val="10"/>
          <w:lang w:val="hy-AM"/>
        </w:rPr>
        <w:lastRenderedPageBreak/>
        <w:t xml:space="preserve">ժամանակ </w:t>
      </w:r>
      <w:r w:rsidR="002E4B57" w:rsidRPr="008E5BBE">
        <w:rPr>
          <w:rFonts w:ascii="GHEA Grapalat" w:hAnsi="GHEA Grapalat" w:cs="Sylfaen"/>
          <w:spacing w:val="10"/>
          <w:lang w:val="hy-AM"/>
        </w:rPr>
        <w:t xml:space="preserve">հարկ է նշել, որ </w:t>
      </w:r>
      <w:r w:rsidRPr="008E5BBE">
        <w:rPr>
          <w:rFonts w:ascii="GHEA Grapalat" w:hAnsi="GHEA Grapalat" w:cs="Sylfaen"/>
          <w:spacing w:val="10"/>
          <w:lang w:val="hy-AM"/>
        </w:rPr>
        <w:t xml:space="preserve">Նախագծի հիմնավորման մեջ բացի բանկերից նշվում են նաև վարկային կազմակերպությունները, ինչը </w:t>
      </w:r>
      <w:proofErr w:type="spellStart"/>
      <w:r w:rsidRPr="008E5BBE">
        <w:rPr>
          <w:rFonts w:ascii="GHEA Grapalat" w:hAnsi="GHEA Grapalat" w:cs="Sylfaen"/>
          <w:spacing w:val="10"/>
          <w:lang w:val="hy-AM"/>
        </w:rPr>
        <w:t>տարընկալման</w:t>
      </w:r>
      <w:proofErr w:type="spellEnd"/>
      <w:r w:rsidRPr="008E5BBE">
        <w:rPr>
          <w:rFonts w:ascii="GHEA Grapalat" w:hAnsi="GHEA Grapalat" w:cs="Sylfaen"/>
          <w:spacing w:val="10"/>
          <w:lang w:val="hy-AM"/>
        </w:rPr>
        <w:t xml:space="preserve"> տեղիք է տալիս։ </w:t>
      </w:r>
    </w:p>
    <w:p w:rsidR="00E90310" w:rsidRPr="008E5BBE" w:rsidRDefault="002E4B57" w:rsidP="00464EBD">
      <w:pPr>
        <w:spacing w:after="0" w:line="360" w:lineRule="auto"/>
        <w:ind w:firstLine="567"/>
        <w:jc w:val="both"/>
        <w:rPr>
          <w:rFonts w:ascii="GHEA Grapalat" w:eastAsia="Times New Roman" w:hAnsi="GHEA Grapalat"/>
          <w:lang w:val="hy-AM" w:eastAsia="ru-RU"/>
        </w:rPr>
      </w:pPr>
      <w:r w:rsidRPr="008E5BBE">
        <w:rPr>
          <w:rFonts w:ascii="GHEA Grapalat" w:hAnsi="GHEA Grapalat"/>
          <w:lang w:val="hy-AM"/>
        </w:rPr>
        <w:t xml:space="preserve">Բացի դրանից, </w:t>
      </w:r>
      <w:r w:rsidR="00E90310" w:rsidRPr="008E5BBE">
        <w:rPr>
          <w:rFonts w:ascii="GHEA Grapalat" w:hAnsi="GHEA Grapalat"/>
          <w:lang w:val="hy-AM"/>
        </w:rPr>
        <w:t xml:space="preserve">հայտնում ենք, որ </w:t>
      </w:r>
      <w:r w:rsidR="00E90310" w:rsidRPr="008E5BBE">
        <w:rPr>
          <w:rFonts w:ascii="GHEA Grapalat" w:eastAsia="Times New Roman" w:hAnsi="GHEA Grapalat"/>
          <w:lang w:val="hy-AM" w:eastAsia="ru-RU"/>
        </w:rPr>
        <w:t xml:space="preserve">Նախագծով առաջարկվող </w:t>
      </w:r>
      <w:proofErr w:type="spellStart"/>
      <w:r w:rsidR="00E90310" w:rsidRPr="008E5BBE">
        <w:rPr>
          <w:rFonts w:ascii="GHEA Grapalat" w:eastAsia="Times New Roman" w:hAnsi="GHEA Grapalat"/>
          <w:lang w:val="hy-AM" w:eastAsia="ru-RU"/>
        </w:rPr>
        <w:t>սահմանաչափի</w:t>
      </w:r>
      <w:proofErr w:type="spellEnd"/>
      <w:r w:rsidR="00E90310" w:rsidRPr="008E5BBE">
        <w:rPr>
          <w:rFonts w:ascii="GHEA Grapalat" w:eastAsia="Times New Roman" w:hAnsi="GHEA Grapalat"/>
          <w:lang w:val="hy-AM" w:eastAsia="ru-RU"/>
        </w:rPr>
        <w:t xml:space="preserve"> վերաբերյալ առկա չէ </w:t>
      </w:r>
      <w:proofErr w:type="spellStart"/>
      <w:r w:rsidR="00E90310" w:rsidRPr="008E5BBE">
        <w:rPr>
          <w:rFonts w:ascii="GHEA Grapalat" w:eastAsia="Times New Roman" w:hAnsi="GHEA Grapalat"/>
          <w:lang w:val="hy-AM" w:eastAsia="ru-RU"/>
        </w:rPr>
        <w:t>որևէ</w:t>
      </w:r>
      <w:proofErr w:type="spellEnd"/>
      <w:r w:rsidR="00E90310" w:rsidRPr="008E5BBE">
        <w:rPr>
          <w:rFonts w:ascii="GHEA Grapalat" w:eastAsia="Times New Roman" w:hAnsi="GHEA Grapalat"/>
          <w:lang w:val="hy-AM" w:eastAsia="ru-RU"/>
        </w:rPr>
        <w:t xml:space="preserve"> հաշվարկ-հիմնավորում, ինչպես նաև գնահատված չէ Նախագծով առաջարկվող մոտեցման ազդեցությունը սպառողական </w:t>
      </w:r>
      <w:proofErr w:type="spellStart"/>
      <w:r w:rsidR="00E90310" w:rsidRPr="008E5BBE">
        <w:rPr>
          <w:rFonts w:ascii="GHEA Grapalat" w:eastAsia="Times New Roman" w:hAnsi="GHEA Grapalat"/>
          <w:lang w:val="hy-AM" w:eastAsia="ru-RU"/>
        </w:rPr>
        <w:t>կրեդիտների</w:t>
      </w:r>
      <w:proofErr w:type="spellEnd"/>
      <w:r w:rsidR="00E90310" w:rsidRPr="008E5BBE">
        <w:rPr>
          <w:rFonts w:ascii="GHEA Grapalat" w:eastAsia="Times New Roman" w:hAnsi="GHEA Grapalat"/>
          <w:lang w:val="hy-AM" w:eastAsia="ru-RU"/>
        </w:rPr>
        <w:t xml:space="preserve"> աճի և միջնորդական ծառայության </w:t>
      </w:r>
      <w:proofErr w:type="spellStart"/>
      <w:r w:rsidR="00E90310" w:rsidRPr="008E5BBE">
        <w:rPr>
          <w:rFonts w:ascii="GHEA Grapalat" w:eastAsia="Times New Roman" w:hAnsi="GHEA Grapalat"/>
          <w:lang w:val="hy-AM" w:eastAsia="ru-RU"/>
        </w:rPr>
        <w:t>հասանելիության</w:t>
      </w:r>
      <w:proofErr w:type="spellEnd"/>
      <w:r w:rsidR="00E90310" w:rsidRPr="008E5BBE">
        <w:rPr>
          <w:rFonts w:ascii="GHEA Grapalat" w:eastAsia="Times New Roman" w:hAnsi="GHEA Grapalat"/>
          <w:lang w:val="hy-AM" w:eastAsia="ru-RU"/>
        </w:rPr>
        <w:t xml:space="preserve"> վրա:</w:t>
      </w:r>
    </w:p>
    <w:p w:rsidR="00E90310" w:rsidRPr="008E5BBE" w:rsidRDefault="00E90310" w:rsidP="00464EBD">
      <w:pPr>
        <w:spacing w:after="0" w:line="360" w:lineRule="auto"/>
        <w:ind w:firstLine="567"/>
        <w:jc w:val="both"/>
        <w:rPr>
          <w:rFonts w:ascii="GHEA Grapalat" w:eastAsia="Times New Roman" w:hAnsi="GHEA Grapalat"/>
          <w:lang w:val="hy-AM" w:eastAsia="ru-RU"/>
        </w:rPr>
      </w:pPr>
      <w:r w:rsidRPr="008E5BBE">
        <w:rPr>
          <w:rFonts w:ascii="GHEA Grapalat" w:eastAsia="Times New Roman" w:hAnsi="GHEA Grapalat"/>
          <w:lang w:val="hy-AM" w:eastAsia="ru-RU"/>
        </w:rPr>
        <w:t xml:space="preserve">Ընդ որում, պետք է հաշվի առնել, որ նախաձեռնությամբ ենթադրվող սահմանափակման առկայությունն անխուսափելիորեն ռիսկ է առաջացնելու ստվերային դրամաշրջանառության և </w:t>
      </w:r>
      <w:proofErr w:type="spellStart"/>
      <w:r w:rsidRPr="008E5BBE">
        <w:rPr>
          <w:rFonts w:ascii="GHEA Grapalat" w:eastAsia="Times New Roman" w:hAnsi="GHEA Grapalat"/>
          <w:lang w:val="hy-AM" w:eastAsia="ru-RU"/>
        </w:rPr>
        <w:t>վաշխառության</w:t>
      </w:r>
      <w:proofErr w:type="spellEnd"/>
      <w:r w:rsidRPr="008E5BBE">
        <w:rPr>
          <w:rFonts w:ascii="GHEA Grapalat" w:eastAsia="Times New Roman" w:hAnsi="GHEA Grapalat"/>
          <w:lang w:val="hy-AM" w:eastAsia="ru-RU"/>
        </w:rPr>
        <w:t xml:space="preserve"> ծավալների մեծացման տեսակետից, քանի որ առաջարկվող փոփոխությունը </w:t>
      </w:r>
      <w:proofErr w:type="spellStart"/>
      <w:r w:rsidRPr="008E5BBE">
        <w:rPr>
          <w:rFonts w:ascii="GHEA Grapalat" w:eastAsia="Times New Roman" w:hAnsi="GHEA Grapalat"/>
          <w:lang w:val="hy-AM" w:eastAsia="ru-RU"/>
        </w:rPr>
        <w:t>որևէ</w:t>
      </w:r>
      <w:proofErr w:type="spellEnd"/>
      <w:r w:rsidRPr="008E5BBE">
        <w:rPr>
          <w:rFonts w:ascii="GHEA Grapalat" w:eastAsia="Times New Roman" w:hAnsi="GHEA Grapalat"/>
          <w:lang w:val="hy-AM" w:eastAsia="ru-RU"/>
        </w:rPr>
        <w:t xml:space="preserve"> ազդեցություն չի կարող ունենալ նման </w:t>
      </w:r>
      <w:proofErr w:type="spellStart"/>
      <w:r w:rsidRPr="008E5BBE">
        <w:rPr>
          <w:rFonts w:ascii="GHEA Grapalat" w:eastAsia="Times New Roman" w:hAnsi="GHEA Grapalat"/>
          <w:lang w:val="hy-AM" w:eastAsia="ru-RU"/>
        </w:rPr>
        <w:t>կրեդիտների</w:t>
      </w:r>
      <w:proofErr w:type="spellEnd"/>
      <w:r w:rsidRPr="008E5BBE">
        <w:rPr>
          <w:rFonts w:ascii="GHEA Grapalat" w:eastAsia="Times New Roman" w:hAnsi="GHEA Grapalat"/>
          <w:lang w:val="hy-AM" w:eastAsia="ru-RU"/>
        </w:rPr>
        <w:t xml:space="preserve"> պահանջարկ ունեցող անձանց քանակի և/կամ վերջիններիս եկամուտների մակարդակի վրա: </w:t>
      </w:r>
    </w:p>
    <w:p w:rsidR="008E5BBE" w:rsidRPr="008E5BBE" w:rsidRDefault="00464EBD" w:rsidP="008E5BBE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8E5BBE">
        <w:rPr>
          <w:rFonts w:ascii="GHEA Grapalat" w:hAnsi="GHEA Grapalat"/>
          <w:shd w:val="clear" w:color="auto" w:fill="FFFFFF"/>
          <w:lang w:val="hy-AM"/>
        </w:rPr>
        <w:t xml:space="preserve">Հիմք ընդունելով վերոգրյալը՝ գտնում ենք, որ Նախագիծը Օրենսգրքով սահմանված </w:t>
      </w:r>
      <w:r w:rsidRPr="008E5BBE">
        <w:rPr>
          <w:rFonts w:ascii="GHEA Grapalat" w:hAnsi="GHEA Grapalat"/>
          <w:lang w:val="hy-AM"/>
        </w:rPr>
        <w:t>պայմանագրի ազատության սկզբունքի և 887-րդ հոդվածի 2-րդ մասում ամրագրված կարգավորման առումով</w:t>
      </w:r>
      <w:r w:rsidRPr="008E5BBE">
        <w:rPr>
          <w:rFonts w:ascii="GHEA Grapalat" w:hAnsi="GHEA Grapalat"/>
          <w:shd w:val="clear" w:color="auto" w:fill="FFFFFF"/>
          <w:lang w:val="hy-AM"/>
        </w:rPr>
        <w:t xml:space="preserve"> </w:t>
      </w:r>
      <w:proofErr w:type="spellStart"/>
      <w:r w:rsidRPr="008E5BBE">
        <w:rPr>
          <w:rFonts w:ascii="GHEA Grapalat" w:hAnsi="GHEA Grapalat"/>
          <w:shd w:val="clear" w:color="auto" w:fill="FFFFFF"/>
          <w:lang w:val="hy-AM"/>
        </w:rPr>
        <w:t>խնդրահարույց</w:t>
      </w:r>
      <w:proofErr w:type="spellEnd"/>
      <w:r w:rsidRPr="008E5BBE">
        <w:rPr>
          <w:rFonts w:ascii="GHEA Grapalat" w:hAnsi="GHEA Grapalat"/>
          <w:shd w:val="clear" w:color="auto" w:fill="FFFFFF"/>
          <w:lang w:val="hy-AM"/>
        </w:rPr>
        <w:t xml:space="preserve"> է։ </w:t>
      </w:r>
    </w:p>
    <w:p w:rsidR="008E5BBE" w:rsidRPr="008E5BBE" w:rsidRDefault="008E5BBE" w:rsidP="008E5BBE">
      <w:pPr>
        <w:pStyle w:val="ListParagraph"/>
        <w:spacing w:before="0" w:after="0" w:line="360" w:lineRule="auto"/>
        <w:ind w:left="0" w:firstLine="567"/>
        <w:jc w:val="both"/>
        <w:rPr>
          <w:rFonts w:ascii="GHEA Grapalat" w:eastAsia="MS Gothic" w:hAnsi="GHEA Grapalat" w:cs="MS Gothic"/>
          <w:spacing w:val="10"/>
          <w:lang w:val="af-ZA"/>
        </w:rPr>
      </w:pPr>
      <w:r w:rsidRPr="008E5BBE">
        <w:rPr>
          <w:rFonts w:ascii="GHEA Grapalat" w:hAnsi="GHEA Grapalat"/>
          <w:spacing w:val="10"/>
          <w:lang w:val="af-ZA"/>
        </w:rPr>
        <w:t xml:space="preserve">ՀՀ </w:t>
      </w:r>
      <w:proofErr w:type="spellStart"/>
      <w:r w:rsidRPr="008E5BBE">
        <w:rPr>
          <w:rFonts w:ascii="GHEA Grapalat" w:hAnsi="GHEA Grapalat"/>
          <w:spacing w:val="10"/>
          <w:lang w:val="af-ZA"/>
        </w:rPr>
        <w:t>կենտրոնական</w:t>
      </w:r>
      <w:proofErr w:type="spellEnd"/>
      <w:r w:rsidRPr="008E5BBE">
        <w:rPr>
          <w:rFonts w:ascii="GHEA Grapalat" w:hAnsi="GHEA Grapalat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pacing w:val="10"/>
          <w:lang w:val="af-ZA"/>
        </w:rPr>
        <w:t>բանկը</w:t>
      </w:r>
      <w:proofErr w:type="spellEnd"/>
      <w:r w:rsidRPr="008E5BBE">
        <w:rPr>
          <w:rFonts w:ascii="GHEA Grapalat" w:hAnsi="GHEA Grapalat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pacing w:val="10"/>
          <w:lang w:val="af-ZA"/>
        </w:rPr>
        <w:t>նաև</w:t>
      </w:r>
      <w:proofErr w:type="spellEnd"/>
      <w:r w:rsidRPr="008E5BBE">
        <w:rPr>
          <w:rFonts w:ascii="GHEA Grapalat" w:hAnsi="GHEA Grapalat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pacing w:val="10"/>
          <w:lang w:val="af-ZA"/>
        </w:rPr>
        <w:t>ուսումնասիրել</w:t>
      </w:r>
      <w:proofErr w:type="spellEnd"/>
      <w:r w:rsidRPr="008E5BBE">
        <w:rPr>
          <w:rFonts w:ascii="GHEA Grapalat" w:hAnsi="GHEA Grapalat"/>
          <w:spacing w:val="10"/>
          <w:lang w:val="af-ZA"/>
        </w:rPr>
        <w:t xml:space="preserve"> է </w:t>
      </w:r>
      <w:proofErr w:type="spellStart"/>
      <w:r w:rsidRPr="008E5BBE">
        <w:rPr>
          <w:rFonts w:ascii="GHEA Grapalat" w:hAnsi="GHEA Grapalat"/>
          <w:spacing w:val="10"/>
          <w:lang w:val="af-ZA"/>
        </w:rPr>
        <w:t>միջազգային</w:t>
      </w:r>
      <w:proofErr w:type="spellEnd"/>
      <w:r w:rsidRPr="008E5BBE">
        <w:rPr>
          <w:rFonts w:ascii="GHEA Grapalat" w:hAnsi="GHEA Grapalat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/>
          <w:spacing w:val="10"/>
          <w:lang w:val="af-ZA"/>
        </w:rPr>
        <w:t>փորձը</w:t>
      </w:r>
      <w:proofErr w:type="spellEnd"/>
      <w:r w:rsidRPr="008E5BBE">
        <w:rPr>
          <w:rFonts w:ascii="GHEA Grapalat" w:hAnsi="GHEA Grapalat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/>
          <w:spacing w:val="10"/>
          <w:lang w:val="af-ZA"/>
        </w:rPr>
        <w:t>հայտնում</w:t>
      </w:r>
      <w:proofErr w:type="spellEnd"/>
      <w:r w:rsidRPr="008E5BBE">
        <w:rPr>
          <w:rFonts w:ascii="GHEA Grapalat" w:hAnsi="GHEA Grapalat"/>
          <w:spacing w:val="10"/>
          <w:lang w:val="af-ZA"/>
        </w:rPr>
        <w:t xml:space="preserve"> է </w:t>
      </w:r>
      <w:proofErr w:type="spellStart"/>
      <w:r w:rsidRPr="008E5BBE">
        <w:rPr>
          <w:rFonts w:ascii="GHEA Grapalat" w:hAnsi="GHEA Grapalat"/>
          <w:spacing w:val="10"/>
          <w:lang w:val="af-ZA"/>
        </w:rPr>
        <w:t>հետևյալը</w:t>
      </w:r>
      <w:proofErr w:type="spellEnd"/>
      <w:r w:rsidRPr="008E5BBE">
        <w:rPr>
          <w:rFonts w:ascii="MS Gothic" w:eastAsia="MS Gothic" w:hAnsi="MS Gothic" w:cs="MS Gothic" w:hint="eastAsia"/>
          <w:spacing w:val="10"/>
          <w:lang w:val="af-ZA"/>
        </w:rPr>
        <w:t>․</w:t>
      </w:r>
    </w:p>
    <w:p w:rsidR="008E5BBE" w:rsidRPr="008E5BBE" w:rsidRDefault="008E5BBE" w:rsidP="008E5BBE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 w:cs="Sylfaen"/>
          <w:spacing w:val="10"/>
          <w:lang w:val="af-ZA"/>
        </w:rPr>
      </w:pPr>
      <w:r w:rsidRPr="008E5BBE">
        <w:rPr>
          <w:rFonts w:ascii="GHEA Grapalat" w:eastAsia="MS Gothic" w:hAnsi="GHEA Grapalat" w:cs="MS Gothic"/>
          <w:spacing w:val="10"/>
          <w:lang w:val="af-ZA"/>
        </w:rPr>
        <w:t xml:space="preserve">1) </w:t>
      </w:r>
      <w:r w:rsidRPr="008E5BBE">
        <w:rPr>
          <w:rFonts w:ascii="GHEA Grapalat" w:hAnsi="GHEA Grapalat" w:cs="Sylfaen"/>
          <w:spacing w:val="10"/>
          <w:lang w:val="hy-AM"/>
        </w:rPr>
        <w:t>Համեմատաբար բարձր տոկոսադրույքով տրամադրվող</w:t>
      </w:r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r w:rsidRPr="008E5BBE">
        <w:rPr>
          <w:rFonts w:ascii="GHEA Grapalat" w:hAnsi="GHEA Grapalat" w:cs="Sylfaen"/>
          <w:spacing w:val="10"/>
          <w:lang w:val="hy-AM"/>
        </w:rPr>
        <w:t xml:space="preserve">վարկերը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սովորաբար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կարճաժամկետ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փոքր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ծավալներով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լուծում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վարկառուների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կարճաժամկետ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հրատապ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ֆինանսական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խնդիրները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: </w:t>
      </w:r>
      <w:r w:rsidRPr="008E5BBE">
        <w:rPr>
          <w:rFonts w:ascii="GHEA Grapalat" w:hAnsi="GHEA Grapalat" w:cs="Sylfaen"/>
          <w:spacing w:val="10"/>
          <w:lang w:val="hy-AM"/>
        </w:rPr>
        <w:t>Այսպես կոչված մ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իկրովարկավորումը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խթանում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է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նաև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նորաստեղծ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բարդ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բիզնես-ծրագրեր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չենթադրող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փոքր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բիզնեսի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հիմնումը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զարգացումը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: 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Նույնիսկ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 2006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թվականին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տնտեսագետ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Մուհամմադ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Յունուսը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ստացել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է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Նոբելյան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մրցանակ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խաղաղության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բնագավառում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՝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հիմնելով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միկրովարկային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կազմակերպություն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ինչը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օգնեց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նվազեցնել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աղքատությունը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Բանգլադեշում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>,</w:t>
      </w:r>
    </w:p>
    <w:p w:rsidR="008E5BBE" w:rsidRPr="008E5BBE" w:rsidRDefault="008E5BBE" w:rsidP="008E5BBE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 w:cs="Sylfaen"/>
          <w:spacing w:val="10"/>
          <w:lang w:val="af-ZA"/>
        </w:rPr>
      </w:pPr>
      <w:r w:rsidRPr="008E5BBE">
        <w:rPr>
          <w:rFonts w:ascii="GHEA Grapalat" w:hAnsi="GHEA Grapalat" w:cs="Sylfaen"/>
          <w:spacing w:val="10"/>
          <w:lang w:val="af-ZA"/>
        </w:rPr>
        <w:t xml:space="preserve">2)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Եվրամիության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մակարդակով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վարկավորման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ծախսի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սահմանափակման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միասնական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կարգավորման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մոտեցում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առկա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չէ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տարբեր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ԵՄ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երկրներ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տարբեր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կերպ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անդրադառնում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նշված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հարցին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>,</w:t>
      </w:r>
    </w:p>
    <w:p w:rsidR="008E5BBE" w:rsidRPr="008E5BBE" w:rsidRDefault="008E5BBE" w:rsidP="008E5BBE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 w:cs="Sylfaen"/>
          <w:spacing w:val="10"/>
          <w:lang w:val="hy-AM"/>
        </w:rPr>
      </w:pPr>
      <w:r w:rsidRPr="008E5BBE">
        <w:rPr>
          <w:rFonts w:ascii="GHEA Grapalat" w:hAnsi="GHEA Grapalat" w:cs="Sylfaen"/>
          <w:spacing w:val="10"/>
          <w:lang w:val="af-ZA"/>
        </w:rPr>
        <w:lastRenderedPageBreak/>
        <w:t xml:space="preserve">3)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շարք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երկրներում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այդ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թվում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՝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զարգացած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առկա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որոշ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կարգավորումներ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սպառողական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կարճաժամկետ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չապահովված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վարկերի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տոկոսադրույքների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վերաբերյալ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: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Նման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սահմանափակումներ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Ավստրալիայում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ԱՄՆ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որոշ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նահանգներում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Եվրոպական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երկրներում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այլն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: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Չնայած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այն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հանգամանքին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որ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շարք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երկրներում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որոշ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սահմանափակումներ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հենց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փաստացի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տոկոսադրույքների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մասով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այնուամենայնիվ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պետք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է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նշել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որ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կարգավորման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միտումը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ոչ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թե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վարկի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տարեկան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փաստացի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սահմանափակում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կիրառելն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է,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այլ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r w:rsidRPr="008E5BBE">
        <w:rPr>
          <w:rFonts w:ascii="GHEA Grapalat" w:hAnsi="GHEA Grapalat" w:cs="Sylfaen"/>
          <w:spacing w:val="10"/>
          <w:lang w:val="hy-AM"/>
        </w:rPr>
        <w:t xml:space="preserve">այդ տոկոսադրույքի նկատմամբ սպառողներին տարբեր գործիքների միջոցով նախապես </w:t>
      </w:r>
      <w:proofErr w:type="spellStart"/>
      <w:r w:rsidRPr="008E5BBE">
        <w:rPr>
          <w:rFonts w:ascii="GHEA Grapalat" w:hAnsi="GHEA Grapalat" w:cs="Sylfaen"/>
          <w:spacing w:val="10"/>
          <w:lang w:val="hy-AM"/>
        </w:rPr>
        <w:t>տեղեկացնելն</w:t>
      </w:r>
      <w:proofErr w:type="spellEnd"/>
      <w:r w:rsidRPr="008E5BBE">
        <w:rPr>
          <w:rFonts w:ascii="GHEA Grapalat" w:hAnsi="GHEA Grapalat" w:cs="Sylfaen"/>
          <w:spacing w:val="10"/>
          <w:lang w:val="hy-AM"/>
        </w:rPr>
        <w:t xml:space="preserve"> է, որպեսզի նրանք կարողանան համեմատել նույն տեսակի վարկերը և ընտրություն կատարեն,</w:t>
      </w:r>
    </w:p>
    <w:p w:rsidR="008E5BBE" w:rsidRPr="008E5BBE" w:rsidRDefault="008E5BBE" w:rsidP="008E5BBE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8E5BBE">
        <w:rPr>
          <w:rFonts w:ascii="GHEA Grapalat" w:hAnsi="GHEA Grapalat" w:cs="Sylfaen"/>
          <w:spacing w:val="10"/>
          <w:lang w:val="hy-AM"/>
        </w:rPr>
        <w:t xml:space="preserve">4)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Ռուսաստանի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Դաշնությունում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օրենսդրորեն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սահմանված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է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միկրովարկի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վերին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սահմանաչափ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՝ 365%,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Մեծ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Բրիտանիայում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>՝ 100% (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որոշ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դեպքերում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սպառողական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վարկերի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համար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ընդհանրապես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չկա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սահմանափակում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),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Իտալիայում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՝ 150%,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Պորտուգալիայում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՝ 133%,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Էստոնիայում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՝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միջին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փաստացի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եռապատիկը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Ֆրանսիայում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՝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Կենտրոնական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բանկի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կողմից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սահմանված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՝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գումարած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33%,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Հյուսիսային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Աֆրիկայի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երկրներում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(Մ</w:t>
      </w:r>
      <w:r w:rsidRPr="008E5BBE">
        <w:rPr>
          <w:rFonts w:ascii="GHEA Grapalat" w:hAnsi="GHEA Grapalat" w:cs="Sylfaen"/>
          <w:spacing w:val="10"/>
          <w:lang w:val="hy-AM"/>
        </w:rPr>
        <w:t>ա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րո</w:t>
      </w:r>
      <w:proofErr w:type="spellEnd"/>
      <w:r w:rsidRPr="008E5BBE">
        <w:rPr>
          <w:rFonts w:ascii="GHEA Grapalat" w:hAnsi="GHEA Grapalat" w:cs="Sylfaen"/>
          <w:spacing w:val="10"/>
          <w:lang w:val="hy-AM"/>
        </w:rPr>
        <w:t>կ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կո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Թունիս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Լիբիա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Ալժիր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Եգիպտոս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)՝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ամսական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3%-5%, ԱՄՆ-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նահանգների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մեծ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մասում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առավելագույն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սահմանաչափ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չկա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իսկ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միկրովարկավորման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տոկոսադրույքները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տատանվում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են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միջինում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400%-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ից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մինչև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1800% (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կախված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վարկի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տեսակից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չափից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 w:cs="Sylfaen"/>
          <w:spacing w:val="10"/>
          <w:lang w:val="af-ZA"/>
        </w:rPr>
        <w:t>ժամկետից</w:t>
      </w:r>
      <w:proofErr w:type="spellEnd"/>
      <w:r w:rsidRPr="008E5BBE">
        <w:rPr>
          <w:rFonts w:ascii="GHEA Grapalat" w:hAnsi="GHEA Grapalat" w:cs="Sylfaen"/>
          <w:spacing w:val="10"/>
          <w:lang w:val="af-ZA"/>
        </w:rPr>
        <w:t>):</w:t>
      </w:r>
    </w:p>
    <w:p w:rsidR="002E4B57" w:rsidRPr="008E5BBE" w:rsidRDefault="002E4B57" w:rsidP="00464EBD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Հարկ ենք համարում շեշտել, որ արդեն իսկ քայլեր են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նախաձեռնվել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պատասխանատու վարկավորման մշակույթի ամրապնդման ուղղությամբ։ Ավելին, հաշվի առնելով նաև այն հանգամանքը, որ նախկինում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ևս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տարբեր քաղաքական  ուժեր առաջարկել են նման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կարգավորումներ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որպես փոխզիջում՝ 2020 թվականի հունիսի 3-ին ընդունվեց «Սպառողական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կրեդիտավորման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ՀՀ օրենքում լրացումներ կատարելու մասին» ՀՀ օրենքը։ Այդ օրենքի համաձայն «Կենտրոնական բանկն իր նորմատիվ իրավական ակտերով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երեք ամիս ժամկետով կնքվող՝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300,000 դրամի չափով սպառողական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կրեդիտների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 սահմանում է պարտադիր պահանջներ և պայմաններ, </w:t>
      </w: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վարկավորման կանոններ` հիմք ընդունելով սպառողի </w:t>
      </w:r>
      <w:proofErr w:type="spellStart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>վարկունակության</w:t>
      </w:r>
      <w:proofErr w:type="spellEnd"/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, սպառողի պարտքի և եկամտի հարաբերակցության, վարկը սպասարկելու՝ սպառողի ունակության գնահատման չափանիշները:»: Նշված դրույթը կկիրառվի 2021 թվականից։ </w:t>
      </w:r>
    </w:p>
    <w:p w:rsidR="002E4B57" w:rsidRPr="008E5BBE" w:rsidRDefault="002E4B57" w:rsidP="00464EBD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Նշենք նաև, որ ներկայումս բանկերի կողմից տրամադրվող սպառողական վարկերի միջին </w:t>
      </w:r>
      <w:r w:rsidRPr="008E5BBE">
        <w:rPr>
          <w:rFonts w:ascii="GHEA Grapalat" w:hAnsi="GHEA Grapalat"/>
          <w:shd w:val="clear" w:color="auto" w:fill="FFFFFF"/>
          <w:lang w:val="hy-AM"/>
        </w:rPr>
        <w:t xml:space="preserve">փաստացի տոկոսադրույքը չի գերազանցում 20%-ը։ </w:t>
      </w:r>
    </w:p>
    <w:p w:rsidR="002E4B57" w:rsidRPr="008E5BBE" w:rsidRDefault="002E4B57" w:rsidP="00464EBD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pacing w:val="10"/>
          <w:lang w:val="af-ZA"/>
        </w:rPr>
      </w:pPr>
      <w:r w:rsidRPr="008E5BBE">
        <w:rPr>
          <w:rFonts w:ascii="GHEA Grapalat" w:hAnsi="GHEA Grapalat"/>
          <w:shd w:val="clear" w:color="auto" w:fill="FFFFFF"/>
          <w:lang w:val="hy-AM"/>
        </w:rPr>
        <w:t>Ամփոփելով</w:t>
      </w:r>
      <w:r w:rsidR="00607F0A" w:rsidRPr="008E5BBE">
        <w:rPr>
          <w:rFonts w:ascii="GHEA Grapalat" w:hAnsi="GHEA Grapalat"/>
          <w:shd w:val="clear" w:color="auto" w:fill="FFFFFF"/>
          <w:lang w:val="hy-AM"/>
        </w:rPr>
        <w:t xml:space="preserve"> </w:t>
      </w:r>
      <w:proofErr w:type="spellStart"/>
      <w:r w:rsidR="00607F0A" w:rsidRPr="008E5BBE">
        <w:rPr>
          <w:rFonts w:ascii="GHEA Grapalat" w:hAnsi="GHEA Grapalat"/>
          <w:shd w:val="clear" w:color="auto" w:fill="FFFFFF"/>
          <w:lang w:val="hy-AM"/>
        </w:rPr>
        <w:t>վերաշարադրվածը</w:t>
      </w:r>
      <w:proofErr w:type="spellEnd"/>
      <w:r w:rsidRPr="008E5BBE">
        <w:rPr>
          <w:rFonts w:ascii="GHEA Grapalat" w:hAnsi="GHEA Grapalat"/>
          <w:shd w:val="clear" w:color="auto" w:fill="FFFFFF"/>
          <w:lang w:val="hy-AM"/>
        </w:rPr>
        <w:t xml:space="preserve">՝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հաշվի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առնելով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Նախագծի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խնդրահարույց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կարգավորումները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ուսումնասիրության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արդյունքում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բացահայտված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միտումները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,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միջազգային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կարգավորման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փորձը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և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ներկայիս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իրավական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հնարավորությունների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սահմանները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՝ </w:t>
      </w:r>
      <w:r w:rsidRPr="008E5BBE">
        <w:rPr>
          <w:rFonts w:ascii="GHEA Grapalat" w:hAnsi="GHEA Grapalat" w:cs="Sylfaen"/>
          <w:color w:val="000000" w:themeColor="text1"/>
          <w:spacing w:val="10"/>
          <w:lang w:val="hy-AM"/>
        </w:rPr>
        <w:t xml:space="preserve">Հայաստանի Հանրապետության կառավարությունը Նախագծով առաջարկվող </w:t>
      </w:r>
      <w:r w:rsidR="00607F0A" w:rsidRPr="008E5BBE">
        <w:rPr>
          <w:rFonts w:ascii="GHEA Grapalat" w:hAnsi="GHEA Grapalat" w:cs="Sylfaen"/>
          <w:color w:val="000000" w:themeColor="text1"/>
          <w:spacing w:val="10"/>
          <w:lang w:val="hy-AM"/>
        </w:rPr>
        <w:t>փոփոխությունների ընդունումը</w:t>
      </w:r>
      <w:r w:rsidRPr="008E5BBE">
        <w:rPr>
          <w:rFonts w:ascii="GHEA Grapalat" w:hAnsi="GHEA Grapalat" w:cs="Sylfaen"/>
          <w:color w:val="000000" w:themeColor="text1"/>
          <w:spacing w:val="10"/>
          <w:lang w:val="hy-AM"/>
        </w:rPr>
        <w:t xml:space="preserve"> </w:t>
      </w:r>
      <w:proofErr w:type="spellStart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նպատակահարմար</w:t>
      </w:r>
      <w:proofErr w:type="spellEnd"/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="00607F0A"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չի</w:t>
      </w:r>
      <w:proofErr w:type="spellEnd"/>
      <w:r w:rsidR="00607F0A"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</w:t>
      </w:r>
      <w:proofErr w:type="spellStart"/>
      <w:r w:rsidR="00607F0A"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համարում</w:t>
      </w:r>
      <w:proofErr w:type="spellEnd"/>
      <w:r w:rsidR="00607F0A"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և </w:t>
      </w:r>
      <w:proofErr w:type="spellStart"/>
      <w:r w:rsidR="00607F0A" w:rsidRPr="008E5BBE">
        <w:rPr>
          <w:rFonts w:ascii="GHEA Grapalat" w:hAnsi="GHEA Grapalat" w:cs="Sylfaen"/>
          <w:color w:val="000000" w:themeColor="text1"/>
          <w:spacing w:val="10"/>
          <w:lang w:val="af-ZA"/>
        </w:rPr>
        <w:t>առաջարկում</w:t>
      </w:r>
      <w:proofErr w:type="spellEnd"/>
      <w:r w:rsidR="00607F0A"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 է </w:t>
      </w:r>
      <w:r w:rsidR="00607F0A" w:rsidRPr="008E5BBE">
        <w:rPr>
          <w:rFonts w:ascii="GHEA Grapalat" w:hAnsi="GHEA Grapalat" w:cs="Sylfaen"/>
          <w:color w:val="000000" w:themeColor="text1"/>
          <w:spacing w:val="10"/>
          <w:lang w:val="hy-AM"/>
        </w:rPr>
        <w:t>գործող օրենքը թողնել անփոփոխ</w:t>
      </w:r>
      <w:r w:rsidRPr="008E5BBE">
        <w:rPr>
          <w:rFonts w:ascii="GHEA Grapalat" w:hAnsi="GHEA Grapalat" w:cs="Sylfaen"/>
          <w:color w:val="000000" w:themeColor="text1"/>
          <w:spacing w:val="10"/>
          <w:lang w:val="af-ZA"/>
        </w:rPr>
        <w:t xml:space="preserve">:  </w:t>
      </w:r>
    </w:p>
    <w:p w:rsidR="00E90310" w:rsidRPr="008E5BBE" w:rsidRDefault="00E90310" w:rsidP="00464EBD">
      <w:pPr>
        <w:pStyle w:val="ListParagraph"/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lang w:val="af-ZA"/>
        </w:rPr>
      </w:pPr>
    </w:p>
    <w:p w:rsidR="00E90310" w:rsidRPr="008E5BBE" w:rsidRDefault="00E90310">
      <w:pPr>
        <w:rPr>
          <w:rFonts w:ascii="GHEA Grapalat" w:hAnsi="GHEA Grapalat"/>
          <w:lang w:val="hy-AM"/>
        </w:rPr>
      </w:pPr>
    </w:p>
    <w:p w:rsidR="000161B9" w:rsidRPr="008E5BBE" w:rsidRDefault="000161B9" w:rsidP="00096B8A">
      <w:pPr>
        <w:spacing w:after="0"/>
        <w:jc w:val="center"/>
        <w:rPr>
          <w:rFonts w:ascii="GHEA Grapalat" w:eastAsia="Times New Roman" w:hAnsi="GHEA Grapalat" w:cs="GHEA Grapalat"/>
          <w:lang w:val="hy-AM"/>
        </w:rPr>
      </w:pPr>
    </w:p>
    <w:p w:rsidR="00096B8A" w:rsidRPr="008E5BBE" w:rsidRDefault="00096B8A" w:rsidP="00096B8A">
      <w:pPr>
        <w:spacing w:after="0"/>
        <w:jc w:val="center"/>
        <w:rPr>
          <w:rFonts w:ascii="GHEA Grapalat" w:eastAsia="Times New Roman" w:hAnsi="GHEA Grapalat" w:cs="GHEA Grapalat"/>
          <w:b/>
          <w:lang w:val="fr-FR"/>
        </w:rPr>
      </w:pPr>
      <w:r w:rsidRPr="008E5BBE">
        <w:rPr>
          <w:rFonts w:ascii="GHEA Grapalat" w:eastAsia="Times New Roman" w:hAnsi="GHEA Grapalat" w:cs="GHEA Grapalat"/>
          <w:b/>
          <w:lang w:val="hy-AM"/>
        </w:rPr>
        <w:t>ԵԶՐԱԿԱՑՈՒԹՅՈՒՆ</w:t>
      </w:r>
    </w:p>
    <w:p w:rsidR="00096B8A" w:rsidRPr="008E5BBE" w:rsidRDefault="00096B8A" w:rsidP="00096B8A">
      <w:pPr>
        <w:spacing w:after="0"/>
        <w:jc w:val="center"/>
        <w:rPr>
          <w:rFonts w:ascii="GHEA Grapalat" w:eastAsia="Times New Roman" w:hAnsi="GHEA Grapalat" w:cs="GHEA Grapalat"/>
          <w:lang w:val="fr-FR"/>
        </w:rPr>
      </w:pPr>
    </w:p>
    <w:p w:rsidR="00096B8A" w:rsidRPr="008E5BBE" w:rsidRDefault="00096B8A" w:rsidP="008E5BBE">
      <w:pPr>
        <w:spacing w:after="0" w:line="276" w:lineRule="auto"/>
        <w:jc w:val="center"/>
        <w:rPr>
          <w:rFonts w:ascii="GHEA Grapalat" w:hAnsi="GHEA Grapalat" w:cs="Sylfaen"/>
          <w:lang w:val="hy-AM" w:eastAsia="x-none"/>
        </w:rPr>
      </w:pPr>
      <w:r w:rsidRPr="008E5BBE">
        <w:rPr>
          <w:rFonts w:ascii="GHEA Grapalat" w:hAnsi="GHEA Grapalat"/>
          <w:lang w:val="hy-AM"/>
        </w:rPr>
        <w:t xml:space="preserve">«Սպառողական </w:t>
      </w:r>
      <w:proofErr w:type="spellStart"/>
      <w:r w:rsidRPr="008E5BBE">
        <w:rPr>
          <w:rFonts w:ascii="GHEA Grapalat" w:hAnsi="GHEA Grapalat"/>
          <w:lang w:val="hy-AM"/>
        </w:rPr>
        <w:t>կրեդիտավորման</w:t>
      </w:r>
      <w:proofErr w:type="spellEnd"/>
      <w:r w:rsidRPr="008E5BBE">
        <w:rPr>
          <w:rFonts w:ascii="GHEA Grapalat" w:hAnsi="GHEA Grapalat"/>
          <w:lang w:val="hy-AM"/>
        </w:rPr>
        <w:t xml:space="preserve"> մասին» Հայաստանի Հանրապետության օրենքում լրացում կատարելու մասին» ՀՀ օրենքի նախագծի՝ ՀՀ</w:t>
      </w:r>
      <w:r w:rsidRPr="008E5BBE">
        <w:rPr>
          <w:rFonts w:ascii="GHEA Grapalat" w:hAnsi="GHEA Grapalat" w:cs="Sylfaen"/>
          <w:lang w:val="hy-AM"/>
        </w:rPr>
        <w:t xml:space="preserve"> </w:t>
      </w:r>
      <w:r w:rsidRPr="008E5BBE">
        <w:rPr>
          <w:rFonts w:ascii="GHEA Grapalat" w:hAnsi="GHEA Grapalat" w:cs="Sylfaen"/>
          <w:lang w:val="hy-AM" w:eastAsia="x-none"/>
        </w:rPr>
        <w:t>պե</w:t>
      </w:r>
      <w:r w:rsidRPr="008E5BBE">
        <w:rPr>
          <w:rFonts w:ascii="GHEA Grapalat" w:hAnsi="GHEA Grapalat" w:cs="Sylfaen"/>
          <w:lang w:val="hy-AM" w:eastAsia="x-none"/>
        </w:rPr>
        <w:softHyphen/>
        <w:t>տա</w:t>
      </w:r>
      <w:r w:rsidRPr="008E5BBE">
        <w:rPr>
          <w:rFonts w:ascii="GHEA Grapalat" w:hAnsi="GHEA Grapalat" w:cs="Sylfaen"/>
          <w:lang w:val="hy-AM" w:eastAsia="x-none"/>
        </w:rPr>
        <w:softHyphen/>
        <w:t>կան բյուջեի եկամուտ</w:t>
      </w:r>
      <w:r w:rsidRPr="008E5BBE">
        <w:rPr>
          <w:rFonts w:ascii="GHEA Grapalat" w:hAnsi="GHEA Grapalat" w:cs="Sylfaen"/>
          <w:lang w:val="hy-AM" w:eastAsia="x-none"/>
        </w:rPr>
        <w:softHyphen/>
        <w:t>ների էական նվազեցման կամ ծախ</w:t>
      </w:r>
      <w:r w:rsidRPr="008E5BBE">
        <w:rPr>
          <w:rFonts w:ascii="GHEA Grapalat" w:hAnsi="GHEA Grapalat" w:cs="Sylfaen"/>
          <w:lang w:val="hy-AM" w:eastAsia="x-none"/>
        </w:rPr>
        <w:softHyphen/>
        <w:t>սերի ավելացման վերաբերյալ</w:t>
      </w:r>
    </w:p>
    <w:p w:rsidR="00096B8A" w:rsidRPr="008E5BBE" w:rsidRDefault="00096B8A" w:rsidP="00096B8A">
      <w:pPr>
        <w:spacing w:after="0" w:line="276" w:lineRule="auto"/>
        <w:jc w:val="center"/>
        <w:rPr>
          <w:rFonts w:ascii="GHEA Grapalat" w:eastAsia="Times New Roman" w:hAnsi="GHEA Grapalat" w:cs="GHEA Grapalat"/>
          <w:lang w:val="af-ZA" w:eastAsia="en-GB"/>
        </w:rPr>
      </w:pPr>
    </w:p>
    <w:p w:rsidR="00096B8A" w:rsidRPr="008E5BBE" w:rsidRDefault="00096B8A" w:rsidP="00096B8A">
      <w:pPr>
        <w:spacing w:after="0" w:line="360" w:lineRule="auto"/>
        <w:ind w:firstLine="567"/>
        <w:jc w:val="center"/>
        <w:rPr>
          <w:rFonts w:ascii="GHEA Grapalat" w:eastAsia="Times New Roman" w:hAnsi="GHEA Grapalat" w:cs="GHEA Grapalat"/>
          <w:lang w:val="af-ZA" w:eastAsia="en-GB"/>
        </w:rPr>
      </w:pPr>
    </w:p>
    <w:p w:rsidR="00096B8A" w:rsidRPr="008E5BBE" w:rsidRDefault="00096B8A" w:rsidP="00096B8A">
      <w:pPr>
        <w:spacing w:after="0" w:line="360" w:lineRule="auto"/>
        <w:ind w:firstLine="567"/>
        <w:jc w:val="both"/>
        <w:rPr>
          <w:rFonts w:ascii="GHEA Grapalat" w:eastAsia="Times New Roman" w:hAnsi="GHEA Grapalat"/>
          <w:lang w:val="hy-AM" w:eastAsia="ru-RU"/>
        </w:rPr>
      </w:pPr>
      <w:r w:rsidRPr="008E5BBE">
        <w:rPr>
          <w:rFonts w:ascii="GHEA Grapalat" w:eastAsia="Times New Roman" w:hAnsi="GHEA Grapalat"/>
          <w:lang w:val="hy-AM" w:eastAsia="ru-RU"/>
        </w:rPr>
        <w:t xml:space="preserve">Նախագծով, մասնավորապես, առաջարկվում է սահմանել, որ տարեկան փաստացի տոկոսադրույքի չափը բանկերի և օտարերկրյա բանկերի մասնաճյուղերի կողմից տրամադրված </w:t>
      </w:r>
      <w:proofErr w:type="spellStart"/>
      <w:r w:rsidRPr="008E5BBE">
        <w:rPr>
          <w:rFonts w:ascii="GHEA Grapalat" w:eastAsia="Times New Roman" w:hAnsi="GHEA Grapalat"/>
          <w:lang w:val="hy-AM" w:eastAsia="ru-RU"/>
        </w:rPr>
        <w:t>կրեդիտների</w:t>
      </w:r>
      <w:proofErr w:type="spellEnd"/>
      <w:r w:rsidRPr="008E5BBE">
        <w:rPr>
          <w:rFonts w:ascii="GHEA Grapalat" w:eastAsia="Times New Roman" w:hAnsi="GHEA Grapalat"/>
          <w:lang w:val="hy-AM" w:eastAsia="ru-RU"/>
        </w:rPr>
        <w:t xml:space="preserve"> համար չի կարող գերազանցել պայմանագրի կնքման օրվա դրությամբ Կենտ</w:t>
      </w:r>
      <w:r w:rsidRPr="008E5BBE">
        <w:rPr>
          <w:rFonts w:ascii="GHEA Grapalat" w:eastAsia="Times New Roman" w:hAnsi="GHEA Grapalat"/>
          <w:lang w:val="hy-AM" w:eastAsia="ru-RU"/>
        </w:rPr>
        <w:softHyphen/>
        <w:t>րո</w:t>
      </w:r>
      <w:r w:rsidRPr="008E5BBE">
        <w:rPr>
          <w:rFonts w:ascii="GHEA Grapalat" w:eastAsia="Times New Roman" w:hAnsi="GHEA Grapalat"/>
          <w:lang w:val="hy-AM" w:eastAsia="ru-RU"/>
        </w:rPr>
        <w:softHyphen/>
        <w:t>նական բանկի սահմանած բանկային տոկոսի հաշվարկային դրույքի կրկնա</w:t>
      </w:r>
      <w:r w:rsidRPr="008E5BBE">
        <w:rPr>
          <w:rFonts w:ascii="GHEA Grapalat" w:eastAsia="Times New Roman" w:hAnsi="GHEA Grapalat"/>
          <w:lang w:val="hy-AM" w:eastAsia="ru-RU"/>
        </w:rPr>
        <w:softHyphen/>
        <w:t>պա</w:t>
      </w:r>
      <w:r w:rsidRPr="008E5BBE">
        <w:rPr>
          <w:rFonts w:ascii="GHEA Grapalat" w:eastAsia="Times New Roman" w:hAnsi="GHEA Grapalat"/>
          <w:lang w:val="hy-AM" w:eastAsia="ru-RU"/>
        </w:rPr>
        <w:softHyphen/>
        <w:t>տիկը:</w:t>
      </w:r>
    </w:p>
    <w:p w:rsidR="00890A91" w:rsidRPr="008E5BBE" w:rsidRDefault="00096B8A" w:rsidP="008E5BBE">
      <w:pPr>
        <w:spacing w:after="0" w:line="360" w:lineRule="auto"/>
        <w:ind w:firstLine="567"/>
        <w:jc w:val="both"/>
        <w:rPr>
          <w:rFonts w:ascii="GHEA Grapalat" w:hAnsi="GHEA Grapalat"/>
          <w:lang w:val="fr-FR"/>
        </w:rPr>
      </w:pP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 xml:space="preserve">Հաշվի առնելով վերոգրյալը՝ </w:t>
      </w:r>
      <w:r w:rsidRPr="008E5BBE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հայտնում ենք, որ </w:t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>նախա</w:t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գծի ընդու</w:t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նումը կարող է հանգեցնել ՀՀ պետա</w:t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կան բյու</w:t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ջեի եկա</w:t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մուտ</w:t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Pr="008E5BBE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softHyphen/>
        <w:t>ների նվազեցման, իսկ ծախսերի ավելացման չի հանգեցնի:</w:t>
      </w:r>
      <w:r w:rsidR="008E5BBE" w:rsidRPr="008E5BBE">
        <w:rPr>
          <w:rFonts w:ascii="GHEA Grapalat" w:hAnsi="GHEA Grapalat"/>
          <w:lang w:val="hy-AM"/>
        </w:rPr>
        <w:t xml:space="preserve"> </w:t>
      </w:r>
    </w:p>
    <w:sectPr w:rsidR="00890A91" w:rsidRPr="008E5BBE" w:rsidSect="00A5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F56"/>
    <w:multiLevelType w:val="hybridMultilevel"/>
    <w:tmpl w:val="93547E1E"/>
    <w:lvl w:ilvl="0" w:tplc="EFFE9AF0">
      <w:numFmt w:val="bullet"/>
      <w:lvlText w:val="-"/>
      <w:lvlJc w:val="left"/>
      <w:pPr>
        <w:ind w:left="360" w:hanging="360"/>
      </w:pPr>
      <w:rPr>
        <w:rFonts w:ascii="GHEA Grapalat" w:eastAsia="Calibri" w:hAnsi="GHEA Grapalat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848"/>
    <w:rsid w:val="000063CA"/>
    <w:rsid w:val="000161B9"/>
    <w:rsid w:val="00096B8A"/>
    <w:rsid w:val="00142077"/>
    <w:rsid w:val="00192929"/>
    <w:rsid w:val="00275409"/>
    <w:rsid w:val="002E4B57"/>
    <w:rsid w:val="00391367"/>
    <w:rsid w:val="00464EBD"/>
    <w:rsid w:val="00471848"/>
    <w:rsid w:val="00501F2E"/>
    <w:rsid w:val="005166B2"/>
    <w:rsid w:val="00607F0A"/>
    <w:rsid w:val="006945B9"/>
    <w:rsid w:val="00731A73"/>
    <w:rsid w:val="00890A91"/>
    <w:rsid w:val="008D057B"/>
    <w:rsid w:val="008D37DA"/>
    <w:rsid w:val="008E5BBE"/>
    <w:rsid w:val="009234C3"/>
    <w:rsid w:val="00A5381E"/>
    <w:rsid w:val="00AE57FA"/>
    <w:rsid w:val="00B06688"/>
    <w:rsid w:val="00B25411"/>
    <w:rsid w:val="00D40405"/>
    <w:rsid w:val="00D65AA1"/>
    <w:rsid w:val="00E90310"/>
    <w:rsid w:val="00F5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A89A"/>
  <w15:docId w15:val="{8E69A9B8-A198-4B24-B0A3-D8B8EBA9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14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2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420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20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420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2077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TitleChar">
    <w:name w:val="Title Char"/>
    <w:basedOn w:val="DefaultParagraphFont"/>
    <w:link w:val="Title"/>
    <w:rsid w:val="00142077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paragraph" w:styleId="ListParagraph">
    <w:name w:val="List Paragraph"/>
    <w:aliases w:val="References,Дэд гарчиг,IBL List Paragraph,List Paragraph1,Paragraph,BULLET Liste,Numbered List Paragraph,Bullet paras,Liste 1,Table no. List Paragraph,Colorful List - Accent 11,List Paragraph (numbered (a)),Normal 1,List Paragraph 1"/>
    <w:basedOn w:val="Normal"/>
    <w:link w:val="ListParagraphChar"/>
    <w:uiPriority w:val="34"/>
    <w:qFormat/>
    <w:rsid w:val="00E90310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Дэд гарчиг Char,IBL List Paragraph Char,List Paragraph1 Char,Paragraph Char,BULLET Liste Char,Numbered List Paragraph Char,Bullet paras Char,Liste 1 Char,Table no. List Paragraph Char,Colorful List - Accent 11 Char"/>
    <w:link w:val="ListParagraph"/>
    <w:uiPriority w:val="34"/>
    <w:qFormat/>
    <w:locked/>
    <w:rsid w:val="008E5B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18</cp:revision>
  <dcterms:created xsi:type="dcterms:W3CDTF">2019-10-11T04:41:00Z</dcterms:created>
  <dcterms:modified xsi:type="dcterms:W3CDTF">2020-09-27T12:35:00Z</dcterms:modified>
</cp:coreProperties>
</file>