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5CB" w:rsidRPr="0095032F" w:rsidRDefault="00506570" w:rsidP="00506570">
      <w:pPr>
        <w:jc w:val="center"/>
        <w:rPr>
          <w:rFonts w:ascii="GHEA Grapalat" w:hAnsi="GHEA Grapalat"/>
          <w:b/>
          <w:sz w:val="24"/>
          <w:szCs w:val="24"/>
          <w:lang w:val="hy-AM"/>
        </w:rPr>
      </w:pPr>
      <w:r w:rsidRPr="0095032F">
        <w:rPr>
          <w:rFonts w:ascii="GHEA Grapalat" w:hAnsi="GHEA Grapalat"/>
          <w:b/>
          <w:sz w:val="24"/>
          <w:szCs w:val="24"/>
          <w:lang w:val="hy-AM"/>
        </w:rPr>
        <w:t>ԱՄՓՈՓԱԹԵՐԹ</w:t>
      </w:r>
    </w:p>
    <w:p w:rsidR="00506570" w:rsidRPr="0095032F" w:rsidRDefault="00136CC5" w:rsidP="00506570">
      <w:pPr>
        <w:jc w:val="center"/>
        <w:rPr>
          <w:rFonts w:ascii="GHEA Grapalat" w:hAnsi="GHEA Grapalat" w:cs="Sylfaen"/>
          <w:b/>
          <w:sz w:val="24"/>
          <w:szCs w:val="24"/>
          <w:lang w:val="hy-AM"/>
        </w:rPr>
      </w:pPr>
      <w:r w:rsidRPr="0095032F">
        <w:rPr>
          <w:rFonts w:ascii="GHEA Grapalat" w:hAnsi="GHEA Grapalat" w:cstheme="minorHAnsi"/>
          <w:b/>
          <w:sz w:val="24"/>
          <w:lang w:val="hy-AM"/>
        </w:rPr>
        <w:t>«</w:t>
      </w:r>
      <w:r w:rsidRPr="0095032F">
        <w:rPr>
          <w:rFonts w:ascii="GHEA Grapalat" w:hAnsi="GHEA Grapalat" w:cs="Sylfaen"/>
          <w:b/>
          <w:sz w:val="24"/>
          <w:lang w:val="hy-AM"/>
        </w:rPr>
        <w:t>ՀԱՅԱՍՏԱՆԻ</w:t>
      </w:r>
      <w:r w:rsidRPr="0095032F">
        <w:rPr>
          <w:rFonts w:ascii="GHEA Grapalat" w:hAnsi="GHEA Grapalat" w:cstheme="minorHAnsi"/>
          <w:b/>
          <w:sz w:val="24"/>
          <w:lang w:val="hy-AM"/>
        </w:rPr>
        <w:t xml:space="preserve"> </w:t>
      </w:r>
      <w:r w:rsidRPr="0095032F">
        <w:rPr>
          <w:rFonts w:ascii="GHEA Grapalat" w:hAnsi="GHEA Grapalat" w:cs="Sylfaen"/>
          <w:b/>
          <w:sz w:val="24"/>
          <w:lang w:val="hy-AM"/>
        </w:rPr>
        <w:t>ՀԱՆՐԱՊԵՏՈՒԹՅԱՆ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ՔՐԵԱԿԱՆ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ԴԱՏԱՎԱՐՈՒԹՅԱՆ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ՕՐԵՆՍԳՐՔՈՒՄ</w:t>
      </w:r>
      <w:r w:rsidRPr="0095032F">
        <w:rPr>
          <w:rFonts w:ascii="GHEA Grapalat" w:hAnsi="GHEA Grapalat" w:cstheme="minorHAnsi"/>
          <w:b/>
          <w:sz w:val="24"/>
          <w:lang w:val="hy-AM"/>
        </w:rPr>
        <w:t xml:space="preserve"> </w:t>
      </w:r>
      <w:r w:rsidRPr="0095032F">
        <w:rPr>
          <w:rFonts w:ascii="GHEA Grapalat" w:hAnsi="GHEA Grapalat" w:cs="Sylfaen"/>
          <w:b/>
          <w:sz w:val="24"/>
          <w:lang w:val="hy-AM"/>
        </w:rPr>
        <w:t>ԼՐԱՑՈՒՄ</w:t>
      </w:r>
      <w:r w:rsidRPr="0095032F">
        <w:rPr>
          <w:rFonts w:ascii="GHEA Grapalat" w:hAnsi="GHEA Grapalat" w:cstheme="minorHAnsi"/>
          <w:b/>
          <w:sz w:val="24"/>
          <w:lang w:val="hy-AM"/>
        </w:rPr>
        <w:t xml:space="preserve"> </w:t>
      </w:r>
      <w:r w:rsidRPr="0095032F">
        <w:rPr>
          <w:rFonts w:ascii="GHEA Grapalat" w:hAnsi="GHEA Grapalat" w:cs="Sylfaen"/>
          <w:b/>
          <w:sz w:val="24"/>
          <w:lang w:val="hy-AM"/>
        </w:rPr>
        <w:t>ԿԱՏԱՐԵԼՈՒ</w:t>
      </w:r>
      <w:r w:rsidRPr="0095032F">
        <w:rPr>
          <w:rFonts w:ascii="GHEA Grapalat" w:hAnsi="GHEA Grapalat" w:cstheme="minorHAnsi"/>
          <w:b/>
          <w:sz w:val="24"/>
          <w:lang w:val="hy-AM"/>
        </w:rPr>
        <w:t xml:space="preserve"> </w:t>
      </w:r>
      <w:r w:rsidRPr="0095032F">
        <w:rPr>
          <w:rFonts w:ascii="GHEA Grapalat" w:hAnsi="GHEA Grapalat" w:cs="Sylfaen"/>
          <w:b/>
          <w:sz w:val="24"/>
          <w:lang w:val="hy-AM"/>
        </w:rPr>
        <w:t>ՄԱՍԻՆ</w:t>
      </w:r>
      <w:r w:rsidRPr="0095032F">
        <w:rPr>
          <w:rFonts w:ascii="GHEA Grapalat" w:hAnsi="GHEA Grapalat" w:cstheme="minorHAnsi"/>
          <w:b/>
          <w:sz w:val="24"/>
          <w:lang w:val="hy-AM"/>
        </w:rPr>
        <w:t>», «</w:t>
      </w:r>
      <w:r w:rsidRPr="0095032F">
        <w:rPr>
          <w:rFonts w:ascii="GHEA Grapalat" w:hAnsi="GHEA Grapalat" w:cs="Sylfaen"/>
          <w:b/>
          <w:sz w:val="24"/>
          <w:lang w:val="hy-AM"/>
        </w:rPr>
        <w:t>ՀԱՅԱՍՏԱՆԻ</w:t>
      </w:r>
      <w:r w:rsidRPr="0095032F">
        <w:rPr>
          <w:rFonts w:ascii="GHEA Grapalat" w:hAnsi="GHEA Grapalat" w:cstheme="minorHAnsi"/>
          <w:b/>
          <w:sz w:val="24"/>
          <w:lang w:val="hy-AM"/>
        </w:rPr>
        <w:t xml:space="preserve"> </w:t>
      </w:r>
      <w:r w:rsidRPr="0095032F">
        <w:rPr>
          <w:rFonts w:ascii="GHEA Grapalat" w:hAnsi="GHEA Grapalat" w:cs="Sylfaen"/>
          <w:b/>
          <w:sz w:val="24"/>
          <w:lang w:val="hy-AM"/>
        </w:rPr>
        <w:t>ՀԱՆՐԱՊԵՏՈՒԹՅԱՆ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ՔԱՂԱՔԱՑԻԱԿԱՆ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ԴԱՏԱՎԱՐՈՒԹՅՈՒՆ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ՕՐԵՆՍԳՐՔՈՒՄ</w:t>
      </w:r>
      <w:r w:rsidRPr="0095032F">
        <w:rPr>
          <w:rFonts w:ascii="GHEA Grapalat" w:hAnsi="GHEA Grapalat" w:cstheme="minorHAnsi"/>
          <w:b/>
          <w:sz w:val="24"/>
          <w:lang w:val="hy-AM"/>
        </w:rPr>
        <w:t xml:space="preserve"> </w:t>
      </w:r>
      <w:r w:rsidRPr="0095032F">
        <w:rPr>
          <w:rFonts w:ascii="GHEA Grapalat" w:hAnsi="GHEA Grapalat" w:cs="Sylfaen"/>
          <w:b/>
          <w:sz w:val="24"/>
          <w:lang w:val="hy-AM"/>
        </w:rPr>
        <w:t>ԼՐԱՑՈՒՄՆԵՐ</w:t>
      </w:r>
      <w:r w:rsidRPr="0095032F">
        <w:rPr>
          <w:rFonts w:ascii="GHEA Grapalat" w:hAnsi="GHEA Grapalat" w:cstheme="minorHAnsi"/>
          <w:b/>
          <w:sz w:val="24"/>
          <w:lang w:val="hy-AM"/>
        </w:rPr>
        <w:t xml:space="preserve"> ԵՎ ՓՈՓՈԽՈՒԹՅՈՒՆ </w:t>
      </w:r>
      <w:r w:rsidRPr="0095032F">
        <w:rPr>
          <w:rFonts w:ascii="GHEA Grapalat" w:hAnsi="GHEA Grapalat" w:cs="Sylfaen"/>
          <w:b/>
          <w:sz w:val="24"/>
          <w:lang w:val="hy-AM"/>
        </w:rPr>
        <w:t>ԿԱՏԱՐԵԼՈՒ</w:t>
      </w:r>
      <w:r w:rsidRPr="0095032F">
        <w:rPr>
          <w:rFonts w:ascii="GHEA Grapalat" w:hAnsi="GHEA Grapalat" w:cstheme="minorHAnsi"/>
          <w:b/>
          <w:sz w:val="24"/>
          <w:lang w:val="hy-AM"/>
        </w:rPr>
        <w:t xml:space="preserve"> </w:t>
      </w:r>
      <w:r w:rsidRPr="0095032F">
        <w:rPr>
          <w:rFonts w:ascii="GHEA Grapalat" w:hAnsi="GHEA Grapalat" w:cs="Sylfaen"/>
          <w:b/>
          <w:sz w:val="24"/>
          <w:lang w:val="hy-AM"/>
        </w:rPr>
        <w:t>ՄԱՍԻՆ</w:t>
      </w:r>
      <w:r w:rsidRPr="0095032F">
        <w:rPr>
          <w:rFonts w:ascii="GHEA Grapalat" w:hAnsi="GHEA Grapalat" w:cstheme="minorHAnsi"/>
          <w:b/>
          <w:sz w:val="24"/>
          <w:lang w:val="hy-AM"/>
        </w:rPr>
        <w:t>» ԵՎ «</w:t>
      </w:r>
      <w:r w:rsidRPr="0095032F">
        <w:rPr>
          <w:rFonts w:ascii="GHEA Grapalat" w:hAnsi="GHEA Grapalat" w:cs="Sylfaen"/>
          <w:b/>
          <w:sz w:val="24"/>
          <w:lang w:val="hy-AM"/>
        </w:rPr>
        <w:t>ՀԱՅԱՍՏԱՆԻ</w:t>
      </w:r>
      <w:r w:rsidRPr="0095032F">
        <w:rPr>
          <w:rFonts w:ascii="GHEA Grapalat" w:hAnsi="GHEA Grapalat" w:cstheme="minorHAnsi"/>
          <w:b/>
          <w:sz w:val="24"/>
          <w:lang w:val="hy-AM"/>
        </w:rPr>
        <w:t xml:space="preserve"> </w:t>
      </w:r>
      <w:r w:rsidRPr="0095032F">
        <w:rPr>
          <w:rFonts w:ascii="GHEA Grapalat" w:hAnsi="GHEA Grapalat" w:cs="Sylfaen"/>
          <w:b/>
          <w:sz w:val="24"/>
          <w:lang w:val="hy-AM"/>
        </w:rPr>
        <w:t>ՀԱՆՐԱՊԵՏՈՒԹՅԱՆ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ՎԱՐՉԱԿԱՆ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ԴԱՏԱՎԱՐՈՒԹՅԱՆ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ՕՐԵՆՍԳՐՔՈՒՄ</w:t>
      </w:r>
      <w:r w:rsidRPr="0095032F">
        <w:rPr>
          <w:rFonts w:ascii="GHEA Grapalat" w:hAnsi="GHEA Grapalat" w:cstheme="minorHAnsi"/>
          <w:b/>
          <w:sz w:val="24"/>
          <w:lang w:val="hy-AM"/>
        </w:rPr>
        <w:t xml:space="preserve"> </w:t>
      </w:r>
      <w:r w:rsidRPr="0095032F">
        <w:rPr>
          <w:rFonts w:ascii="GHEA Grapalat" w:hAnsi="GHEA Grapalat" w:cs="Sylfaen"/>
          <w:b/>
          <w:sz w:val="24"/>
          <w:lang w:val="hy-AM"/>
        </w:rPr>
        <w:t>ԼՐԱՑՈՒՄ ԵՎ ՓՈՓՈԽՈՒԹՅՈՒՆ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ԿԱՏԱՐԵԼՈՒ</w:t>
      </w:r>
      <w:r w:rsidRPr="0095032F">
        <w:rPr>
          <w:rFonts w:ascii="GHEA Grapalat" w:hAnsi="GHEA Grapalat" w:cstheme="minorHAnsi"/>
          <w:b/>
          <w:sz w:val="24"/>
          <w:lang w:val="hy-AM"/>
        </w:rPr>
        <w:t xml:space="preserve"> </w:t>
      </w:r>
      <w:r w:rsidRPr="0095032F">
        <w:rPr>
          <w:rFonts w:ascii="GHEA Grapalat" w:hAnsi="GHEA Grapalat" w:cs="Sylfaen"/>
          <w:b/>
          <w:sz w:val="24"/>
          <w:lang w:val="hy-AM"/>
        </w:rPr>
        <w:t>ՄԱՍԻՆ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ՀԱՅԱՍՏԱՆԻ</w:t>
      </w:r>
      <w:r w:rsidRPr="0095032F">
        <w:rPr>
          <w:rFonts w:ascii="GHEA Grapalat" w:hAnsi="GHEA Grapalat" w:cstheme="minorHAnsi"/>
          <w:b/>
          <w:sz w:val="24"/>
          <w:lang w:val="hy-AM"/>
        </w:rPr>
        <w:t xml:space="preserve"> </w:t>
      </w:r>
      <w:r w:rsidRPr="0095032F">
        <w:rPr>
          <w:rFonts w:ascii="GHEA Grapalat" w:hAnsi="GHEA Grapalat" w:cs="Sylfaen"/>
          <w:b/>
          <w:sz w:val="24"/>
          <w:lang w:val="hy-AM"/>
        </w:rPr>
        <w:t>ՀԱՆՐԱՊԵՏՈՒԹՅԱՆ</w:t>
      </w:r>
      <w:r w:rsidRPr="0095032F">
        <w:rPr>
          <w:rFonts w:ascii="GHEA Grapalat" w:hAnsi="GHEA Grapalat" w:cstheme="minorHAnsi"/>
          <w:b/>
          <w:sz w:val="24"/>
          <w:lang w:val="hy-AM"/>
        </w:rPr>
        <w:t xml:space="preserve"> </w:t>
      </w:r>
      <w:r w:rsidRPr="0095032F">
        <w:rPr>
          <w:rFonts w:ascii="GHEA Grapalat" w:hAnsi="GHEA Grapalat" w:cs="Sylfaen"/>
          <w:b/>
          <w:sz w:val="24"/>
          <w:lang w:val="hy-AM"/>
        </w:rPr>
        <w:t>ՕՐԵՆՔՆԵՐԻ</w:t>
      </w:r>
      <w:r w:rsidRPr="0095032F">
        <w:rPr>
          <w:rFonts w:ascii="GHEA Grapalat" w:hAnsi="GHEA Grapalat" w:cstheme="minorHAnsi"/>
          <w:b/>
          <w:sz w:val="24"/>
          <w:lang w:val="hy-AM"/>
        </w:rPr>
        <w:t xml:space="preserve"> </w:t>
      </w:r>
      <w:r w:rsidRPr="0095032F">
        <w:rPr>
          <w:rFonts w:ascii="GHEA Grapalat" w:hAnsi="GHEA Grapalat" w:cs="Sylfaen"/>
          <w:b/>
          <w:sz w:val="24"/>
          <w:lang w:val="hy-AM"/>
        </w:rPr>
        <w:t>ՆԱԽԱԳԾԵՐԻ</w:t>
      </w:r>
      <w:r w:rsidR="00506570" w:rsidRPr="0095032F">
        <w:rPr>
          <w:rFonts w:ascii="GHEA Grapalat" w:hAnsi="GHEA Grapalat" w:cs="Sylfaen"/>
          <w:b/>
          <w:sz w:val="24"/>
          <w:szCs w:val="24"/>
          <w:lang w:val="hy-AM"/>
        </w:rPr>
        <w:t xml:space="preserve"> ՎԵՐԱԲԵՐՅԱԼ ՆԵՐԿԱՅԱՑՎԱԾ ԱՌԱՋԱՐԿՈՒԹՅՈՒՆՆԵՐԻ ԵՎ ԴԻՏՈՂՈՒԹՅՈՒՆՆԵՐԻ</w:t>
      </w:r>
    </w:p>
    <w:p w:rsidR="00506570" w:rsidRPr="0095032F" w:rsidRDefault="00506570" w:rsidP="00506570">
      <w:pPr>
        <w:jc w:val="both"/>
        <w:rPr>
          <w:rFonts w:ascii="GHEA Grapalat" w:hAnsi="GHEA Grapalat" w:cs="Sylfaen"/>
          <w:b/>
          <w:sz w:val="24"/>
          <w:szCs w:val="24"/>
          <w:lang w:val="hy-AM"/>
        </w:rPr>
      </w:pPr>
    </w:p>
    <w:tbl>
      <w:tblPr>
        <w:tblStyle w:val="TableGrid"/>
        <w:tblW w:w="0" w:type="auto"/>
        <w:tblLook w:val="04A0" w:firstRow="1" w:lastRow="0" w:firstColumn="1" w:lastColumn="0" w:noHBand="0" w:noVBand="1"/>
      </w:tblPr>
      <w:tblGrid>
        <w:gridCol w:w="859"/>
        <w:gridCol w:w="2941"/>
        <w:gridCol w:w="4730"/>
        <w:gridCol w:w="4420"/>
      </w:tblGrid>
      <w:tr w:rsidR="00506570" w:rsidRPr="0095032F" w:rsidTr="00B32CCB">
        <w:tc>
          <w:tcPr>
            <w:tcW w:w="859" w:type="dxa"/>
          </w:tcPr>
          <w:p w:rsidR="00506570" w:rsidRPr="0095032F" w:rsidRDefault="00506570" w:rsidP="00D563E0">
            <w:pPr>
              <w:jc w:val="center"/>
              <w:rPr>
                <w:rFonts w:ascii="GHEA Grapalat" w:hAnsi="GHEA Grapalat"/>
                <w:sz w:val="24"/>
                <w:szCs w:val="24"/>
              </w:rPr>
            </w:pPr>
            <w:r w:rsidRPr="0095032F">
              <w:rPr>
                <w:rFonts w:ascii="GHEA Grapalat" w:hAnsi="GHEA Grapalat"/>
                <w:sz w:val="24"/>
                <w:szCs w:val="24"/>
              </w:rPr>
              <w:t>N</w:t>
            </w:r>
          </w:p>
        </w:tc>
        <w:tc>
          <w:tcPr>
            <w:tcW w:w="2941" w:type="dxa"/>
          </w:tcPr>
          <w:p w:rsidR="00506570" w:rsidRPr="0095032F" w:rsidRDefault="00506570" w:rsidP="00D563E0">
            <w:pPr>
              <w:jc w:val="center"/>
              <w:rPr>
                <w:rFonts w:ascii="GHEA Grapalat" w:hAnsi="GHEA Grapalat"/>
                <w:b/>
                <w:sz w:val="24"/>
                <w:szCs w:val="24"/>
                <w:lang w:val="hy-AM"/>
              </w:rPr>
            </w:pPr>
            <w:r w:rsidRPr="0095032F">
              <w:rPr>
                <w:rFonts w:ascii="GHEA Grapalat" w:hAnsi="GHEA Grapalat"/>
                <w:b/>
                <w:sz w:val="24"/>
                <w:szCs w:val="24"/>
                <w:lang w:val="hy-AM"/>
              </w:rPr>
              <w:t>Առաջարկությունը ներկայացրած մարմնի անվանումը</w:t>
            </w:r>
          </w:p>
        </w:tc>
        <w:tc>
          <w:tcPr>
            <w:tcW w:w="4730" w:type="dxa"/>
          </w:tcPr>
          <w:p w:rsidR="00506570" w:rsidRPr="0095032F" w:rsidRDefault="00506570" w:rsidP="00D563E0">
            <w:pPr>
              <w:jc w:val="center"/>
              <w:rPr>
                <w:rFonts w:ascii="GHEA Grapalat" w:hAnsi="GHEA Grapalat"/>
                <w:b/>
                <w:sz w:val="24"/>
                <w:szCs w:val="24"/>
                <w:lang w:val="hy-AM"/>
              </w:rPr>
            </w:pPr>
            <w:r w:rsidRPr="0095032F">
              <w:rPr>
                <w:rFonts w:ascii="GHEA Grapalat" w:hAnsi="GHEA Grapalat"/>
                <w:b/>
                <w:sz w:val="24"/>
                <w:szCs w:val="24"/>
                <w:lang w:val="hy-AM"/>
              </w:rPr>
              <w:t>Առաջարկության բովանդակությունը</w:t>
            </w:r>
          </w:p>
        </w:tc>
        <w:tc>
          <w:tcPr>
            <w:tcW w:w="4420" w:type="dxa"/>
          </w:tcPr>
          <w:p w:rsidR="00506570" w:rsidRPr="0095032F" w:rsidRDefault="00506570" w:rsidP="00D563E0">
            <w:pPr>
              <w:jc w:val="center"/>
              <w:rPr>
                <w:rFonts w:ascii="GHEA Grapalat" w:hAnsi="GHEA Grapalat"/>
                <w:b/>
                <w:sz w:val="24"/>
                <w:szCs w:val="24"/>
                <w:lang w:val="hy-AM"/>
              </w:rPr>
            </w:pPr>
            <w:r w:rsidRPr="0095032F">
              <w:rPr>
                <w:rFonts w:ascii="GHEA Grapalat" w:hAnsi="GHEA Grapalat"/>
                <w:b/>
                <w:sz w:val="24"/>
                <w:szCs w:val="24"/>
                <w:lang w:val="hy-AM"/>
              </w:rPr>
              <w:t>Եզրակացություն</w:t>
            </w:r>
          </w:p>
        </w:tc>
      </w:tr>
      <w:tr w:rsidR="00506570" w:rsidRPr="0095032F" w:rsidTr="00B32CCB">
        <w:tc>
          <w:tcPr>
            <w:tcW w:w="859" w:type="dxa"/>
          </w:tcPr>
          <w:p w:rsidR="00506570" w:rsidRPr="0095032F" w:rsidRDefault="00D563E0" w:rsidP="00506570">
            <w:pPr>
              <w:jc w:val="both"/>
              <w:rPr>
                <w:rFonts w:ascii="GHEA Grapalat" w:hAnsi="GHEA Grapalat"/>
                <w:b/>
                <w:sz w:val="24"/>
                <w:szCs w:val="24"/>
                <w:lang w:val="hy-AM"/>
              </w:rPr>
            </w:pPr>
            <w:r w:rsidRPr="0095032F">
              <w:rPr>
                <w:rFonts w:ascii="GHEA Grapalat" w:hAnsi="GHEA Grapalat"/>
                <w:b/>
                <w:sz w:val="24"/>
                <w:szCs w:val="24"/>
                <w:lang w:val="hy-AM"/>
              </w:rPr>
              <w:t>1</w:t>
            </w:r>
            <w:r w:rsidRPr="0095032F">
              <w:rPr>
                <w:rFonts w:ascii="MS Gothic" w:eastAsia="MS Gothic" w:hAnsi="MS Gothic" w:cs="MS Gothic" w:hint="eastAsia"/>
                <w:b/>
                <w:sz w:val="24"/>
                <w:szCs w:val="24"/>
                <w:lang w:val="hy-AM"/>
              </w:rPr>
              <w:t>․</w:t>
            </w:r>
          </w:p>
        </w:tc>
        <w:tc>
          <w:tcPr>
            <w:tcW w:w="2941" w:type="dxa"/>
          </w:tcPr>
          <w:p w:rsidR="00506570" w:rsidRPr="0095032F" w:rsidRDefault="00D563E0" w:rsidP="00D563E0">
            <w:pPr>
              <w:jc w:val="center"/>
              <w:rPr>
                <w:rFonts w:ascii="GHEA Grapalat" w:hAnsi="GHEA Grapalat"/>
                <w:b/>
                <w:sz w:val="24"/>
                <w:szCs w:val="24"/>
                <w:lang w:val="hy-AM"/>
              </w:rPr>
            </w:pPr>
            <w:r w:rsidRPr="0095032F">
              <w:rPr>
                <w:rFonts w:ascii="GHEA Grapalat" w:hAnsi="GHEA Grapalat"/>
                <w:b/>
                <w:sz w:val="24"/>
                <w:szCs w:val="24"/>
                <w:lang w:val="hy-AM"/>
              </w:rPr>
              <w:t>ՀՀ մարդու իրավունքների պաշտպանի 2021 թ</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հունվարի 21-ի թիվ </w:t>
            </w:r>
            <w:r w:rsidRPr="0095032F">
              <w:rPr>
                <w:rFonts w:ascii="GHEA Grapalat" w:hAnsi="GHEA Grapalat"/>
                <w:b/>
                <w:color w:val="000000"/>
                <w:sz w:val="24"/>
                <w:szCs w:val="24"/>
                <w:shd w:val="clear" w:color="auto" w:fill="FFFFFF"/>
              </w:rPr>
              <w:t>01/04/207-21</w:t>
            </w:r>
            <w:r w:rsidRPr="0095032F">
              <w:rPr>
                <w:rFonts w:ascii="GHEA Grapalat" w:hAnsi="GHEA Grapalat"/>
                <w:b/>
                <w:color w:val="000000"/>
                <w:sz w:val="24"/>
                <w:szCs w:val="24"/>
                <w:shd w:val="clear" w:color="auto" w:fill="FFFFFF"/>
                <w:lang w:val="hy-AM"/>
              </w:rPr>
              <w:t xml:space="preserve"> գրություն</w:t>
            </w:r>
          </w:p>
        </w:tc>
        <w:tc>
          <w:tcPr>
            <w:tcW w:w="4730" w:type="dxa"/>
          </w:tcPr>
          <w:p w:rsidR="00D563E0" w:rsidRPr="0095032F" w:rsidRDefault="00D563E0" w:rsidP="00AE7AB1">
            <w:pPr>
              <w:spacing w:line="360" w:lineRule="auto"/>
              <w:ind w:left="166"/>
              <w:rPr>
                <w:rFonts w:ascii="GHEA Grapalat" w:hAnsi="GHEA Grapalat"/>
                <w:sz w:val="24"/>
                <w:szCs w:val="24"/>
                <w:lang w:val="hy-AM"/>
              </w:rPr>
            </w:pPr>
            <w:r w:rsidRPr="0095032F">
              <w:rPr>
                <w:rFonts w:ascii="GHEA Grapalat" w:hAnsi="GHEA Grapalat"/>
                <w:sz w:val="24"/>
                <w:szCs w:val="24"/>
                <w:lang w:val="hy-AM"/>
              </w:rPr>
              <w:t>1</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Նախագծային լուծումների ընդհանուր դիտարկումից պարզ է դառնում, որ բացառիկ վերանայման հիմքերը </w:t>
            </w:r>
            <w:bookmarkStart w:id="0" w:name="_GoBack"/>
            <w:bookmarkEnd w:id="0"/>
            <w:r w:rsidRPr="0095032F">
              <w:rPr>
                <w:rFonts w:ascii="GHEA Grapalat" w:hAnsi="GHEA Grapalat"/>
                <w:sz w:val="24"/>
                <w:szCs w:val="24"/>
                <w:lang w:val="hy-AM"/>
              </w:rPr>
              <w:t xml:space="preserve">մի կողմից ընդլայնվում են՝ ներառելով նաև բարեկամական կարգավորումը կամ ՀՀ կողմից արված միակողմանի հայտարարությունը, մյուս կողմից՝ սահմանվում է պահանջ առ այն, որ դրանք իբրև բացառիկ վերանայման </w:t>
            </w:r>
            <w:r w:rsidRPr="0095032F">
              <w:rPr>
                <w:rFonts w:ascii="GHEA Grapalat" w:hAnsi="GHEA Grapalat"/>
                <w:sz w:val="24"/>
                <w:szCs w:val="24"/>
                <w:lang w:val="hy-AM"/>
              </w:rPr>
              <w:lastRenderedPageBreak/>
              <w:t xml:space="preserve">հիմք կարող են ծառայել, եթե </w:t>
            </w:r>
            <w:r w:rsidRPr="0095032F">
              <w:rPr>
                <w:rFonts w:ascii="GHEA Grapalat" w:hAnsi="GHEA Grapalat"/>
                <w:i/>
                <w:sz w:val="24"/>
                <w:szCs w:val="24"/>
                <w:u w:val="single"/>
                <w:lang w:val="hy-AM"/>
              </w:rPr>
              <w:t xml:space="preserve">բացառիկ և միակ </w:t>
            </w:r>
            <w:r w:rsidRPr="0095032F">
              <w:rPr>
                <w:rFonts w:ascii="GHEA Grapalat" w:hAnsi="GHEA Grapalat"/>
                <w:sz w:val="24"/>
                <w:szCs w:val="24"/>
                <w:lang w:val="hy-AM"/>
              </w:rPr>
              <w:t>միջոցն են խախտված իրավունքների վերականգնման համար:</w:t>
            </w:r>
          </w:p>
          <w:p w:rsidR="00D563E0" w:rsidRPr="0095032F" w:rsidRDefault="00D563E0" w:rsidP="00AE7AB1">
            <w:pPr>
              <w:spacing w:line="360" w:lineRule="auto"/>
              <w:ind w:left="166" w:firstLine="270"/>
              <w:jc w:val="both"/>
              <w:rPr>
                <w:rFonts w:ascii="GHEA Grapalat" w:hAnsi="GHEA Grapalat"/>
                <w:sz w:val="24"/>
                <w:szCs w:val="24"/>
                <w:lang w:val="hy-AM"/>
              </w:rPr>
            </w:pPr>
            <w:r w:rsidRPr="0095032F">
              <w:rPr>
                <w:rFonts w:ascii="GHEA Grapalat" w:hAnsi="GHEA Grapalat"/>
                <w:sz w:val="24"/>
                <w:szCs w:val="24"/>
                <w:lang w:val="hy-AM"/>
              </w:rPr>
              <w:t xml:space="preserve">Միջազգային իրավական, այդ թվում՝ Մարդու իրավունքների եվրոպական դատարանի վճիռների կատարման ընթացակարգերի կարգավորումների տեսանկյունից ոչ բոլոր դեպքերում գործերի վերաբացման՝ նախագծով որդեգրված մոտեցումն ինքնին խնդրահարույց չէ: Միևնույն ժամանակ, հարկ է նկատել, որ առաջարկվող լուծումներով կարծես զգալիորեն մեծանում է անձի վրա դրվող իրավական բեռը՝ միջազգային դատարանի կողմից իր խախտված իրավունքների հաստատված փաստի </w:t>
            </w:r>
            <w:r w:rsidRPr="0095032F">
              <w:rPr>
                <w:rFonts w:ascii="GHEA Grapalat" w:hAnsi="GHEA Grapalat"/>
                <w:sz w:val="24"/>
                <w:szCs w:val="24"/>
                <w:lang w:val="hy-AM"/>
              </w:rPr>
              <w:lastRenderedPageBreak/>
              <w:t>պայմաններում ապացուցելու, որ հենց գործի վերաբացումն է իրավունքի վերականգնման ոչ միայն արդյունավետ, այլև միակ ու բացառիկ միջոցը: Այս առումով, նախագիծը կարծես լիարժեք չի ապահովում Սահմանադրական դատարանի իրավական դիրքորոշումներով սահմանված՝ պետության պարտավորության աստիճանը:</w:t>
            </w:r>
          </w:p>
          <w:p w:rsidR="00D563E0" w:rsidRPr="0095032F" w:rsidRDefault="00D563E0" w:rsidP="00AE7AB1">
            <w:pPr>
              <w:spacing w:line="360" w:lineRule="auto"/>
              <w:ind w:left="166" w:firstLine="270"/>
              <w:jc w:val="both"/>
              <w:rPr>
                <w:rFonts w:ascii="GHEA Grapalat" w:hAnsi="GHEA Grapalat"/>
                <w:sz w:val="24"/>
                <w:szCs w:val="24"/>
                <w:lang w:val="hy-AM"/>
              </w:rPr>
            </w:pPr>
            <w:r w:rsidRPr="0095032F">
              <w:rPr>
                <w:rFonts w:ascii="GHEA Grapalat" w:hAnsi="GHEA Grapalat"/>
                <w:sz w:val="24"/>
                <w:szCs w:val="24"/>
                <w:lang w:val="hy-AM"/>
              </w:rPr>
              <w:t xml:space="preserve">Այսպես, Սահմանադրական դատարանը ՍԴՈ-1114 որոշմամբ անդրադառնալով նոր հանգամանքներով գործի վերանայման օրենսդրական կարգավորումներին՝ դատարանի մատչելիության համատեքստում, արձանագրել է, որ նոր հանգամանքի առկայության </w:t>
            </w:r>
            <w:r w:rsidRPr="0095032F">
              <w:rPr>
                <w:rFonts w:ascii="GHEA Grapalat" w:hAnsi="GHEA Grapalat"/>
                <w:sz w:val="24"/>
                <w:szCs w:val="24"/>
                <w:lang w:val="hy-AM"/>
              </w:rPr>
              <w:lastRenderedPageBreak/>
              <w:t>հիմնավորման որևէ իրավապայման չի առաջադրում, բացի ՀՀ սահմանադրական դատարանի և Մարդու իրավունքների եվրոպական դատարանի համապատասխան ակտերի առկայությունից: Դա անհրաժեշտ ու բավարար պայման է գործի նորոգման համար: Այլ հարց է, որ նորոգումից հետո ըստ էության</w:t>
            </w:r>
            <w:r w:rsidRPr="0095032F">
              <w:rPr>
                <w:rFonts w:ascii="Calibri" w:hAnsi="Calibri" w:cs="Calibri"/>
                <w:sz w:val="24"/>
                <w:szCs w:val="24"/>
                <w:lang w:val="hy-AM"/>
              </w:rPr>
              <w:t> </w:t>
            </w:r>
            <w:r w:rsidRPr="0095032F">
              <w:rPr>
                <w:rFonts w:ascii="GHEA Grapalat" w:hAnsi="GHEA Grapalat"/>
                <w:b/>
                <w:bCs/>
                <w:sz w:val="24"/>
                <w:szCs w:val="24"/>
                <w:lang w:val="hy-AM"/>
              </w:rPr>
              <w:t>նորոգված գործի քննության շրջանակներում իրավասու դատարանը պետք է որոշի, թե որքանով է Սահմանադրությանը հակասող նորմի կիրառումն ազդել քննության առարկա գործի ելքի վրա և ինչպես պետք է վերականգնվեն անձի հնարավոր խախտված իրավունքները:</w:t>
            </w:r>
            <w:r w:rsidRPr="0095032F">
              <w:rPr>
                <w:rFonts w:ascii="Calibri" w:hAnsi="Calibri" w:cs="Calibri"/>
                <w:sz w:val="24"/>
                <w:szCs w:val="24"/>
                <w:lang w:val="hy-AM"/>
              </w:rPr>
              <w:t> </w:t>
            </w:r>
            <w:r w:rsidRPr="0095032F">
              <w:rPr>
                <w:rFonts w:ascii="GHEA Grapalat" w:hAnsi="GHEA Grapalat"/>
                <w:sz w:val="24"/>
                <w:szCs w:val="24"/>
                <w:lang w:val="hy-AM"/>
              </w:rPr>
              <w:t xml:space="preserve">Դրա փոխարեն </w:t>
            </w:r>
            <w:r w:rsidRPr="0095032F">
              <w:rPr>
                <w:rFonts w:ascii="GHEA Grapalat" w:hAnsi="GHEA Grapalat"/>
                <w:sz w:val="24"/>
                <w:szCs w:val="24"/>
                <w:lang w:val="hy-AM"/>
              </w:rPr>
              <w:lastRenderedPageBreak/>
              <w:t>պարզապես արգելափակվում է անձանց` դատարանի մատչելիության իրավունքը:</w:t>
            </w:r>
          </w:p>
          <w:p w:rsidR="00D563E0" w:rsidRPr="0095032F" w:rsidRDefault="00D563E0" w:rsidP="00AE7AB1">
            <w:pPr>
              <w:spacing w:line="360" w:lineRule="auto"/>
              <w:ind w:left="166" w:firstLine="270"/>
              <w:jc w:val="both"/>
              <w:rPr>
                <w:rFonts w:ascii="GHEA Grapalat" w:hAnsi="GHEA Grapalat"/>
                <w:sz w:val="24"/>
                <w:szCs w:val="24"/>
                <w:lang w:val="hy-AM"/>
              </w:rPr>
            </w:pPr>
            <w:r w:rsidRPr="0095032F">
              <w:rPr>
                <w:rFonts w:ascii="GHEA Grapalat" w:hAnsi="GHEA Grapalat"/>
                <w:sz w:val="24"/>
                <w:szCs w:val="24"/>
                <w:lang w:val="hy-AM"/>
              </w:rPr>
              <w:t>Մեկ այլ՝ ՍԴՈ-1099 որոշմամբ Դատարանն արձանագրել է, որ նոր հանգամանքի հիմքով դատական ակտի վերանայման վարույթը` որպես անձի խախտված սահմանադրական և/կամ կոնվենցիոն իրավունքի վերականգնման միջոց, առաջին հերթին պետք է հանգեցնի իրավունքը խախտած դատական ակտի վերացմանը (բեկանմանը), և սա օրենսդրորեն հստակ ամրագրման անհրաժեշտություն ունի:</w:t>
            </w:r>
          </w:p>
          <w:p w:rsidR="00506570" w:rsidRPr="0095032F" w:rsidRDefault="00506570" w:rsidP="00AE7AB1">
            <w:pPr>
              <w:ind w:left="166"/>
              <w:jc w:val="both"/>
              <w:rPr>
                <w:rFonts w:ascii="GHEA Grapalat" w:hAnsi="GHEA Grapalat"/>
                <w:sz w:val="24"/>
                <w:szCs w:val="24"/>
                <w:lang w:val="hy-AM"/>
              </w:rPr>
            </w:pPr>
          </w:p>
        </w:tc>
        <w:tc>
          <w:tcPr>
            <w:tcW w:w="4420" w:type="dxa"/>
          </w:tcPr>
          <w:p w:rsidR="00506570" w:rsidRPr="0095032F" w:rsidRDefault="00A13EF5" w:rsidP="00506570">
            <w:pPr>
              <w:jc w:val="both"/>
              <w:rPr>
                <w:rFonts w:ascii="GHEA Grapalat" w:hAnsi="GHEA Grapalat"/>
                <w:sz w:val="24"/>
                <w:szCs w:val="24"/>
                <w:lang w:val="hy-AM"/>
              </w:rPr>
            </w:pPr>
            <w:r w:rsidRPr="0095032F">
              <w:rPr>
                <w:rFonts w:ascii="GHEA Grapalat" w:hAnsi="GHEA Grapalat"/>
                <w:sz w:val="24"/>
                <w:szCs w:val="24"/>
                <w:lang w:val="hy-AM"/>
              </w:rPr>
              <w:lastRenderedPageBreak/>
              <w:t>Ընդունվել է։ Նախագծում կատարվել են համապատասխան փոփոխություններ։</w:t>
            </w:r>
            <w:r w:rsidRPr="0095032F">
              <w:rPr>
                <w:rFonts w:ascii="GHEA Grapalat" w:hAnsi="GHEA Grapalat"/>
                <w:sz w:val="24"/>
                <w:szCs w:val="24"/>
              </w:rPr>
              <w:t xml:space="preserve"> </w:t>
            </w:r>
            <w:r w:rsidRPr="0095032F">
              <w:rPr>
                <w:rFonts w:ascii="GHEA Grapalat" w:hAnsi="GHEA Grapalat"/>
                <w:sz w:val="24"/>
                <w:szCs w:val="24"/>
                <w:lang w:val="hy-AM"/>
              </w:rPr>
              <w:t>Խնդրո առարկա կարգավորումը հանվել է նախագծերի փաթեթից։</w:t>
            </w:r>
          </w:p>
        </w:tc>
      </w:tr>
      <w:tr w:rsidR="00506570" w:rsidRPr="0095032F" w:rsidTr="00B32CCB">
        <w:tc>
          <w:tcPr>
            <w:tcW w:w="859" w:type="dxa"/>
          </w:tcPr>
          <w:p w:rsidR="00506570" w:rsidRPr="0095032F" w:rsidRDefault="00506570" w:rsidP="00506570">
            <w:pPr>
              <w:jc w:val="both"/>
              <w:rPr>
                <w:rFonts w:ascii="GHEA Grapalat" w:hAnsi="GHEA Grapalat"/>
                <w:b/>
                <w:sz w:val="24"/>
                <w:szCs w:val="24"/>
                <w:lang w:val="hy-AM"/>
              </w:rPr>
            </w:pPr>
          </w:p>
        </w:tc>
        <w:tc>
          <w:tcPr>
            <w:tcW w:w="2941" w:type="dxa"/>
          </w:tcPr>
          <w:p w:rsidR="00506570" w:rsidRPr="0095032F" w:rsidRDefault="00506570" w:rsidP="00506570">
            <w:pPr>
              <w:jc w:val="both"/>
              <w:rPr>
                <w:rFonts w:ascii="GHEA Grapalat" w:hAnsi="GHEA Grapalat"/>
                <w:b/>
                <w:sz w:val="24"/>
                <w:szCs w:val="24"/>
                <w:lang w:val="hy-AM"/>
              </w:rPr>
            </w:pPr>
          </w:p>
        </w:tc>
        <w:tc>
          <w:tcPr>
            <w:tcW w:w="4730" w:type="dxa"/>
          </w:tcPr>
          <w:p w:rsidR="00AE7AB1" w:rsidRPr="0095032F" w:rsidRDefault="00AE7AB1" w:rsidP="00AE7AB1">
            <w:pPr>
              <w:spacing w:line="360" w:lineRule="auto"/>
              <w:ind w:left="166" w:hanging="104"/>
              <w:jc w:val="both"/>
              <w:rPr>
                <w:rFonts w:ascii="GHEA Grapalat" w:hAnsi="GHEA Grapalat"/>
                <w:sz w:val="24"/>
                <w:szCs w:val="24"/>
                <w:lang w:val="hy-AM"/>
              </w:rPr>
            </w:pPr>
            <w:r w:rsidRPr="0095032F">
              <w:rPr>
                <w:rFonts w:ascii="GHEA Grapalat" w:hAnsi="GHEA Grapalat"/>
                <w:b/>
                <w:sz w:val="24"/>
                <w:szCs w:val="24"/>
                <w:lang w:val="hy-AM"/>
              </w:rPr>
              <w:t>2</w:t>
            </w:r>
            <w:r w:rsidRPr="0095032F">
              <w:rPr>
                <w:rFonts w:ascii="MS Gothic" w:eastAsia="MS Gothic" w:hAnsi="MS Gothic" w:cs="MS Gothic" w:hint="eastAsia"/>
                <w:b/>
                <w:sz w:val="24"/>
                <w:szCs w:val="24"/>
                <w:lang w:val="hy-AM"/>
              </w:rPr>
              <w:t>․</w:t>
            </w:r>
            <w:r w:rsidRPr="0095032F">
              <w:rPr>
                <w:rFonts w:ascii="GHEA Grapalat" w:hAnsi="GHEA Grapalat"/>
                <w:sz w:val="24"/>
                <w:szCs w:val="24"/>
                <w:lang w:val="hy-AM"/>
              </w:rPr>
              <w:t xml:space="preserve">Ասվածից զատ, կարծում ենք՝ հստակեցման կարիք ունի, թե միջոցի «միակ և բացառիկ» լինելու </w:t>
            </w:r>
            <w:r w:rsidRPr="0095032F">
              <w:rPr>
                <w:rFonts w:ascii="GHEA Grapalat" w:hAnsi="GHEA Grapalat"/>
                <w:sz w:val="24"/>
                <w:szCs w:val="24"/>
                <w:lang w:val="hy-AM"/>
              </w:rPr>
              <w:lastRenderedPageBreak/>
              <w:t xml:space="preserve">բովանդակությունը ինչ է ենթադրում այն առումով, որ ստացվում է, որ դրանք ամրագրված են իբրև երկու ինքնուրույն և պարտադիր պայմաններ: Այլ կերպ ասած, իրավունքի վերականգնման </w:t>
            </w:r>
            <w:r w:rsidRPr="0095032F">
              <w:rPr>
                <w:rFonts w:ascii="GHEA Grapalat" w:hAnsi="GHEA Grapalat"/>
                <w:i/>
                <w:sz w:val="24"/>
                <w:szCs w:val="24"/>
                <w:lang w:val="hy-AM"/>
              </w:rPr>
              <w:t xml:space="preserve">միակ </w:t>
            </w:r>
            <w:r w:rsidRPr="0095032F">
              <w:rPr>
                <w:rFonts w:ascii="GHEA Grapalat" w:hAnsi="GHEA Grapalat"/>
                <w:sz w:val="24"/>
                <w:szCs w:val="24"/>
                <w:lang w:val="hy-AM"/>
              </w:rPr>
              <w:t>արդյունավետ միջոցը լինելու պարագայում դիմողն ինչ փաստական հանգամանքների մատնանշմամբ պետք է ցույց տա դրա «բացառիկ» լինելը, և դա ի՞նչ է ենթադրում:</w:t>
            </w:r>
          </w:p>
          <w:p w:rsidR="00AE7AB1" w:rsidRPr="0095032F" w:rsidRDefault="00AE7AB1" w:rsidP="00AE7AB1">
            <w:pPr>
              <w:spacing w:line="360" w:lineRule="auto"/>
              <w:ind w:left="166" w:hanging="104"/>
              <w:jc w:val="both"/>
              <w:rPr>
                <w:rFonts w:ascii="GHEA Grapalat" w:hAnsi="GHEA Grapalat"/>
                <w:sz w:val="24"/>
                <w:szCs w:val="24"/>
                <w:lang w:val="hy-AM"/>
              </w:rPr>
            </w:pPr>
            <w:r w:rsidRPr="0095032F">
              <w:rPr>
                <w:rFonts w:ascii="GHEA Grapalat" w:hAnsi="GHEA Grapalat"/>
                <w:sz w:val="24"/>
                <w:szCs w:val="24"/>
                <w:lang w:val="hy-AM"/>
              </w:rPr>
              <w:t xml:space="preserve">Ասվածի հաշվառմամբ, կարծում ենք, որ նախագծային լուծումները գործնականում կարող են հանգեցնել անձի համար իրավական ապացուցման բեռի չարդարացված բարձրացման՝ ի հաշիվ դատարանի՝ վերանայման վարույթի հարուցման մերժումը պատճառաբանելու </w:t>
            </w:r>
            <w:r w:rsidRPr="0095032F">
              <w:rPr>
                <w:rFonts w:ascii="GHEA Grapalat" w:hAnsi="GHEA Grapalat"/>
                <w:sz w:val="24"/>
                <w:szCs w:val="24"/>
                <w:lang w:val="hy-AM"/>
              </w:rPr>
              <w:lastRenderedPageBreak/>
              <w:t>պարտավորության նվազման: Միևնույն ժամանակ, վերանայման վարույթի հարուցման հարցի լուծման փուլում նման բարձր նշաձողի սահմանումը՝ միջոցի միակ և բացառիկ լինելու հավաստումը, վտանգ է պարունակում, որ փաստորեն այդպիսով պետք է հավաստվի նոր հանգամանքի ազդեցությունը իրավունքի վերականգնման վրա, ինչը, Սահմանադրական դատարանի դիտարկմամբ, վերանայման ընթացակարգի շրջանակներում որոշվող հարց է:</w:t>
            </w:r>
          </w:p>
          <w:p w:rsidR="00AE7AB1" w:rsidRPr="0095032F" w:rsidRDefault="00AE7AB1" w:rsidP="00AE7AB1">
            <w:pPr>
              <w:spacing w:line="360" w:lineRule="auto"/>
              <w:ind w:left="166" w:hanging="104"/>
              <w:jc w:val="both"/>
              <w:rPr>
                <w:rFonts w:ascii="GHEA Grapalat" w:hAnsi="GHEA Grapalat"/>
                <w:sz w:val="24"/>
                <w:szCs w:val="24"/>
                <w:lang w:val="hy-AM"/>
              </w:rPr>
            </w:pPr>
            <w:r w:rsidRPr="0095032F">
              <w:rPr>
                <w:rFonts w:ascii="GHEA Grapalat" w:hAnsi="GHEA Grapalat"/>
                <w:sz w:val="24"/>
                <w:szCs w:val="24"/>
                <w:lang w:val="hy-AM"/>
              </w:rPr>
              <w:t xml:space="preserve">Ուստի, սկզբունքորեն ընդունելով, որ Եվրոպական դատարանի վճիռների կատարման գործընթացի տրամաբանությամբ կարող են </w:t>
            </w:r>
            <w:r w:rsidRPr="0095032F">
              <w:rPr>
                <w:rFonts w:ascii="GHEA Grapalat" w:hAnsi="GHEA Grapalat"/>
                <w:sz w:val="24"/>
                <w:szCs w:val="24"/>
                <w:lang w:val="hy-AM"/>
              </w:rPr>
              <w:lastRenderedPageBreak/>
              <w:t>ներպետական օրենսդրությամբ սահմանվել գործերի վերաբացման որոշակի չափանիշներ՝ այդուհանդերձ, կարծում ենք, որ առաջարկվող լուծումների այս տարբերակը չի ապահովում պետություն-անձ իրավական բեռի փոխանցման հավասարակշռությունը և կարող է հանգեցնել ոչ իրավաչափ դատական պրակտիկայի:</w:t>
            </w:r>
          </w:p>
          <w:p w:rsidR="00506570" w:rsidRPr="0095032F" w:rsidRDefault="00506570" w:rsidP="00AE7AB1">
            <w:pPr>
              <w:ind w:left="166" w:hanging="104"/>
              <w:jc w:val="both"/>
              <w:rPr>
                <w:rFonts w:ascii="GHEA Grapalat" w:hAnsi="GHEA Grapalat"/>
                <w:b/>
                <w:sz w:val="24"/>
                <w:szCs w:val="24"/>
                <w:lang w:val="hy-AM"/>
              </w:rPr>
            </w:pPr>
          </w:p>
        </w:tc>
        <w:tc>
          <w:tcPr>
            <w:tcW w:w="4420" w:type="dxa"/>
          </w:tcPr>
          <w:p w:rsidR="00506570" w:rsidRPr="0095032F" w:rsidRDefault="00A559DB" w:rsidP="00506570">
            <w:pPr>
              <w:jc w:val="both"/>
              <w:rPr>
                <w:rFonts w:ascii="GHEA Grapalat" w:hAnsi="GHEA Grapalat"/>
                <w:b/>
                <w:sz w:val="24"/>
                <w:szCs w:val="24"/>
                <w:lang w:val="hy-AM"/>
              </w:rPr>
            </w:pPr>
            <w:r w:rsidRPr="0095032F">
              <w:rPr>
                <w:rFonts w:ascii="GHEA Grapalat" w:hAnsi="GHEA Grapalat"/>
                <w:sz w:val="24"/>
                <w:szCs w:val="24"/>
                <w:lang w:val="hy-AM"/>
              </w:rPr>
              <w:lastRenderedPageBreak/>
              <w:t>Ընդունվել է։ Նախագծում կատարվել են համապատասխան փոփոխություններ։</w:t>
            </w:r>
            <w:r w:rsidR="00A13EF5" w:rsidRPr="0095032F">
              <w:rPr>
                <w:rFonts w:ascii="GHEA Grapalat" w:hAnsi="GHEA Grapalat"/>
                <w:sz w:val="24"/>
                <w:szCs w:val="24"/>
              </w:rPr>
              <w:t xml:space="preserve"> </w:t>
            </w:r>
            <w:r w:rsidR="00A13EF5" w:rsidRPr="0095032F">
              <w:rPr>
                <w:rFonts w:ascii="GHEA Grapalat" w:hAnsi="GHEA Grapalat"/>
                <w:sz w:val="24"/>
                <w:szCs w:val="24"/>
                <w:lang w:val="hy-AM"/>
              </w:rPr>
              <w:t xml:space="preserve">Խնդրո առարկա </w:t>
            </w:r>
            <w:r w:rsidR="00A13EF5" w:rsidRPr="0095032F">
              <w:rPr>
                <w:rFonts w:ascii="GHEA Grapalat" w:hAnsi="GHEA Grapalat"/>
                <w:sz w:val="24"/>
                <w:szCs w:val="24"/>
                <w:lang w:val="hy-AM"/>
              </w:rPr>
              <w:lastRenderedPageBreak/>
              <w:t>կարգավորումը հանվել է նախագծերի փաթեթից։</w:t>
            </w:r>
          </w:p>
        </w:tc>
      </w:tr>
      <w:tr w:rsidR="00506570" w:rsidRPr="0095032F" w:rsidTr="00B32CCB">
        <w:tc>
          <w:tcPr>
            <w:tcW w:w="859" w:type="dxa"/>
          </w:tcPr>
          <w:p w:rsidR="00506570" w:rsidRPr="0095032F" w:rsidRDefault="00AE7AB1" w:rsidP="00506570">
            <w:pPr>
              <w:jc w:val="both"/>
              <w:rPr>
                <w:rFonts w:ascii="GHEA Grapalat" w:hAnsi="GHEA Grapalat"/>
                <w:b/>
                <w:sz w:val="24"/>
                <w:szCs w:val="24"/>
                <w:lang w:val="hy-AM"/>
              </w:rPr>
            </w:pPr>
            <w:r w:rsidRPr="0095032F">
              <w:rPr>
                <w:rFonts w:ascii="GHEA Grapalat" w:hAnsi="GHEA Grapalat"/>
                <w:b/>
                <w:sz w:val="24"/>
                <w:szCs w:val="24"/>
                <w:lang w:val="hy-AM"/>
              </w:rPr>
              <w:lastRenderedPageBreak/>
              <w:t>2</w:t>
            </w:r>
            <w:r w:rsidRPr="0095032F">
              <w:rPr>
                <w:rFonts w:ascii="MS Gothic" w:eastAsia="MS Gothic" w:hAnsi="MS Gothic" w:cs="MS Gothic" w:hint="eastAsia"/>
                <w:b/>
                <w:sz w:val="24"/>
                <w:szCs w:val="24"/>
                <w:lang w:val="hy-AM"/>
              </w:rPr>
              <w:t>․</w:t>
            </w:r>
          </w:p>
        </w:tc>
        <w:tc>
          <w:tcPr>
            <w:tcW w:w="2941" w:type="dxa"/>
          </w:tcPr>
          <w:p w:rsidR="00506570" w:rsidRPr="0095032F" w:rsidRDefault="00AE7AB1" w:rsidP="00AE7AB1">
            <w:pPr>
              <w:jc w:val="both"/>
              <w:rPr>
                <w:rFonts w:ascii="GHEA Grapalat" w:hAnsi="GHEA Grapalat"/>
                <w:b/>
                <w:sz w:val="24"/>
                <w:szCs w:val="24"/>
                <w:lang w:val="hy-AM"/>
              </w:rPr>
            </w:pPr>
            <w:r w:rsidRPr="0095032F">
              <w:rPr>
                <w:rFonts w:ascii="GHEA Grapalat" w:hAnsi="GHEA Grapalat"/>
                <w:b/>
                <w:sz w:val="24"/>
                <w:szCs w:val="24"/>
                <w:lang w:val="hy-AM"/>
              </w:rPr>
              <w:t>ՀՀ ֆինանսների նախարարի 2020 թ</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դեկտեմբերի 30-ի թիվ </w:t>
            </w:r>
            <w:r w:rsidRPr="0095032F">
              <w:rPr>
                <w:rFonts w:ascii="GHEA Grapalat" w:hAnsi="GHEA Grapalat"/>
                <w:b/>
                <w:color w:val="000000"/>
                <w:sz w:val="24"/>
                <w:szCs w:val="24"/>
                <w:shd w:val="clear" w:color="auto" w:fill="FFFFFF"/>
              </w:rPr>
              <w:t>01/11-4/19870-2020</w:t>
            </w:r>
            <w:r w:rsidRPr="0095032F">
              <w:rPr>
                <w:rFonts w:ascii="GHEA Grapalat" w:hAnsi="GHEA Grapalat"/>
                <w:b/>
                <w:color w:val="000000"/>
                <w:sz w:val="24"/>
                <w:szCs w:val="24"/>
                <w:shd w:val="clear" w:color="auto" w:fill="FFFFFF"/>
                <w:lang w:val="hy-AM"/>
              </w:rPr>
              <w:t xml:space="preserve"> գրություն</w:t>
            </w:r>
          </w:p>
        </w:tc>
        <w:tc>
          <w:tcPr>
            <w:tcW w:w="4730" w:type="dxa"/>
          </w:tcPr>
          <w:p w:rsidR="00506570" w:rsidRPr="0095032F" w:rsidRDefault="004A0600" w:rsidP="00D563E0">
            <w:pPr>
              <w:ind w:left="76"/>
              <w:jc w:val="both"/>
              <w:rPr>
                <w:rFonts w:ascii="GHEA Grapalat" w:hAnsi="GHEA Grapalat"/>
                <w:sz w:val="24"/>
                <w:szCs w:val="24"/>
                <w:lang w:val="hy-AM"/>
              </w:rPr>
            </w:pPr>
            <w:r w:rsidRPr="0095032F">
              <w:rPr>
                <w:rFonts w:ascii="GHEA Grapalat" w:eastAsia="Times New Roman" w:hAnsi="GHEA Grapalat" w:cs="Sylfaen"/>
                <w:bCs/>
                <w:iCs/>
                <w:sz w:val="24"/>
                <w:szCs w:val="24"/>
                <w:lang w:val="hy-AM" w:eastAsia="ru-RU"/>
              </w:rPr>
              <w:t xml:space="preserve">Նախագծերի վերաբերյալ </w:t>
            </w:r>
            <w:r w:rsidRPr="0095032F">
              <w:rPr>
                <w:rFonts w:ascii="GHEA Grapalat" w:eastAsia="Times New Roman" w:hAnsi="GHEA Grapalat" w:cs="Sylfaen"/>
                <w:bCs/>
                <w:iCs/>
                <w:sz w:val="24"/>
                <w:szCs w:val="24"/>
                <w:lang w:eastAsia="ru-RU"/>
              </w:rPr>
              <w:t>դիտողություններ</w:t>
            </w:r>
            <w:r w:rsidRPr="0095032F">
              <w:rPr>
                <w:rFonts w:ascii="GHEA Grapalat" w:eastAsia="Times New Roman" w:hAnsi="GHEA Grapalat" w:cs="Sylfaen"/>
                <w:bCs/>
                <w:iCs/>
                <w:sz w:val="24"/>
                <w:szCs w:val="24"/>
                <w:lang w:val="af-ZA" w:eastAsia="ru-RU"/>
              </w:rPr>
              <w:t xml:space="preserve"> </w:t>
            </w:r>
            <w:r w:rsidRPr="0095032F">
              <w:rPr>
                <w:rFonts w:ascii="GHEA Grapalat" w:eastAsia="Times New Roman" w:hAnsi="GHEA Grapalat" w:cs="Sylfaen"/>
                <w:bCs/>
                <w:iCs/>
                <w:sz w:val="24"/>
                <w:szCs w:val="24"/>
                <w:lang w:eastAsia="ru-RU"/>
              </w:rPr>
              <w:t>և</w:t>
            </w:r>
            <w:r w:rsidRPr="0095032F">
              <w:rPr>
                <w:rFonts w:ascii="GHEA Grapalat" w:hAnsi="GHEA Grapalat"/>
                <w:spacing w:val="-6"/>
                <w:sz w:val="24"/>
                <w:szCs w:val="24"/>
                <w:lang w:val="hy-AM"/>
              </w:rPr>
              <w:t xml:space="preserve"> առաջարկություն չկան։</w:t>
            </w:r>
          </w:p>
        </w:tc>
        <w:tc>
          <w:tcPr>
            <w:tcW w:w="4420" w:type="dxa"/>
          </w:tcPr>
          <w:p w:rsidR="00506570" w:rsidRPr="0095032F" w:rsidRDefault="004A0600" w:rsidP="00506570">
            <w:pPr>
              <w:jc w:val="both"/>
              <w:rPr>
                <w:rFonts w:ascii="GHEA Grapalat" w:hAnsi="GHEA Grapalat"/>
                <w:sz w:val="24"/>
                <w:szCs w:val="24"/>
                <w:lang w:val="hy-AM"/>
              </w:rPr>
            </w:pPr>
            <w:r w:rsidRPr="0095032F">
              <w:rPr>
                <w:rFonts w:ascii="GHEA Grapalat" w:hAnsi="GHEA Grapalat"/>
                <w:sz w:val="24"/>
                <w:szCs w:val="24"/>
                <w:lang w:val="hy-AM"/>
              </w:rPr>
              <w:t>Ընդունվել է ի գիտություն։</w:t>
            </w:r>
          </w:p>
        </w:tc>
      </w:tr>
      <w:tr w:rsidR="002179CD" w:rsidRPr="0095032F" w:rsidTr="00B32CCB">
        <w:tc>
          <w:tcPr>
            <w:tcW w:w="859" w:type="dxa"/>
          </w:tcPr>
          <w:p w:rsidR="002179CD" w:rsidRPr="0095032F" w:rsidRDefault="002179CD" w:rsidP="002179CD">
            <w:pPr>
              <w:jc w:val="both"/>
              <w:rPr>
                <w:rFonts w:ascii="GHEA Grapalat" w:hAnsi="GHEA Grapalat"/>
                <w:b/>
                <w:sz w:val="24"/>
                <w:szCs w:val="24"/>
                <w:lang w:val="hy-AM"/>
              </w:rPr>
            </w:pPr>
            <w:r w:rsidRPr="0095032F">
              <w:rPr>
                <w:rFonts w:ascii="GHEA Grapalat" w:hAnsi="GHEA Grapalat"/>
                <w:b/>
                <w:sz w:val="24"/>
                <w:szCs w:val="24"/>
                <w:lang w:val="hy-AM"/>
              </w:rPr>
              <w:t>3</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w:t>
            </w:r>
          </w:p>
        </w:tc>
        <w:tc>
          <w:tcPr>
            <w:tcW w:w="2941" w:type="dxa"/>
          </w:tcPr>
          <w:p w:rsidR="002179CD" w:rsidRPr="0095032F" w:rsidRDefault="002179CD" w:rsidP="002179CD">
            <w:pPr>
              <w:jc w:val="both"/>
              <w:rPr>
                <w:rFonts w:ascii="GHEA Grapalat" w:hAnsi="GHEA Grapalat"/>
                <w:b/>
                <w:sz w:val="24"/>
                <w:szCs w:val="24"/>
                <w:lang w:val="hy-AM"/>
              </w:rPr>
            </w:pPr>
            <w:r w:rsidRPr="0095032F">
              <w:rPr>
                <w:rFonts w:ascii="GHEA Grapalat" w:hAnsi="GHEA Grapalat"/>
                <w:b/>
                <w:sz w:val="24"/>
                <w:szCs w:val="24"/>
                <w:lang w:val="hy-AM"/>
              </w:rPr>
              <w:t>ՀՀ գլխավոր դատախազի 2020 թ</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դեկտեմբերի 29-ի թիվ </w:t>
            </w:r>
            <w:r w:rsidRPr="0095032F">
              <w:rPr>
                <w:rFonts w:ascii="GHEA Grapalat" w:hAnsi="GHEA Grapalat"/>
                <w:b/>
                <w:color w:val="000000"/>
                <w:sz w:val="24"/>
                <w:szCs w:val="24"/>
                <w:shd w:val="clear" w:color="auto" w:fill="FFFFFF"/>
              </w:rPr>
              <w:t>20.3/23905-2020</w:t>
            </w:r>
            <w:r w:rsidRPr="0095032F">
              <w:rPr>
                <w:rFonts w:ascii="GHEA Grapalat" w:hAnsi="GHEA Grapalat"/>
                <w:b/>
                <w:color w:val="000000"/>
                <w:sz w:val="24"/>
                <w:szCs w:val="24"/>
                <w:shd w:val="clear" w:color="auto" w:fill="FFFFFF"/>
                <w:lang w:val="hy-AM"/>
              </w:rPr>
              <w:t xml:space="preserve"> գրություն</w:t>
            </w:r>
          </w:p>
        </w:tc>
        <w:tc>
          <w:tcPr>
            <w:tcW w:w="4730" w:type="dxa"/>
          </w:tcPr>
          <w:p w:rsidR="002179CD" w:rsidRPr="0095032F" w:rsidRDefault="002179CD" w:rsidP="002179CD">
            <w:pPr>
              <w:ind w:left="76"/>
              <w:jc w:val="both"/>
              <w:rPr>
                <w:rFonts w:ascii="GHEA Grapalat" w:hAnsi="GHEA Grapalat"/>
                <w:sz w:val="24"/>
                <w:szCs w:val="24"/>
                <w:lang w:val="hy-AM"/>
              </w:rPr>
            </w:pPr>
            <w:r w:rsidRPr="0095032F">
              <w:rPr>
                <w:rFonts w:ascii="GHEA Grapalat" w:eastAsia="Times New Roman" w:hAnsi="GHEA Grapalat" w:cs="Sylfaen"/>
                <w:bCs/>
                <w:iCs/>
                <w:sz w:val="24"/>
                <w:szCs w:val="24"/>
                <w:lang w:val="hy-AM" w:eastAsia="ru-RU"/>
              </w:rPr>
              <w:t xml:space="preserve">Նախագծերի վերաբերյալ </w:t>
            </w:r>
            <w:r w:rsidRPr="0095032F">
              <w:rPr>
                <w:rFonts w:ascii="GHEA Grapalat" w:eastAsia="Times New Roman" w:hAnsi="GHEA Grapalat" w:cs="Sylfaen"/>
                <w:bCs/>
                <w:iCs/>
                <w:sz w:val="24"/>
                <w:szCs w:val="24"/>
                <w:lang w:eastAsia="ru-RU"/>
              </w:rPr>
              <w:t>դիտողություններ</w:t>
            </w:r>
            <w:r w:rsidRPr="0095032F">
              <w:rPr>
                <w:rFonts w:ascii="GHEA Grapalat" w:eastAsia="Times New Roman" w:hAnsi="GHEA Grapalat" w:cs="Sylfaen"/>
                <w:bCs/>
                <w:iCs/>
                <w:sz w:val="24"/>
                <w:szCs w:val="24"/>
                <w:lang w:val="af-ZA" w:eastAsia="ru-RU"/>
              </w:rPr>
              <w:t xml:space="preserve"> </w:t>
            </w:r>
            <w:r w:rsidRPr="0095032F">
              <w:rPr>
                <w:rFonts w:ascii="GHEA Grapalat" w:eastAsia="Times New Roman" w:hAnsi="GHEA Grapalat" w:cs="Sylfaen"/>
                <w:bCs/>
                <w:iCs/>
                <w:sz w:val="24"/>
                <w:szCs w:val="24"/>
                <w:lang w:eastAsia="ru-RU"/>
              </w:rPr>
              <w:t>և</w:t>
            </w:r>
            <w:r w:rsidRPr="0095032F">
              <w:rPr>
                <w:rFonts w:ascii="GHEA Grapalat" w:hAnsi="GHEA Grapalat"/>
                <w:spacing w:val="-6"/>
                <w:sz w:val="24"/>
                <w:szCs w:val="24"/>
                <w:lang w:val="hy-AM"/>
              </w:rPr>
              <w:t xml:space="preserve"> առաջարկություն չկան։</w:t>
            </w:r>
          </w:p>
        </w:tc>
        <w:tc>
          <w:tcPr>
            <w:tcW w:w="4420" w:type="dxa"/>
          </w:tcPr>
          <w:p w:rsidR="002179CD" w:rsidRPr="0095032F" w:rsidRDefault="002179CD" w:rsidP="002179CD">
            <w:pPr>
              <w:jc w:val="both"/>
              <w:rPr>
                <w:rFonts w:ascii="GHEA Grapalat" w:hAnsi="GHEA Grapalat"/>
                <w:sz w:val="24"/>
                <w:szCs w:val="24"/>
                <w:lang w:val="hy-AM"/>
              </w:rPr>
            </w:pPr>
            <w:r w:rsidRPr="0095032F">
              <w:rPr>
                <w:rFonts w:ascii="GHEA Grapalat" w:hAnsi="GHEA Grapalat"/>
                <w:sz w:val="24"/>
                <w:szCs w:val="24"/>
                <w:lang w:val="hy-AM"/>
              </w:rPr>
              <w:t>Ընդունվել է ի գիտություն։</w:t>
            </w:r>
          </w:p>
        </w:tc>
      </w:tr>
      <w:tr w:rsidR="008A6600" w:rsidRPr="0095032F" w:rsidTr="00B32CCB">
        <w:tc>
          <w:tcPr>
            <w:tcW w:w="859" w:type="dxa"/>
          </w:tcPr>
          <w:p w:rsidR="008A6600" w:rsidRPr="0095032F" w:rsidRDefault="008A6600" w:rsidP="008A6600">
            <w:pPr>
              <w:jc w:val="both"/>
              <w:rPr>
                <w:rFonts w:ascii="GHEA Grapalat" w:hAnsi="GHEA Grapalat"/>
                <w:b/>
                <w:sz w:val="24"/>
                <w:szCs w:val="24"/>
                <w:lang w:val="hy-AM"/>
              </w:rPr>
            </w:pPr>
            <w:r w:rsidRPr="0095032F">
              <w:rPr>
                <w:rFonts w:ascii="GHEA Grapalat" w:hAnsi="GHEA Grapalat"/>
                <w:b/>
                <w:sz w:val="24"/>
                <w:szCs w:val="24"/>
                <w:lang w:val="hy-AM"/>
              </w:rPr>
              <w:lastRenderedPageBreak/>
              <w:t>4</w:t>
            </w:r>
            <w:r w:rsidRPr="0095032F">
              <w:rPr>
                <w:rFonts w:ascii="MS Gothic" w:eastAsia="MS Gothic" w:hAnsi="MS Gothic" w:cs="MS Gothic" w:hint="eastAsia"/>
                <w:b/>
                <w:sz w:val="24"/>
                <w:szCs w:val="24"/>
                <w:lang w:val="hy-AM"/>
              </w:rPr>
              <w:t>․</w:t>
            </w:r>
          </w:p>
        </w:tc>
        <w:tc>
          <w:tcPr>
            <w:tcW w:w="2941" w:type="dxa"/>
          </w:tcPr>
          <w:p w:rsidR="008A6600" w:rsidRPr="0095032F" w:rsidRDefault="008A6600" w:rsidP="008A6600">
            <w:pPr>
              <w:jc w:val="both"/>
              <w:rPr>
                <w:rFonts w:ascii="GHEA Grapalat" w:hAnsi="GHEA Grapalat"/>
                <w:b/>
                <w:sz w:val="24"/>
                <w:szCs w:val="24"/>
                <w:lang w:val="hy-AM"/>
              </w:rPr>
            </w:pPr>
            <w:r w:rsidRPr="0095032F">
              <w:rPr>
                <w:rFonts w:ascii="GHEA Grapalat" w:hAnsi="GHEA Grapalat"/>
                <w:b/>
                <w:sz w:val="24"/>
                <w:szCs w:val="24"/>
                <w:lang w:val="hy-AM"/>
              </w:rPr>
              <w:t>ՀՀ արդարադատության նախարարի 2021 թ</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փետրվարի 2-ի թիվ </w:t>
            </w:r>
            <w:r w:rsidRPr="0095032F">
              <w:rPr>
                <w:rFonts w:ascii="GHEA Grapalat" w:hAnsi="GHEA Grapalat"/>
                <w:b/>
                <w:color w:val="000000"/>
                <w:sz w:val="24"/>
                <w:szCs w:val="24"/>
                <w:shd w:val="clear" w:color="auto" w:fill="FFFFFF"/>
              </w:rPr>
              <w:t>01/27.4/2103-2021</w:t>
            </w:r>
            <w:r w:rsidRPr="0095032F">
              <w:rPr>
                <w:rFonts w:ascii="GHEA Grapalat" w:hAnsi="GHEA Grapalat"/>
                <w:b/>
                <w:color w:val="000000"/>
                <w:sz w:val="24"/>
                <w:szCs w:val="24"/>
                <w:shd w:val="clear" w:color="auto" w:fill="FFFFFF"/>
                <w:lang w:val="hy-AM"/>
              </w:rPr>
              <w:t xml:space="preserve"> գրություն</w:t>
            </w:r>
          </w:p>
        </w:tc>
        <w:tc>
          <w:tcPr>
            <w:tcW w:w="4730" w:type="dxa"/>
          </w:tcPr>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t>1</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 Նախագծերով առաջարկվող լրացումներն այն մասին, որ որպես դատական ակտերի վերանայման նոր հանգամանք՝ դիտարկվեն նաև բարեկամական կարգավորումը կամ միակողմանի հայտարարությունը հաստատելու մասին Հայաստանի Հանրապետության մասնակցությամբ գործող միջազգային դատարանի, այսինքն՝ նաև Մարդու իրավունքների եվրոպական դատարանի որոշումները, ընդհանուր առմամբ ընդունելի են` որոշ նկատառումներով.</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t xml:space="preserve">Այսպես, Մարդու իրավունքների եվրոպական դատարանի դատական ակտերի ուսումնասիրությունը ցույց է տալիս, որ </w:t>
            </w:r>
            <w:r w:rsidRPr="0095032F">
              <w:rPr>
                <w:rFonts w:ascii="GHEA Grapalat" w:hAnsi="GHEA Grapalat"/>
                <w:b/>
                <w:bCs/>
                <w:sz w:val="24"/>
                <w:szCs w:val="24"/>
                <w:lang w:val="hy-AM"/>
              </w:rPr>
              <w:t xml:space="preserve">դատարանը կարևոր է համարում միակողմանի </w:t>
            </w:r>
            <w:r w:rsidRPr="0095032F">
              <w:rPr>
                <w:rFonts w:ascii="GHEA Grapalat" w:hAnsi="GHEA Grapalat"/>
                <w:b/>
                <w:bCs/>
                <w:sz w:val="24"/>
                <w:szCs w:val="24"/>
                <w:lang w:val="hy-AM"/>
              </w:rPr>
              <w:lastRenderedPageBreak/>
              <w:t>հայտարարության կամ բարեկամական կարգավորման դեպքում ներպետական օրենսդրությամբ գործի վերաբացման հնարավորության առկայությունը։</w:t>
            </w:r>
            <w:r w:rsidRPr="0095032F">
              <w:rPr>
                <w:rFonts w:ascii="GHEA Grapalat" w:hAnsi="GHEA Grapalat"/>
                <w:sz w:val="24"/>
                <w:szCs w:val="24"/>
                <w:lang w:val="hy-AM"/>
              </w:rPr>
              <w:t xml:space="preserve"> Օրինակ` Մարդու իրավունքների եվրոպական դատարանը </w:t>
            </w:r>
            <w:r w:rsidRPr="0095032F">
              <w:rPr>
                <w:rFonts w:ascii="GHEA Grapalat" w:hAnsi="GHEA Grapalat"/>
                <w:i/>
                <w:iCs/>
                <w:sz w:val="24"/>
                <w:szCs w:val="24"/>
                <w:lang w:val="hy-AM"/>
              </w:rPr>
              <w:t>Rozhin v. Russia</w:t>
            </w:r>
            <w:r w:rsidRPr="0095032F">
              <w:rPr>
                <w:rFonts w:ascii="GHEA Grapalat" w:hAnsi="GHEA Grapalat"/>
                <w:sz w:val="24"/>
                <w:szCs w:val="24"/>
                <w:lang w:val="hy-AM"/>
              </w:rPr>
              <w:t xml:space="preserve"> գործով կայացված վճռով չի հաստատել Ռուսաստանի Դաշնության կառավարության միակողմանի հայտարարությունը` իրավունքի խախտման փաստն ընդունելու և արդարացի փոխհատուցում տրամադրելու մասին՝ ի թիվս այլնի, ընդգծելով, որ գործով վկայակոչվող իրավունքի խախտման բնույթն այնպիսին է, որ դիմողի արդար դատաքննության իրավունքի խախտման հետևանքները չեն կարող վերացվել </w:t>
            </w:r>
            <w:r w:rsidRPr="0095032F">
              <w:rPr>
                <w:rFonts w:ascii="GHEA Grapalat" w:hAnsi="GHEA Grapalat"/>
                <w:sz w:val="24"/>
                <w:szCs w:val="24"/>
                <w:lang w:val="hy-AM"/>
              </w:rPr>
              <w:lastRenderedPageBreak/>
              <w:t>առանց գործի վերաբացման։ Այդ համատեքստում դատարանը փաստել է, որ ներպետական օրենքը հնարավորություն է տալիս գործի վերաբացում միայն դատարանի կողմից Եվրոպական կոնվենցիայի խախտում արձանագրելու դեպքում։ Արդյունքում դատարանը Ռուսաստանի Դաշնության կառավարության միակողմանի հայտարարությունը չի ընդունել` նշելով, որ գործը քննման ենթակա գործերի ցանկից հանելու մասին Մարդու իրավունքների եվրոպական դատարանի որոշման հիմքով գործի վերաբացման վերաբերյալ կարգավորում ներպետական օրենքը չի նախատեսում</w:t>
            </w:r>
            <w:r w:rsidRPr="0095032F">
              <w:rPr>
                <w:rFonts w:ascii="GHEA Grapalat" w:eastAsia="GHEA Grapalat" w:hAnsi="GHEA Grapalat" w:cs="GHEA Grapalat"/>
                <w:sz w:val="24"/>
                <w:szCs w:val="24"/>
                <w:vertAlign w:val="superscript"/>
              </w:rPr>
              <w:footnoteReference w:id="1"/>
            </w:r>
            <w:r w:rsidRPr="0095032F">
              <w:rPr>
                <w:rFonts w:ascii="GHEA Grapalat" w:hAnsi="GHEA Grapalat"/>
                <w:sz w:val="24"/>
                <w:szCs w:val="24"/>
                <w:lang w:val="hy-AM"/>
              </w:rPr>
              <w:t>։</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lastRenderedPageBreak/>
              <w:t>Համանման կերպով մի շարք այլ գործերով ևս Մարդու իրավունքների եվրոպական դատարանը չի հաստատել կառավարության միակողմանի հայտարարությունը` նշելով, որ ներպետական օրենսդրությամբ նախատեսված չէ գործի վերաբացման հնարավորություն</w:t>
            </w:r>
            <w:r w:rsidRPr="0095032F">
              <w:rPr>
                <w:rFonts w:ascii="GHEA Grapalat" w:eastAsia="GHEA Grapalat" w:hAnsi="GHEA Grapalat" w:cs="GHEA Grapalat"/>
                <w:sz w:val="24"/>
                <w:szCs w:val="24"/>
                <w:vertAlign w:val="superscript"/>
              </w:rPr>
              <w:footnoteReference w:id="2"/>
            </w:r>
            <w:r w:rsidRPr="0095032F">
              <w:rPr>
                <w:rFonts w:ascii="GHEA Grapalat" w:hAnsi="GHEA Grapalat"/>
                <w:sz w:val="24"/>
                <w:szCs w:val="24"/>
                <w:lang w:val="hy-AM"/>
              </w:rPr>
              <w:t xml:space="preserve">։ Ընդ որում, այդպիսի մոտեցումը ներկայումս էլ կրում է շարունակական բնույթ, և Մարդու իրավունքների եվրոպական դատարանը, 2020 թվականի մայիսի 14-ի </w:t>
            </w:r>
            <w:r w:rsidRPr="0095032F">
              <w:rPr>
                <w:rFonts w:ascii="GHEA Grapalat" w:hAnsi="GHEA Grapalat"/>
                <w:i/>
                <w:iCs/>
                <w:sz w:val="24"/>
                <w:szCs w:val="24"/>
                <w:lang w:val="hy-AM"/>
              </w:rPr>
              <w:t>Romic and others v. Croatia</w:t>
            </w:r>
            <w:r w:rsidRPr="0095032F">
              <w:rPr>
                <w:rFonts w:ascii="GHEA Grapalat" w:hAnsi="GHEA Grapalat"/>
                <w:sz w:val="24"/>
                <w:szCs w:val="24"/>
                <w:lang w:val="hy-AM"/>
              </w:rPr>
              <w:t xml:space="preserve"> գործով հրաժարվելով հաստատել կառավարության միակողմանի հայտարարությունը, համաձայնել է </w:t>
            </w:r>
            <w:r w:rsidRPr="0095032F">
              <w:rPr>
                <w:rFonts w:ascii="GHEA Grapalat" w:hAnsi="GHEA Grapalat"/>
                <w:sz w:val="24"/>
                <w:szCs w:val="24"/>
                <w:lang w:val="hy-AM"/>
              </w:rPr>
              <w:lastRenderedPageBreak/>
              <w:t>գանգատաբերի փաստարկներին և արձանագրել, որ Խորվաթիայի օրենքը և պրակտիկան իր ներկա խմբագրությամբ դատարանի` գործը քննության ենթակա գործերի ցուցակից հանելու մասին որոշման դեպքում չի նախատեսում գործով քրեական վարույթի վերաբացման` նույն հստակ հնարավորությունը, ինչ Եվրոպական կոնվենցիայի խախտումն արձանագրող վճռի դեպքում</w:t>
            </w:r>
            <w:r w:rsidRPr="0095032F">
              <w:rPr>
                <w:rFonts w:ascii="GHEA Grapalat" w:eastAsia="GHEA Grapalat" w:hAnsi="GHEA Grapalat" w:cs="GHEA Grapalat"/>
                <w:sz w:val="24"/>
                <w:szCs w:val="24"/>
                <w:vertAlign w:val="superscript"/>
              </w:rPr>
              <w:footnoteReference w:id="3"/>
            </w:r>
            <w:r w:rsidRPr="0095032F">
              <w:rPr>
                <w:rFonts w:ascii="GHEA Grapalat" w:hAnsi="GHEA Grapalat"/>
                <w:sz w:val="24"/>
                <w:szCs w:val="24"/>
                <w:lang w:val="hy-AM"/>
              </w:rPr>
              <w:t xml:space="preserve">։ Այս առումով հարկ է նկատել, որ Մարդու իրավունքների եվրոպական դատարանը կարևոր է համարում, որ գործի վերաբացման առումով ներպետական օրենսդրությամբ նախատեսված հնարավորությունները կառավարության միակողմանի </w:t>
            </w:r>
            <w:r w:rsidRPr="0095032F">
              <w:rPr>
                <w:rFonts w:ascii="GHEA Grapalat" w:hAnsi="GHEA Grapalat"/>
                <w:sz w:val="24"/>
                <w:szCs w:val="24"/>
                <w:lang w:val="hy-AM"/>
              </w:rPr>
              <w:lastRenderedPageBreak/>
              <w:t>հայտարարությունը հաստատելու մասին որոշման դեպքում, ըստ էության, համարժեք լինեն վճռի կայացման դեպքում նախատեսված հնարավորություններին</w:t>
            </w:r>
            <w:r w:rsidRPr="0095032F">
              <w:rPr>
                <w:rFonts w:ascii="GHEA Grapalat" w:eastAsia="GHEA Grapalat" w:hAnsi="GHEA Grapalat" w:cs="GHEA Grapalat"/>
                <w:sz w:val="24"/>
                <w:szCs w:val="24"/>
                <w:vertAlign w:val="superscript"/>
              </w:rPr>
              <w:footnoteReference w:id="4"/>
            </w:r>
            <w:r w:rsidRPr="0095032F">
              <w:rPr>
                <w:rFonts w:ascii="GHEA Grapalat" w:hAnsi="GHEA Grapalat"/>
                <w:sz w:val="24"/>
                <w:szCs w:val="24"/>
                <w:lang w:val="hy-AM"/>
              </w:rPr>
              <w:t>։ Հետևաբար, Մարդու իրավունքների եվրոպական դատարանը բավարար է համարում, երբ անդամ պետությունները բարեփոխում են իրենց համապատասխան օրենքները` նախատեսելով, որ բարեկամական կարգավորումը կամ միակողմանի հայտարարությունը հաստատելու մասին դատարանի որոշումը հիմք է ներպետական մակարդակում գործի վերաբացման համար</w:t>
            </w:r>
            <w:r w:rsidRPr="0095032F">
              <w:rPr>
                <w:rFonts w:ascii="GHEA Grapalat" w:eastAsia="GHEA Grapalat" w:hAnsi="GHEA Grapalat" w:cs="GHEA Grapalat"/>
                <w:sz w:val="24"/>
                <w:szCs w:val="24"/>
                <w:vertAlign w:val="superscript"/>
              </w:rPr>
              <w:footnoteReference w:id="5"/>
            </w:r>
            <w:r w:rsidRPr="0095032F">
              <w:rPr>
                <w:rFonts w:ascii="GHEA Grapalat" w:hAnsi="GHEA Grapalat"/>
                <w:sz w:val="24"/>
                <w:szCs w:val="24"/>
                <w:lang w:val="hy-AM"/>
              </w:rPr>
              <w:t>։</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lastRenderedPageBreak/>
              <w:t>Նման պայմաններում մի շարք երկրներում, այդ թվում` Չեխիայում, Վրաստանում</w:t>
            </w:r>
            <w:r w:rsidRPr="0095032F">
              <w:rPr>
                <w:rFonts w:ascii="GHEA Grapalat" w:eastAsia="GHEA Grapalat" w:hAnsi="GHEA Grapalat" w:cs="GHEA Grapalat"/>
                <w:sz w:val="24"/>
                <w:szCs w:val="24"/>
                <w:vertAlign w:val="superscript"/>
              </w:rPr>
              <w:footnoteReference w:id="6"/>
            </w:r>
            <w:r w:rsidRPr="0095032F">
              <w:rPr>
                <w:rFonts w:ascii="GHEA Grapalat" w:hAnsi="GHEA Grapalat"/>
                <w:sz w:val="24"/>
                <w:szCs w:val="24"/>
                <w:lang w:val="hy-AM"/>
              </w:rPr>
              <w:t xml:space="preserve">, Լատվիայում, Մոլդովայում, Լեհաստանում, Սլովենիայում նախատեսված է գործի վերաբացման հնարավորություն` բարեկամական կարգավորումը կամ պետության միակողմանի հայտարարությունը հաստատող Մարդու իրավունքների եվրոպական դատարանի որոշման հիման վրա։ Ընդ որում, այդ երկրներից Լեհաստանում վերաբացմանը վերաբերող ներպետական կարգավորումներն ուղղակիորեն հղում չեն կատարում </w:t>
            </w:r>
            <w:r w:rsidRPr="0095032F">
              <w:rPr>
                <w:rFonts w:ascii="GHEA Grapalat" w:hAnsi="GHEA Grapalat"/>
                <w:sz w:val="24"/>
                <w:szCs w:val="24"/>
                <w:lang w:val="hy-AM"/>
              </w:rPr>
              <w:lastRenderedPageBreak/>
              <w:t>վճռին, այլ նշում են միջազգային մարմնի «որոշումներ»։ Չեխիայում և Լիտվայում նախատեսվում է այդպիսի հնարավորություն՝ ներպետական դատարանների կողմից տրված ընդարձակ մեկնաբանության շնորհիվ։ Միաժամանակ, մի շարք երկրներում խնդրո առարկա հարցի լուծման նպատակով կա՛մ շրջանառվում են համապատասխան օրենսդրական փոփոխությունների նախագծեր, կա՛մ համապատասխան կարգավորումներն արդեն իսկ նախատեսվել են ներպետական օրենսդրական կարգավորումներով</w:t>
            </w:r>
            <w:r w:rsidRPr="0095032F">
              <w:rPr>
                <w:rFonts w:ascii="GHEA Grapalat" w:eastAsia="GHEA Grapalat" w:hAnsi="GHEA Grapalat" w:cs="GHEA Grapalat"/>
                <w:sz w:val="24"/>
                <w:szCs w:val="24"/>
                <w:vertAlign w:val="superscript"/>
              </w:rPr>
              <w:footnoteReference w:id="7"/>
            </w:r>
            <w:r w:rsidRPr="0095032F">
              <w:rPr>
                <w:rFonts w:ascii="GHEA Grapalat" w:hAnsi="GHEA Grapalat"/>
                <w:sz w:val="24"/>
                <w:szCs w:val="24"/>
                <w:lang w:val="hy-AM"/>
              </w:rPr>
              <w:t>։</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lastRenderedPageBreak/>
              <w:t xml:space="preserve">Վերոգրյալի հիման վրա մի կողմից հաշվի առնելով իրավական որոշակիության սկզբունքը, մյուս կողմից` Մարդու իրավունքների եվրոպական դատարանի` վերը վկայակոչված իրավական դիրքորոշումները և որդեգրած մոտեցումները` գտնում ենք, որ </w:t>
            </w:r>
            <w:r w:rsidRPr="0095032F">
              <w:rPr>
                <w:rFonts w:ascii="GHEA Grapalat" w:hAnsi="GHEA Grapalat"/>
                <w:b/>
                <w:bCs/>
                <w:sz w:val="24"/>
                <w:szCs w:val="24"/>
                <w:lang w:val="hy-AM"/>
              </w:rPr>
              <w:t>Նախագծերում լրացումներ կատարելու միջոցով բարեկամական կարգավորումը կամ միակողմանի հայտարարությունը հաստատելու մասին Հայաստանի Հանրապետության մասնակցությամբ գործող միջազգային դատարանի որոշումը որպես նոր հանգամանք նախատեսելու մոտեցումն ընդունելի է։</w:t>
            </w:r>
            <w:r w:rsidRPr="0095032F">
              <w:rPr>
                <w:rFonts w:ascii="GHEA Grapalat" w:hAnsi="GHEA Grapalat"/>
                <w:sz w:val="24"/>
                <w:szCs w:val="24"/>
                <w:lang w:val="hy-AM"/>
              </w:rPr>
              <w:t xml:space="preserve"> </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t xml:space="preserve">Միաժամանակ, առաջարկվող կարգավորումների համակողմանի </w:t>
            </w:r>
            <w:r w:rsidRPr="0095032F">
              <w:rPr>
                <w:rFonts w:ascii="GHEA Grapalat" w:hAnsi="GHEA Grapalat"/>
                <w:sz w:val="24"/>
                <w:szCs w:val="24"/>
                <w:lang w:val="hy-AM"/>
              </w:rPr>
              <w:lastRenderedPageBreak/>
              <w:t>ուսումնասիրության արդյունքում առաջարկում ենք Նախագծերում կատարել որոշ փոփոխություններ` ներքոշարադրյալ խնդրահարույց հանգամանքների կապակցությամբ.</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t xml:space="preserve">Այսպես, «Հայաստանի Հանրապետության քրեական դատավարության օրենսգրքում լրացումներ կատարելու մասին» ՀՀ օրենքի նախագծի կարգավորումների կապակցությամբ </w:t>
            </w:r>
            <w:r w:rsidRPr="0095032F">
              <w:rPr>
                <w:rFonts w:ascii="GHEA Grapalat" w:hAnsi="GHEA Grapalat"/>
                <w:b/>
                <w:bCs/>
                <w:sz w:val="24"/>
                <w:szCs w:val="24"/>
                <w:lang w:val="hy-AM"/>
              </w:rPr>
              <w:t>առաջարկում ենք</w:t>
            </w:r>
            <w:r w:rsidRPr="0095032F">
              <w:rPr>
                <w:rFonts w:ascii="GHEA Grapalat" w:hAnsi="GHEA Grapalat"/>
                <w:sz w:val="24"/>
                <w:szCs w:val="24"/>
                <w:lang w:val="hy-AM"/>
              </w:rPr>
              <w:t>`</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t xml:space="preserve">1. Վերանայել ՀՀ քրեական դատավարության օրենսգրքի 426.4-րդ հոդվածի 1-ին մասի 2-րդ կետում և 426.8-րդ հոդվածի 2-րդ մասի 6-րդ կետում առաջարկվող պայմանների նախատեսման անհրաժեշտությունը, այն է` հրաժարվել ՀՀ քրեական </w:t>
            </w:r>
            <w:r w:rsidRPr="0095032F">
              <w:rPr>
                <w:rFonts w:ascii="GHEA Grapalat" w:hAnsi="GHEA Grapalat"/>
                <w:sz w:val="24"/>
                <w:szCs w:val="24"/>
                <w:lang w:val="hy-AM"/>
              </w:rPr>
              <w:lastRenderedPageBreak/>
              <w:t xml:space="preserve">դատավարության օրենսգրքի 426.4-րդ հոդվածի 1-ին մասի 2-րդ կետում </w:t>
            </w:r>
            <w:r w:rsidRPr="0095032F">
              <w:rPr>
                <w:rFonts w:ascii="GHEA Grapalat" w:hAnsi="GHEA Grapalat"/>
                <w:i/>
                <w:iCs/>
                <w:sz w:val="24"/>
                <w:szCs w:val="24"/>
                <w:lang w:val="hy-AM"/>
              </w:rPr>
              <w:t>«և եթե անձի խախտված իրավունքները հնարավոր է վերականգնել միայն դատական ակտի վերանայմամբ»</w:t>
            </w:r>
            <w:r w:rsidRPr="0095032F">
              <w:rPr>
                <w:rFonts w:ascii="GHEA Grapalat" w:hAnsi="GHEA Grapalat"/>
                <w:sz w:val="24"/>
                <w:szCs w:val="24"/>
                <w:lang w:val="hy-AM"/>
              </w:rPr>
              <w:t xml:space="preserve"> պայմանի, ինչպես նաև ՀՀ քրեական դատավարության օրենսգրքի 426.8-րդ հոդվածի 2-րդ մասի 6-րդ կետում` </w:t>
            </w:r>
            <w:r w:rsidRPr="0095032F">
              <w:rPr>
                <w:rFonts w:ascii="GHEA Grapalat" w:hAnsi="GHEA Grapalat"/>
                <w:i/>
                <w:iCs/>
                <w:sz w:val="24"/>
                <w:szCs w:val="24"/>
                <w:lang w:val="hy-AM"/>
              </w:rPr>
              <w:t xml:space="preserve">«սույն օրենսգրքի 426.4-րդ հոդվածի 1-ին մասի 2-րդ կետով նախատեսված հիմքով բողոք ներկայացվելու դեպքում հիմնավորվում է, որ անձի խախտված իրավունքների վերականգնման համար դատական ակտի վերանայումը միակ և բացառիկ միջոցը չէ:» </w:t>
            </w:r>
            <w:r w:rsidRPr="0095032F">
              <w:rPr>
                <w:rFonts w:ascii="GHEA Grapalat" w:hAnsi="GHEA Grapalat"/>
                <w:sz w:val="24"/>
                <w:szCs w:val="24"/>
                <w:lang w:val="hy-AM"/>
              </w:rPr>
              <w:t xml:space="preserve">կարգավորման՝ որպես նոր հանգամանքով դատական ակտի վերանայման վարույթի հարուցումը մերժելու հիմքի </w:t>
            </w:r>
            <w:r w:rsidRPr="0095032F">
              <w:rPr>
                <w:rFonts w:ascii="GHEA Grapalat" w:hAnsi="GHEA Grapalat"/>
                <w:sz w:val="24"/>
                <w:szCs w:val="24"/>
                <w:lang w:val="hy-AM"/>
              </w:rPr>
              <w:lastRenderedPageBreak/>
              <w:t xml:space="preserve">նախատեսումից։ Մասնավորապես, նոր հանգամանքի հիմքով </w:t>
            </w:r>
            <w:r w:rsidRPr="0095032F">
              <w:rPr>
                <w:rFonts w:ascii="GHEA Grapalat" w:hAnsi="GHEA Grapalat"/>
                <w:b/>
                <w:bCs/>
                <w:sz w:val="24"/>
                <w:szCs w:val="24"/>
                <w:lang w:val="hy-AM"/>
              </w:rPr>
              <w:t>դատական ակտի վերանայման վարույթի հարուցման հարցը լուծելիս դատարանը ներկայացված բողոքի ըստ էության քննություն չի կատարում և չի անդրադառնում այն հարցին, թե արդյոք դատական ակտի վերանայումն անձի խախտված իրավունքների վերականգման միակ և բացառիկ միջոցն է, թե ոչ։</w:t>
            </w:r>
            <w:r w:rsidRPr="0095032F">
              <w:rPr>
                <w:rFonts w:ascii="GHEA Grapalat" w:hAnsi="GHEA Grapalat"/>
                <w:sz w:val="24"/>
                <w:szCs w:val="24"/>
                <w:lang w:val="hy-AM"/>
              </w:rPr>
              <w:t xml:space="preserve"> Այս փուլում դատարանը դատական ակտի վերանայման նոր հանգամանքի առկայությունը ստուգում է </w:t>
            </w:r>
            <w:r w:rsidRPr="0095032F">
              <w:rPr>
                <w:rFonts w:ascii="GHEA Grapalat" w:hAnsi="GHEA Grapalat"/>
                <w:b/>
                <w:bCs/>
                <w:sz w:val="24"/>
                <w:szCs w:val="24"/>
                <w:lang w:val="hy-AM"/>
              </w:rPr>
              <w:t>առերևույթության մակարդակով</w:t>
            </w:r>
            <w:r w:rsidRPr="0095032F">
              <w:rPr>
                <w:rFonts w:ascii="GHEA Grapalat" w:hAnsi="GHEA Grapalat"/>
                <w:sz w:val="24"/>
                <w:szCs w:val="24"/>
                <w:lang w:val="hy-AM"/>
              </w:rPr>
              <w:t xml:space="preserve">, ինչի մասին են վկայում ՀՀ քրեական դատավարության օրենսգրքի 426.8-րդ հոդվածի 2-րդ մասի 6-րդ կետում նախատեսված` դատական ակտի </w:t>
            </w:r>
            <w:r w:rsidRPr="0095032F">
              <w:rPr>
                <w:rFonts w:ascii="GHEA Grapalat" w:hAnsi="GHEA Grapalat"/>
                <w:sz w:val="24"/>
                <w:szCs w:val="24"/>
                <w:lang w:val="hy-AM"/>
              </w:rPr>
              <w:lastRenderedPageBreak/>
              <w:t xml:space="preserve">վերանայման վարույթի հարուցումը մերժելու հիմքերը։ Մինչդեռ Նախագծի կարգավորումների պայմաններում ստացվում է, որ նոր հանգամանք հանդիսացող՝ Մարդու իրավունքների եվրոպական դատարանի վճիռների կամ որոշումների դեպքում մինչև վերանայման վարույթի հարուցումը՝ նոր հանգամանքի համապատասխան հիմքով պետք է իրականացվի ներկայացված բողոքի բովանդակային քննություն և պատասխան տրվի այն հարցին, թե արդյոք դատական ակտի վերանայումն անձի խախտված իրավունքների վերականգման միակ և բացառիկ միջոցն է, թե ոչ: Այդ դեպքում ստացվում է նաև, որ դրական պատասխանի դեպքում, ըստ էության, </w:t>
            </w:r>
            <w:r w:rsidRPr="0095032F">
              <w:rPr>
                <w:rFonts w:ascii="GHEA Grapalat" w:hAnsi="GHEA Grapalat"/>
                <w:sz w:val="24"/>
                <w:szCs w:val="24"/>
                <w:lang w:val="hy-AM"/>
              </w:rPr>
              <w:lastRenderedPageBreak/>
              <w:t>ձևական կդառնա նաև ներկայացված բողոքի հետագա քննությունը։ Ընդ որում, հատկանշական է այն հանգամանքը, որ քրեական դատավարության գործող օրենսգրքի 426.8-րդ հոդվածի 3-րդ մասով նախատեսված կարգավորման պայմաններում դատարանն այդ ծավալով քննությունը պետք է իրականացնի տասը օրում։</w:t>
            </w:r>
          </w:p>
          <w:p w:rsidR="008A6600" w:rsidRPr="0095032F" w:rsidRDefault="008A6600" w:rsidP="008A6600">
            <w:pPr>
              <w:pStyle w:val="Default"/>
              <w:spacing w:line="360" w:lineRule="auto"/>
              <w:ind w:firstLine="720"/>
              <w:jc w:val="both"/>
              <w:rPr>
                <w:rFonts w:ascii="GHEA Grapalat" w:hAnsi="GHEA Grapalat"/>
                <w:sz w:val="24"/>
                <w:szCs w:val="24"/>
                <w:lang w:val="hy-AM"/>
              </w:rPr>
            </w:pPr>
            <w:r w:rsidRPr="0095032F">
              <w:rPr>
                <w:rFonts w:ascii="GHEA Grapalat" w:hAnsi="GHEA Grapalat"/>
                <w:sz w:val="24"/>
                <w:szCs w:val="24"/>
                <w:lang w:val="hy-AM"/>
              </w:rPr>
              <w:t xml:space="preserve">Միաժամանակ, պետք է նշել նաև, որ օրենքի նախագծի ընդունման պայմաններում որպես նոր հանգամանք՝ Մարդու իրավունքների եվրոպական դատարանի դատական ակտերի հիմքով և մյուս նոր հանգամանքների հիմքով ներկայացվող բողոքների քննության տարբերակված ընթացակարգ </w:t>
            </w:r>
            <w:r w:rsidRPr="0095032F">
              <w:rPr>
                <w:rFonts w:ascii="GHEA Grapalat" w:hAnsi="GHEA Grapalat"/>
                <w:sz w:val="24"/>
                <w:szCs w:val="24"/>
                <w:lang w:val="hy-AM"/>
              </w:rPr>
              <w:lastRenderedPageBreak/>
              <w:t xml:space="preserve">կնախատեսվի, որը նույնպես </w:t>
            </w:r>
            <w:r w:rsidRPr="0095032F">
              <w:rPr>
                <w:rFonts w:ascii="GHEA Grapalat" w:hAnsi="GHEA Grapalat"/>
                <w:bCs/>
                <w:sz w:val="24"/>
                <w:szCs w:val="24"/>
                <w:lang w:val="hy-AM"/>
              </w:rPr>
              <w:t>խնդրահարույց է թվում</w:t>
            </w:r>
            <w:r w:rsidRPr="0095032F">
              <w:rPr>
                <w:rFonts w:ascii="GHEA Grapalat" w:hAnsi="GHEA Grapalat"/>
                <w:b/>
                <w:bCs/>
                <w:sz w:val="24"/>
                <w:szCs w:val="24"/>
                <w:lang w:val="hy-AM"/>
              </w:rPr>
              <w:t xml:space="preserve">։ </w:t>
            </w:r>
          </w:p>
          <w:p w:rsidR="008A6600" w:rsidRPr="0095032F" w:rsidRDefault="008A6600" w:rsidP="008A6600">
            <w:pPr>
              <w:pStyle w:val="Default"/>
              <w:spacing w:line="360" w:lineRule="auto"/>
              <w:ind w:firstLine="720"/>
              <w:jc w:val="both"/>
              <w:rPr>
                <w:rFonts w:ascii="GHEA Grapalat" w:hAnsi="GHEA Grapalat"/>
                <w:sz w:val="24"/>
                <w:szCs w:val="24"/>
                <w:lang w:val="hy-AM"/>
              </w:rPr>
            </w:pPr>
            <w:r w:rsidRPr="0095032F">
              <w:rPr>
                <w:rFonts w:ascii="GHEA Grapalat" w:hAnsi="GHEA Grapalat"/>
                <w:sz w:val="24"/>
                <w:szCs w:val="24"/>
                <w:lang w:val="hy-AM"/>
              </w:rPr>
              <w:t xml:space="preserve">Վերոգրյալի համատեքստում անդրադառնալով նաև օրենքի նախագծի հիմնավորումներում նշված՝ Մարդու իրավունքների եվրոպական դատարանի՝ խախտում արձանագրող վճիռը կամ որոշումը՝ որպես գործի վերաբացման ինքնուրույն և անվերապահ հիմք չդիտարկելու անհրաժեշտության փաստարկներին՝ հարկ ենք համարում նշել, որ գործող կարգավորումների պայմաններում ձևավորված՝ ՀՀ վճռաբեկ դատարանի քրեական պալատի նախադեպային իրավունքի պայմաններում «դատական ակտի վերանայում» և «գործի վերաբացում» հասկացությունները չեն նույնանում։ </w:t>
            </w:r>
            <w:r w:rsidRPr="0095032F">
              <w:rPr>
                <w:rFonts w:ascii="GHEA Grapalat" w:hAnsi="GHEA Grapalat"/>
                <w:sz w:val="24"/>
                <w:szCs w:val="24"/>
                <w:lang w:val="hy-AM"/>
              </w:rPr>
              <w:lastRenderedPageBreak/>
              <w:t xml:space="preserve">Մասնավորապես, դատական ակտի վերանայումն ինքնին իրականացվում է միջազգային դատարանի` ուժի մեջ մտած այն վճռի կամ որոշման ուժով, որով հիմնավորվել է անձի` Հայաստանի Հանրապետության վավերացրած միջազգային պայմանագրով նախատեսված իրավունքի խախտման փաստը։ Սակայն դատական ակտի վերանայումն ինքնաբերաբար չի հանգեցնում գործի վերաբացման, որն առավելապես արտահայտվում է՝ ներպետական դատական ակտերը բեկանելով և գործը նոր քննության ուղարկելով։ Այսպես, օրինակ՝ </w:t>
            </w:r>
            <w:r w:rsidRPr="0095032F">
              <w:rPr>
                <w:rFonts w:ascii="GHEA Grapalat" w:hAnsi="GHEA Grapalat"/>
                <w:i/>
                <w:iCs/>
                <w:sz w:val="24"/>
                <w:szCs w:val="24"/>
                <w:lang w:val="hy-AM"/>
              </w:rPr>
              <w:t>Մուրադխանյանն ընդդեմ Հայաստանի</w:t>
            </w:r>
            <w:r w:rsidRPr="0095032F">
              <w:rPr>
                <w:rFonts w:ascii="GHEA Grapalat" w:hAnsi="GHEA Grapalat"/>
                <w:sz w:val="24"/>
                <w:szCs w:val="24"/>
                <w:lang w:val="hy-AM"/>
              </w:rPr>
              <w:t xml:space="preserve">՝ Մարդու իրավունքների եվրոպական դատարանի՝ 2012 թվականի հունիսի 5-ի </w:t>
            </w:r>
            <w:r w:rsidRPr="0095032F">
              <w:rPr>
                <w:rFonts w:ascii="GHEA Grapalat" w:hAnsi="GHEA Grapalat"/>
                <w:sz w:val="24"/>
                <w:szCs w:val="24"/>
                <w:lang w:val="hy-AM"/>
              </w:rPr>
              <w:lastRenderedPageBreak/>
              <w:t xml:space="preserve">վճռի հիման վրա ՀՀ վճռաբեկ դատարանի քրեական պալատը 2013 թվականի սեպտեմբերի 13-ի որոշմամբ վերանայել է համապատասխան դատական ակտերը, սակայն չի բեկանել դրանք, քանի որ պայմանավորված ազատության իրավունքի խախտման բնոււյթով՝ բեկանումը չէր վերականգնի մինչ խախտումն առկա իրավիճակը։ Այսինքն՝ տվյալ գործով Մարդու իրավունքների եվրոպական դատարանի վճիռն ինքնաբերաբար հանգեցրել է դատական ակտի վերանայման, սակայն անվերապահ հիմք չի դիտարկվել գործի վերաբացման համար։ Հարկ է նկատել, որ այսպիսի պրակտիկան ՀՀ վճռաբեկ </w:t>
            </w:r>
            <w:r w:rsidRPr="0095032F">
              <w:rPr>
                <w:rFonts w:ascii="GHEA Grapalat" w:hAnsi="GHEA Grapalat"/>
                <w:sz w:val="24"/>
                <w:szCs w:val="24"/>
                <w:lang w:val="hy-AM"/>
              </w:rPr>
              <w:lastRenderedPageBreak/>
              <w:t>դատարանի քրեական պալատում կրում է շարունակական բնույթ</w:t>
            </w:r>
            <w:r w:rsidRPr="0095032F">
              <w:rPr>
                <w:rStyle w:val="FootnoteReference"/>
                <w:rFonts w:ascii="GHEA Grapalat" w:hAnsi="GHEA Grapalat"/>
                <w:sz w:val="24"/>
                <w:szCs w:val="24"/>
                <w:lang w:val="hy-AM"/>
              </w:rPr>
              <w:footnoteReference w:id="8"/>
            </w:r>
            <w:r w:rsidRPr="0095032F">
              <w:rPr>
                <w:rFonts w:ascii="GHEA Grapalat" w:hAnsi="GHEA Grapalat"/>
                <w:sz w:val="24"/>
                <w:szCs w:val="24"/>
                <w:lang w:val="hy-AM"/>
              </w:rPr>
              <w:t>:</w:t>
            </w:r>
          </w:p>
          <w:p w:rsidR="008A6600" w:rsidRPr="0095032F" w:rsidRDefault="008A6600" w:rsidP="008A6600">
            <w:pPr>
              <w:pStyle w:val="Default"/>
              <w:spacing w:line="360" w:lineRule="auto"/>
              <w:ind w:firstLine="720"/>
              <w:jc w:val="both"/>
              <w:rPr>
                <w:rFonts w:ascii="GHEA Grapalat" w:hAnsi="GHEA Grapalat"/>
                <w:b/>
                <w:bCs/>
                <w:sz w:val="24"/>
                <w:szCs w:val="24"/>
                <w:lang w:val="hy-AM"/>
              </w:rPr>
            </w:pPr>
            <w:r w:rsidRPr="0095032F">
              <w:rPr>
                <w:rFonts w:ascii="GHEA Grapalat" w:hAnsi="GHEA Grapalat"/>
                <w:sz w:val="24"/>
                <w:szCs w:val="24"/>
                <w:lang w:val="hy-AM"/>
              </w:rPr>
              <w:t xml:space="preserve">Վերոշարադրյալի պայմաններում առաջարկում ենք ձեռնպահ մնալ ՀՀ քրեական դատավարության օրենսգրքի 426.4-րդ հոդվածի 1-ին մասի 2-րդ կետում առաջարկվող կարգավորմամբ </w:t>
            </w:r>
            <w:r w:rsidRPr="0095032F">
              <w:rPr>
                <w:rFonts w:ascii="GHEA Grapalat" w:hAnsi="GHEA Grapalat"/>
                <w:i/>
                <w:iCs/>
                <w:sz w:val="24"/>
                <w:szCs w:val="24"/>
                <w:lang w:val="hy-AM"/>
              </w:rPr>
              <w:t>«և եթե անձի խախտված իրավունքները հնարավոր է վերականգնել միայն դատական ակտի վերանայմամբ»</w:t>
            </w:r>
            <w:r w:rsidRPr="0095032F">
              <w:rPr>
                <w:rFonts w:ascii="GHEA Grapalat" w:hAnsi="GHEA Grapalat"/>
                <w:sz w:val="24"/>
                <w:szCs w:val="24"/>
                <w:lang w:val="hy-AM"/>
              </w:rPr>
              <w:t xml:space="preserve">, իսկ ՀՀ քրեական դատավարության օրենսգրքի 426.8-րդ հոդվածի 2-րդ մասի 6-րդ կետում` </w:t>
            </w:r>
            <w:r w:rsidRPr="0095032F">
              <w:rPr>
                <w:rFonts w:ascii="GHEA Grapalat" w:hAnsi="GHEA Grapalat"/>
                <w:i/>
                <w:iCs/>
                <w:sz w:val="24"/>
                <w:szCs w:val="24"/>
                <w:lang w:val="hy-AM"/>
              </w:rPr>
              <w:t xml:space="preserve">«սույն օրենսգրքի 426.4-րդ հոդվածի 1-ին մասի 2-րդ կետով նախատեսված հիմքով բողոք ներկայացվելու դեպքում հիմնավորվում է, որ անձի խախտված իրավունքների </w:t>
            </w:r>
            <w:r w:rsidRPr="0095032F">
              <w:rPr>
                <w:rFonts w:ascii="GHEA Grapalat" w:hAnsi="GHEA Grapalat"/>
                <w:i/>
                <w:iCs/>
                <w:sz w:val="24"/>
                <w:szCs w:val="24"/>
                <w:lang w:val="hy-AM"/>
              </w:rPr>
              <w:lastRenderedPageBreak/>
              <w:t xml:space="preserve">վերականգնման համար դատական ակտի վերանայումը միակ և բացառիկ միջոցը չէ:» </w:t>
            </w:r>
            <w:r w:rsidRPr="0095032F">
              <w:rPr>
                <w:rFonts w:ascii="GHEA Grapalat" w:hAnsi="GHEA Grapalat"/>
                <w:sz w:val="24"/>
                <w:szCs w:val="24"/>
                <w:lang w:val="hy-AM"/>
              </w:rPr>
              <w:t xml:space="preserve">պայմանների ամրագրումից, քանի որ դրանց նախատեսումը </w:t>
            </w:r>
            <w:r w:rsidRPr="0095032F">
              <w:rPr>
                <w:rFonts w:ascii="GHEA Grapalat" w:hAnsi="GHEA Grapalat"/>
                <w:b/>
                <w:bCs/>
                <w:sz w:val="24"/>
                <w:szCs w:val="24"/>
                <w:lang w:val="hy-AM"/>
              </w:rPr>
              <w:t>կարող է հանգեցնել դատական ակտերի վերանայման փուլերի միջև եղած գործառութային կապի խախտման և քրեադատավարական կարգավորումների միջև ներքին հակասությունների առաջացման։</w:t>
            </w:r>
          </w:p>
          <w:p w:rsidR="008A6600" w:rsidRPr="0095032F" w:rsidRDefault="008A6600" w:rsidP="008A6600">
            <w:pPr>
              <w:pStyle w:val="Default"/>
              <w:spacing w:line="360" w:lineRule="auto"/>
              <w:ind w:firstLine="720"/>
              <w:jc w:val="both"/>
              <w:rPr>
                <w:rFonts w:ascii="GHEA Grapalat" w:hAnsi="GHEA Grapalat"/>
                <w:sz w:val="24"/>
                <w:szCs w:val="24"/>
                <w:lang w:val="hy-AM"/>
              </w:rPr>
            </w:pPr>
            <w:r w:rsidRPr="0095032F">
              <w:rPr>
                <w:rFonts w:ascii="GHEA Grapalat" w:hAnsi="GHEA Grapalat"/>
                <w:sz w:val="24"/>
                <w:szCs w:val="24"/>
                <w:lang w:val="hy-AM"/>
              </w:rPr>
              <w:t>Վերոգրյալի հետ մեկտեղ առաջարկում ենք քննարկման առարկա դարձնել հետևյալ փոփոխությունը կատարելու նպատակահարմարությունը</w:t>
            </w:r>
            <w:r w:rsidRPr="0095032F">
              <w:rPr>
                <w:rFonts w:ascii="GHEA Grapalat" w:hAnsi="GHEA Grapalat" w:cs="Cambria Math"/>
                <w:sz w:val="24"/>
                <w:szCs w:val="24"/>
                <w:lang w:val="hy-AM"/>
              </w:rPr>
              <w:t>:</w:t>
            </w:r>
            <w:r w:rsidRPr="0095032F">
              <w:rPr>
                <w:rFonts w:ascii="GHEA Grapalat" w:hAnsi="GHEA Grapalat"/>
                <w:sz w:val="24"/>
                <w:szCs w:val="24"/>
                <w:lang w:val="hy-AM"/>
              </w:rPr>
              <w:t xml:space="preserve"> Այսպես, ՀՀ քրեական դատավարության օրենսգրքի 426.4-րդ հոդվածի 1-ին մասի 2-րդ կետում «խախտման փաստը» բառերից հետո որպես նոր հանգամանք </w:t>
            </w:r>
            <w:r w:rsidRPr="0095032F">
              <w:rPr>
                <w:rFonts w:ascii="GHEA Grapalat" w:hAnsi="GHEA Grapalat"/>
                <w:sz w:val="24"/>
                <w:szCs w:val="24"/>
                <w:lang w:val="hy-AM"/>
              </w:rPr>
              <w:lastRenderedPageBreak/>
              <w:t xml:space="preserve">ուղղակիորեն չնշել </w:t>
            </w:r>
            <w:r w:rsidRPr="0095032F">
              <w:rPr>
                <w:rFonts w:ascii="GHEA Grapalat" w:hAnsi="GHEA Grapalat"/>
                <w:i/>
                <w:iCs/>
                <w:sz w:val="24"/>
                <w:szCs w:val="24"/>
                <w:lang w:val="hy-AM"/>
              </w:rPr>
              <w:t xml:space="preserve">«կամ միջազգային դատարանը հաստատել է կողմերի միջև ձեռք բերված բարեկամական կարգավորումը կամ Հայաստանի Հանրապետության կողմից արված միակողմանի հայտարարությունը (…)» </w:t>
            </w:r>
            <w:r w:rsidRPr="0095032F">
              <w:rPr>
                <w:rFonts w:ascii="GHEA Grapalat" w:hAnsi="GHEA Grapalat"/>
                <w:sz w:val="24"/>
                <w:szCs w:val="24"/>
                <w:lang w:val="hy-AM"/>
              </w:rPr>
              <w:t>ձևակերպումը</w:t>
            </w:r>
            <w:r w:rsidRPr="0095032F">
              <w:rPr>
                <w:rFonts w:ascii="GHEA Grapalat" w:hAnsi="GHEA Grapalat"/>
                <w:i/>
                <w:iCs/>
                <w:sz w:val="24"/>
                <w:szCs w:val="24"/>
                <w:lang w:val="hy-AM"/>
              </w:rPr>
              <w:t xml:space="preserve">։ </w:t>
            </w:r>
            <w:r w:rsidRPr="0095032F">
              <w:rPr>
                <w:rFonts w:ascii="GHEA Grapalat" w:hAnsi="GHEA Grapalat"/>
                <w:sz w:val="24"/>
                <w:szCs w:val="24"/>
                <w:lang w:val="hy-AM"/>
              </w:rPr>
              <w:t>Մի կողմից՝ օրենսդրական տեխնիկայի, մյուս կողմից՝ իրավունքի զարգացման տեսանկյունից ՀՀ քրեական դատավարության օրենսգրքի 426.4-րդ հոդվածի 1-ին մասի 2-րդ կետի համատեքստում առաջարկում ենք քննարկել</w:t>
            </w:r>
            <w:r w:rsidRPr="0095032F">
              <w:rPr>
                <w:rFonts w:ascii="GHEA Grapalat" w:hAnsi="GHEA Grapalat"/>
                <w:b/>
                <w:bCs/>
                <w:sz w:val="24"/>
                <w:szCs w:val="24"/>
                <w:lang w:val="hy-AM"/>
              </w:rPr>
              <w:t xml:space="preserve"> </w:t>
            </w:r>
            <w:r w:rsidRPr="0095032F">
              <w:rPr>
                <w:rFonts w:ascii="GHEA Grapalat" w:hAnsi="GHEA Grapalat"/>
                <w:bCs/>
                <w:sz w:val="24"/>
                <w:szCs w:val="24"/>
                <w:lang w:val="hy-AM"/>
              </w:rPr>
              <w:t>միջազգային դատարանի` բարեկամական կարգավորումը կամ Հայաստանի Հանրապետության կողմից արված միակողմանի հայտարարությունը հաստատելու մասին որոշումների մասին</w:t>
            </w:r>
            <w:r w:rsidRPr="0095032F">
              <w:rPr>
                <w:rFonts w:ascii="GHEA Grapalat" w:hAnsi="GHEA Grapalat"/>
                <w:b/>
                <w:bCs/>
                <w:sz w:val="24"/>
                <w:szCs w:val="24"/>
                <w:lang w:val="hy-AM"/>
              </w:rPr>
              <w:t xml:space="preserve"> </w:t>
            </w:r>
            <w:r w:rsidRPr="0095032F">
              <w:rPr>
                <w:rFonts w:ascii="GHEA Grapalat" w:hAnsi="GHEA Grapalat"/>
                <w:bCs/>
                <w:sz w:val="24"/>
                <w:szCs w:val="24"/>
                <w:lang w:val="hy-AM"/>
              </w:rPr>
              <w:lastRenderedPageBreak/>
              <w:t>ուղղակի նշում չկատարելու հնարավորությունը։</w:t>
            </w:r>
            <w:r w:rsidRPr="0095032F">
              <w:rPr>
                <w:rFonts w:ascii="GHEA Grapalat" w:hAnsi="GHEA Grapalat"/>
                <w:sz w:val="24"/>
                <w:szCs w:val="24"/>
                <w:lang w:val="hy-AM"/>
              </w:rPr>
              <w:t xml:space="preserve"> Իրավունքի զարգացմանը համահունչ միջազգային դատարանների` իրավունքի խախտման մասին վկայող տարաբնույթ որոշումներ կարող են դառնալ դատական ակտերի վերանայման նոր հանգամանք։ Նման պայմաններում այդ որոշումներից յուրաքանչյուրը որպես նոր հանգամանք դիտարկելու նպատակով պարբերաբար օրենսդրական փոփոխությունների նախաձեռնումից խուսափելու նկատառումներով առաջարկում ենք ՀՀ քրեական դատավարության օրենսգրքի 426.4-րդ հոդվածի 1-ին մասի 2-րդ կետում սահմանել ընդհանրական, ունիվերսալ ձևակերպում, որի դեպքում անձի իրավունքի խախտման մասին </w:t>
            </w:r>
            <w:r w:rsidRPr="0095032F">
              <w:rPr>
                <w:rFonts w:ascii="GHEA Grapalat" w:hAnsi="GHEA Grapalat"/>
                <w:sz w:val="24"/>
                <w:szCs w:val="24"/>
                <w:lang w:val="hy-AM"/>
              </w:rPr>
              <w:lastRenderedPageBreak/>
              <w:t>վկայելու յուրաքանչյուր դեպքում Մարդու իրավունքների եվրոպական դատարանի վճիռը կամ որոշումը հիմք կհանդիսանա ներպետական դատական ակտերը վերանայելու համար (Օրինակ՝ քննարկման առարկա դարձնել ՀՀ քրեական դատավարության օրենսգրքի 426.4-րդ հոդվածի 1-ին մասի 2-րդ կետը հետևյալ ձևակերպմամբ սահմանելու հնարավորությունը</w:t>
            </w:r>
            <w:r w:rsidRPr="0095032F">
              <w:rPr>
                <w:rFonts w:ascii="GHEA Grapalat" w:hAnsi="GHEA Grapalat" w:cs="Cambria Math"/>
                <w:sz w:val="24"/>
                <w:szCs w:val="24"/>
                <w:lang w:val="hy-AM"/>
              </w:rPr>
              <w:t>.</w:t>
            </w:r>
            <w:r w:rsidRPr="0095032F">
              <w:rPr>
                <w:rFonts w:ascii="GHEA Grapalat" w:hAnsi="GHEA Grapalat"/>
                <w:b/>
                <w:bCs/>
                <w:sz w:val="24"/>
                <w:szCs w:val="24"/>
                <w:lang w:val="hy-AM"/>
              </w:rPr>
              <w:t xml:space="preserve"> </w:t>
            </w:r>
            <w:r w:rsidRPr="0095032F">
              <w:rPr>
                <w:rFonts w:ascii="GHEA Grapalat" w:hAnsi="GHEA Grapalat"/>
                <w:i/>
                <w:iCs/>
                <w:sz w:val="24"/>
                <w:szCs w:val="24"/>
                <w:lang w:val="hy-AM"/>
              </w:rPr>
              <w:t xml:space="preserve">«Հայաստանի Հանրապետության վավերացրած միջազգային պայմանագրի հիման վրա գործող միջազգային դատարանի` ուժի մեջ մտած վճիռը կամ որոշումը վկայում է կամ կարող է վկայել անձի` Հայաստանի Հանրապետության վավերացրած միջազգային պայմանագրով </w:t>
            </w:r>
            <w:r w:rsidRPr="0095032F">
              <w:rPr>
                <w:rFonts w:ascii="GHEA Grapalat" w:hAnsi="GHEA Grapalat"/>
                <w:i/>
                <w:iCs/>
                <w:sz w:val="24"/>
                <w:szCs w:val="24"/>
                <w:lang w:val="hy-AM"/>
              </w:rPr>
              <w:lastRenderedPageBreak/>
              <w:t>նախատեսված իրավունքի խախտման մասին.»)</w:t>
            </w:r>
            <w:r w:rsidRPr="0095032F">
              <w:rPr>
                <w:rFonts w:ascii="GHEA Grapalat" w:hAnsi="GHEA Grapalat"/>
                <w:bCs/>
                <w:sz w:val="24"/>
                <w:szCs w:val="24"/>
                <w:lang w:val="hy-AM"/>
              </w:rPr>
              <w:t>:</w:t>
            </w:r>
          </w:p>
          <w:p w:rsidR="008A6600" w:rsidRPr="0095032F" w:rsidRDefault="008A6600" w:rsidP="008A6600">
            <w:pPr>
              <w:pStyle w:val="Default"/>
              <w:spacing w:line="360" w:lineRule="auto"/>
              <w:ind w:firstLine="720"/>
              <w:jc w:val="both"/>
              <w:rPr>
                <w:rFonts w:ascii="GHEA Grapalat" w:hAnsi="GHEA Grapalat"/>
                <w:i/>
                <w:iCs/>
                <w:sz w:val="24"/>
                <w:szCs w:val="24"/>
                <w:lang w:val="hy-AM"/>
              </w:rPr>
            </w:pPr>
            <w:r w:rsidRPr="0095032F">
              <w:rPr>
                <w:rFonts w:ascii="GHEA Grapalat" w:hAnsi="GHEA Grapalat"/>
                <w:sz w:val="24"/>
                <w:szCs w:val="24"/>
                <w:lang w:val="hy-AM"/>
              </w:rPr>
              <w:t xml:space="preserve">2. Նախագծում </w:t>
            </w:r>
            <w:r w:rsidRPr="0095032F">
              <w:rPr>
                <w:rFonts w:ascii="GHEA Grapalat" w:hAnsi="GHEA Grapalat"/>
                <w:b/>
                <w:bCs/>
                <w:sz w:val="24"/>
                <w:szCs w:val="24"/>
                <w:lang w:val="hy-AM"/>
              </w:rPr>
              <w:t>նախատեսել անցումային դրույթ</w:t>
            </w:r>
            <w:r w:rsidRPr="0095032F">
              <w:rPr>
                <w:rFonts w:ascii="GHEA Grapalat" w:hAnsi="GHEA Grapalat"/>
                <w:sz w:val="24"/>
                <w:szCs w:val="24"/>
                <w:lang w:val="hy-AM"/>
              </w:rPr>
              <w:t xml:space="preserve">` մինչև օրենքն ուժի մեջ մտնելու պահը` ՀՀ քրեական դատավարության օրենսգրքի 426.4-րդ հոդվածի 1-ին մասի 2-րդ կետի հիմքով ներկայացված, սակայն դեռևս այդ բողոքների հիման վրա վերանայման վարույթ չհարուցված գործերի համար։ Այսպես, հաշվի առնելով, որ Մարդու իրավունքների եվրոպական դատարանում գտնվող գործերով ներկայումս արդեն իսկ Հայաստանի Հանրապետության կողմից արվում են միակողմանի հայտարարություններ, որոնք նաև հաստատվում են դատարանի կողմից, ուստի մինչև օրենքի ուժի մեջ </w:t>
            </w:r>
            <w:r w:rsidRPr="0095032F">
              <w:rPr>
                <w:rFonts w:ascii="GHEA Grapalat" w:hAnsi="GHEA Grapalat"/>
                <w:sz w:val="24"/>
                <w:szCs w:val="24"/>
                <w:lang w:val="hy-AM"/>
              </w:rPr>
              <w:lastRenderedPageBreak/>
              <w:t xml:space="preserve">մտնելը հնարավոր է, որ ներկայացված լինեն վերանայման բողոքներ` ՀՀ վերաքննիչ քրեական դատարան կամ ՀՀ վճռաբեկ դատարան, որոնց նկատմամբ կիրառելի լինեն օրենքի նախագծով նախատեսվող կարգավորումները։ Ուստի առաջարկում ենք օրենքի նախագծում որպես անցումային դրույթ սահմանել` </w:t>
            </w:r>
            <w:r w:rsidRPr="0095032F">
              <w:rPr>
                <w:rFonts w:ascii="GHEA Grapalat" w:hAnsi="GHEA Grapalat"/>
                <w:i/>
                <w:iCs/>
                <w:sz w:val="24"/>
                <w:szCs w:val="24"/>
                <w:lang w:val="hy-AM"/>
              </w:rPr>
              <w:t xml:space="preserve">«Սույն </w:t>
            </w:r>
            <w:bookmarkStart w:id="1" w:name="OLE_LINK1"/>
            <w:r w:rsidRPr="0095032F">
              <w:rPr>
                <w:rFonts w:ascii="GHEA Grapalat" w:hAnsi="GHEA Grapalat"/>
                <w:i/>
                <w:iCs/>
                <w:sz w:val="24"/>
                <w:szCs w:val="24"/>
                <w:lang w:val="hy-AM"/>
              </w:rPr>
              <w:t>օ</w:t>
            </w:r>
            <w:bookmarkStart w:id="2" w:name="OLE_LINK2"/>
            <w:bookmarkEnd w:id="1"/>
            <w:r w:rsidRPr="0095032F">
              <w:rPr>
                <w:rFonts w:ascii="GHEA Grapalat" w:hAnsi="GHEA Grapalat"/>
                <w:i/>
                <w:iCs/>
                <w:sz w:val="24"/>
                <w:szCs w:val="24"/>
                <w:lang w:val="hy-AM"/>
              </w:rPr>
              <w:t>րենքի գործողությունը տարածվում է նաև մինչև սույն օրենքն ուժի մեջ մտնելը ՀՀ քրեական դատավարության օրենսգրքի 426.4-րդ հոդվածի 1-ին մասի 2-րդ կետի հիմքով ներկայացված բողոքների նկատմամբ, որոնցով դեռևս դատական ակտերի վերանայման վարույթ հարուցելու մասին որոշում չի կայացվել</w:t>
            </w:r>
            <w:bookmarkEnd w:id="2"/>
            <w:r w:rsidRPr="0095032F">
              <w:rPr>
                <w:rFonts w:ascii="GHEA Grapalat" w:hAnsi="GHEA Grapalat"/>
                <w:i/>
                <w:iCs/>
                <w:sz w:val="24"/>
                <w:szCs w:val="24"/>
                <w:lang w:val="hy-AM"/>
              </w:rPr>
              <w:t>։»:</w:t>
            </w:r>
          </w:p>
          <w:p w:rsidR="008A6600" w:rsidRPr="0095032F" w:rsidRDefault="008A6600" w:rsidP="008A6600">
            <w:pPr>
              <w:pStyle w:val="Default"/>
              <w:spacing w:line="360" w:lineRule="auto"/>
              <w:ind w:firstLine="720"/>
              <w:jc w:val="both"/>
              <w:rPr>
                <w:rFonts w:ascii="GHEA Grapalat" w:eastAsia="GHEA Grapalat" w:hAnsi="GHEA Grapalat" w:cs="GHEA Grapalat"/>
                <w:sz w:val="24"/>
                <w:szCs w:val="24"/>
                <w:lang w:val="hy-AM"/>
              </w:rPr>
            </w:pPr>
            <w:r w:rsidRPr="0095032F">
              <w:rPr>
                <w:rFonts w:ascii="GHEA Grapalat" w:hAnsi="GHEA Grapalat"/>
                <w:sz w:val="24"/>
                <w:szCs w:val="24"/>
                <w:lang w:val="hy-AM"/>
              </w:rPr>
              <w:lastRenderedPageBreak/>
              <w:t xml:space="preserve">Կարծում ենք, որ վերոնշյալ բոլոր առաջարկությունները, այդ թվում` անցումային դրույթի նախատեսման առումով, վերաբերելի մասով </w:t>
            </w:r>
            <w:r w:rsidRPr="0095032F">
              <w:rPr>
                <w:rFonts w:ascii="GHEA Grapalat" w:hAnsi="GHEA Grapalat"/>
                <w:i/>
                <w:iCs/>
                <w:sz w:val="24"/>
                <w:szCs w:val="24"/>
                <w:lang w:val="hy-AM"/>
              </w:rPr>
              <w:t>(mutatis mutandis)</w:t>
            </w:r>
            <w:r w:rsidRPr="0095032F">
              <w:rPr>
                <w:rFonts w:ascii="GHEA Grapalat" w:hAnsi="GHEA Grapalat"/>
                <w:sz w:val="24"/>
                <w:szCs w:val="24"/>
                <w:lang w:val="hy-AM"/>
              </w:rPr>
              <w:t xml:space="preserve"> կիրառելի են նաև «Հայաստանի Հանրապետության քաղաքացիական դատավարություն օրենսգրքում լրացումներ կատարելու մասին» և «Հայաստանի Հանրապետության վարչական դատավարության օրենսգրքում լրացումներ կատարելու մասին» Հայաստանի Հանրապետության օրենքների նախագծերի նկատմամբ։</w:t>
            </w:r>
            <w:r w:rsidRPr="0095032F">
              <w:rPr>
                <w:rFonts w:ascii="GHEA Grapalat" w:eastAsia="GHEA Grapalat" w:hAnsi="GHEA Grapalat" w:cs="GHEA Grapalat"/>
                <w:sz w:val="24"/>
                <w:szCs w:val="24"/>
                <w:lang w:val="hy-AM"/>
              </w:rPr>
              <w:t xml:space="preserve"> </w:t>
            </w:r>
          </w:p>
          <w:p w:rsidR="008A6600" w:rsidRPr="0095032F" w:rsidRDefault="008A6600" w:rsidP="008A6600">
            <w:pPr>
              <w:pStyle w:val="Default"/>
              <w:spacing w:line="360" w:lineRule="auto"/>
              <w:ind w:firstLine="720"/>
              <w:jc w:val="both"/>
              <w:rPr>
                <w:rFonts w:ascii="GHEA Grapalat" w:hAnsi="GHEA Grapalat"/>
                <w:bCs/>
                <w:sz w:val="24"/>
                <w:szCs w:val="24"/>
                <w:lang w:val="hy-AM"/>
              </w:rPr>
            </w:pPr>
            <w:r w:rsidRPr="0095032F">
              <w:rPr>
                <w:rFonts w:ascii="GHEA Grapalat" w:hAnsi="GHEA Grapalat"/>
                <w:sz w:val="24"/>
                <w:szCs w:val="24"/>
                <w:lang w:val="hy-AM"/>
              </w:rPr>
              <w:t xml:space="preserve">Միևնույն ժամանակ, հարկ ենք համարում նշել, որ օրենքի նախագծով ՀՀ քաղաքացիական դատավարության օրենսգրքի 427-րդ հոդվածի 2-րդ մասում </w:t>
            </w:r>
            <w:r w:rsidRPr="0095032F">
              <w:rPr>
                <w:rFonts w:ascii="GHEA Grapalat" w:hAnsi="GHEA Grapalat"/>
                <w:sz w:val="24"/>
                <w:szCs w:val="24"/>
                <w:lang w:val="hy-AM"/>
              </w:rPr>
              <w:lastRenderedPageBreak/>
              <w:t xml:space="preserve">առաջարկվող փոփոխությունները թեև տարբերվում են «Հայաստանի Հանրապետության քրեական դատավարության օրենսգրքում լրացումներ կատարելու մասին» ՀՀ օրենքի նախագծով առաջարկվող այլ կարգավորումների տրամաբանությունից, սակայն դրանց նախատեսումը ևս խնդրահարույց է։ Այսպես, ՀՀ քաղաքացիական դատավարության օրենսգրքի 427-րդ հոդվածի 2-րդ մասով սահմանված կարգավորումն այն մասին, որ Մարդու իրավունքների եվրոպական դատարանի վճիռը կամ որոշումը որպես նոր հանգամանք վկայակոչվող հիմքի առկայության դեպքում դատարանը կարող է չբեկանել վերանայվող </w:t>
            </w:r>
            <w:r w:rsidRPr="0095032F">
              <w:rPr>
                <w:rFonts w:ascii="GHEA Grapalat" w:hAnsi="GHEA Grapalat"/>
                <w:sz w:val="24"/>
                <w:szCs w:val="24"/>
                <w:lang w:val="hy-AM"/>
              </w:rPr>
              <w:lastRenderedPageBreak/>
              <w:t xml:space="preserve">դատական ակտը, միայն եթե հիմնավորում է, որ այն ըստ էության չէր կարող ազդել գործի ելքի վրա, պարունակվում է նաև այլ օրենսգրքերում (օրինակ` ՀՀ քրեական դատավարության օրենսգրքի 426.9-րդ հոդվածի 2-րդ մասում, որն ուժի մեջ է թողնվում առաջարկվող օրենքի նախագծերի փաթեթով)։ Այն հիմք է դատական ակտի վերանայման արդյունքում չբեկանելու վիճարկվող դատական ակտը, եթե այն ըստ էության չէր կարող ազդել գործի ելքի վրա և վերականգնել անձի խախտված իրավունքները։ Այլ խոսքով՝ առաջարկվող կարգավորումն իր էությամբ արդեն իսկ արտացոլված է ՀՀ քաղաքացիական դատավարության օրենսգրքի 427-րդ հոդվածի 2-րդ </w:t>
            </w:r>
            <w:r w:rsidRPr="0095032F">
              <w:rPr>
                <w:rFonts w:ascii="GHEA Grapalat" w:hAnsi="GHEA Grapalat"/>
                <w:sz w:val="24"/>
                <w:szCs w:val="24"/>
                <w:lang w:val="hy-AM"/>
              </w:rPr>
              <w:lastRenderedPageBreak/>
              <w:t>մասում։ Ուստի</w:t>
            </w:r>
            <w:r w:rsidRPr="0095032F">
              <w:rPr>
                <w:rFonts w:ascii="GHEA Grapalat" w:hAnsi="GHEA Grapalat"/>
                <w:b/>
                <w:bCs/>
                <w:sz w:val="24"/>
                <w:szCs w:val="24"/>
                <w:lang w:val="hy-AM"/>
              </w:rPr>
              <w:t xml:space="preserve"> </w:t>
            </w:r>
            <w:r w:rsidRPr="0095032F">
              <w:rPr>
                <w:rFonts w:ascii="GHEA Grapalat" w:hAnsi="GHEA Grapalat"/>
                <w:bCs/>
                <w:sz w:val="24"/>
                <w:szCs w:val="24"/>
                <w:lang w:val="hy-AM"/>
              </w:rPr>
              <w:t>առաջարկում ենք ձեռնպահ մնալ նաև այդ հոդվածում առաջարկվող փոփոխությունից։</w:t>
            </w:r>
          </w:p>
          <w:p w:rsidR="008A6600" w:rsidRPr="0095032F" w:rsidRDefault="008A6600" w:rsidP="008A6600">
            <w:pPr>
              <w:pStyle w:val="Default"/>
              <w:spacing w:line="360" w:lineRule="auto"/>
              <w:ind w:firstLine="720"/>
              <w:jc w:val="both"/>
              <w:rPr>
                <w:rFonts w:ascii="GHEA Grapalat" w:hAnsi="GHEA Grapalat"/>
                <w:sz w:val="24"/>
                <w:szCs w:val="24"/>
                <w:lang w:val="hy-AM"/>
              </w:rPr>
            </w:pPr>
            <w:r w:rsidRPr="0095032F">
              <w:rPr>
                <w:rFonts w:ascii="GHEA Grapalat" w:hAnsi="GHEA Grapalat"/>
                <w:bCs/>
                <w:sz w:val="24"/>
                <w:szCs w:val="24"/>
                <w:lang w:val="hy-AM"/>
              </w:rPr>
              <w:t xml:space="preserve">Վերոգրյալի հետ մեկտեղ, հարկ ենք համարում նաև նշել, որ </w:t>
            </w:r>
            <w:r w:rsidRPr="0095032F">
              <w:rPr>
                <w:rFonts w:ascii="GHEA Grapalat" w:hAnsi="GHEA Grapalat"/>
                <w:sz w:val="24"/>
                <w:szCs w:val="24"/>
                <w:lang w:val="hy-AM"/>
              </w:rPr>
              <w:t xml:space="preserve">ՀՀ վարչական դատավարության օրենսգրքի 188-րդ հոդվածի 1-ին մասի 6-րդ կետում` </w:t>
            </w:r>
            <w:r w:rsidRPr="0095032F">
              <w:rPr>
                <w:rFonts w:ascii="GHEA Grapalat" w:hAnsi="GHEA Grapalat"/>
                <w:i/>
                <w:iCs/>
                <w:sz w:val="24"/>
                <w:szCs w:val="24"/>
                <w:lang w:val="hy-AM"/>
              </w:rPr>
              <w:t>«սույն օրենսգրքի 182-րդ հոդվածի 1-ին մասի 3-րդ կետով նախատեսված հիմքով դատական ակտի վերանայման դիմում ներկայացվելու դեպքում հիմնավորվում է, որ անձի խախտված իրավունքների վարականգնման համար դատական ակտի վերանայումը միակ և բացառիկ միջոցը չէ։»</w:t>
            </w:r>
            <w:r w:rsidRPr="0095032F">
              <w:rPr>
                <w:rFonts w:ascii="GHEA Grapalat" w:hAnsi="GHEA Grapalat"/>
                <w:sz w:val="24"/>
                <w:szCs w:val="24"/>
                <w:lang w:val="hy-AM"/>
              </w:rPr>
              <w:t xml:space="preserve"> դիմումը վերադարձնելու հիմքի նախատեսումը ևս խնդրահարույց է։ Նախևառաջ, հարկ է փաստել, որ ՀՀ վարչական դատավարության օրենսգրքի </w:t>
            </w:r>
            <w:r w:rsidRPr="0095032F">
              <w:rPr>
                <w:rFonts w:ascii="GHEA Grapalat" w:hAnsi="GHEA Grapalat"/>
                <w:sz w:val="24"/>
                <w:szCs w:val="24"/>
                <w:lang w:val="hy-AM"/>
              </w:rPr>
              <w:lastRenderedPageBreak/>
              <w:t xml:space="preserve">188-րդ հոդվածում նախատեսված` դիմումը վերադարձնելու հիմքերի ուսումնասիրությունից պարզ է դառնում, որ դրանք պարունակում են առավելապես ուղղման ենթակա </w:t>
            </w:r>
            <w:r w:rsidRPr="0095032F">
              <w:rPr>
                <w:rFonts w:ascii="GHEA Grapalat" w:hAnsi="GHEA Grapalat"/>
                <w:b/>
                <w:bCs/>
                <w:sz w:val="24"/>
                <w:szCs w:val="24"/>
                <w:lang w:val="hy-AM"/>
              </w:rPr>
              <w:t>ձևական սխալներ</w:t>
            </w:r>
            <w:r w:rsidRPr="0095032F">
              <w:rPr>
                <w:rFonts w:ascii="GHEA Grapalat" w:hAnsi="GHEA Grapalat"/>
                <w:sz w:val="24"/>
                <w:szCs w:val="24"/>
                <w:lang w:val="hy-AM"/>
              </w:rPr>
              <w:t xml:space="preserve">։ Մինչդեռ, առաջարկվող կարգավորմամբ վերադարձման հիմք է նախատեսվում բողոքի բովանդակային սխալը, երբ չի հիմնավորվել, որ դատական ակտի վերանայումն անձի խախտված իրավունքների վերականգնման միակ և բացառիկ միջոցն է։ Բացի այդ, նկատի ունենալով, որ առաջարկվող կարգավորումն իր էությամբ առաջ է բերելու այն նույն խնդիրները, որոնք վերը ներկայացվեցին՝ համանման կարգավորումների նախատեսման </w:t>
            </w:r>
            <w:r w:rsidRPr="0095032F">
              <w:rPr>
                <w:rFonts w:ascii="GHEA Grapalat" w:hAnsi="GHEA Grapalat"/>
                <w:sz w:val="24"/>
                <w:szCs w:val="24"/>
                <w:lang w:val="hy-AM"/>
              </w:rPr>
              <w:lastRenderedPageBreak/>
              <w:t xml:space="preserve">նպատակահարմարությունը քննարկելիս, ուստի վերոնշյալ մասով </w:t>
            </w:r>
            <w:r w:rsidRPr="0095032F">
              <w:rPr>
                <w:rFonts w:ascii="GHEA Grapalat" w:hAnsi="GHEA Grapalat"/>
                <w:bCs/>
                <w:sz w:val="24"/>
                <w:szCs w:val="24"/>
                <w:lang w:val="hy-AM"/>
              </w:rPr>
              <w:t>կարծում ենք</w:t>
            </w:r>
            <w:r w:rsidRPr="0095032F">
              <w:rPr>
                <w:rFonts w:ascii="GHEA Grapalat" w:hAnsi="GHEA Grapalat"/>
                <w:sz w:val="24"/>
                <w:szCs w:val="24"/>
                <w:lang w:val="hy-AM"/>
              </w:rPr>
              <w:t xml:space="preserve"> </w:t>
            </w:r>
            <w:r w:rsidRPr="0095032F">
              <w:rPr>
                <w:rFonts w:ascii="GHEA Grapalat" w:hAnsi="GHEA Grapalat"/>
                <w:bCs/>
                <w:sz w:val="24"/>
                <w:szCs w:val="24"/>
                <w:lang w:val="hy-AM"/>
              </w:rPr>
              <w:t>պետք է ձեռնպահ մնալ առաջարկվող կարգավորումները սահմանելուց։</w:t>
            </w:r>
          </w:p>
          <w:p w:rsidR="008A6600" w:rsidRPr="0095032F" w:rsidRDefault="008A6600" w:rsidP="008A6600">
            <w:pPr>
              <w:jc w:val="both"/>
              <w:rPr>
                <w:rFonts w:ascii="GHEA Grapalat" w:hAnsi="GHEA Grapalat"/>
                <w:sz w:val="24"/>
                <w:szCs w:val="24"/>
                <w:lang w:val="hy-AM"/>
              </w:rPr>
            </w:pPr>
          </w:p>
        </w:tc>
        <w:tc>
          <w:tcPr>
            <w:tcW w:w="4420" w:type="dxa"/>
          </w:tcPr>
          <w:p w:rsidR="008A6600" w:rsidRPr="0095032F" w:rsidRDefault="008A6600" w:rsidP="008A6600">
            <w:pPr>
              <w:jc w:val="both"/>
              <w:rPr>
                <w:rFonts w:ascii="GHEA Grapalat" w:hAnsi="GHEA Grapalat"/>
                <w:sz w:val="24"/>
                <w:szCs w:val="24"/>
                <w:lang w:val="hy-AM"/>
              </w:rPr>
            </w:pPr>
            <w:r w:rsidRPr="0095032F">
              <w:rPr>
                <w:rFonts w:ascii="GHEA Grapalat" w:hAnsi="GHEA Grapalat"/>
                <w:sz w:val="24"/>
                <w:szCs w:val="24"/>
                <w:lang w:val="hy-AM"/>
              </w:rPr>
              <w:lastRenderedPageBreak/>
              <w:t>Ընդունվել է ի գիտություն։</w:t>
            </w: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r w:rsidRPr="0095032F">
              <w:rPr>
                <w:rFonts w:ascii="GHEA Grapalat" w:hAnsi="GHEA Grapalat"/>
                <w:sz w:val="24"/>
                <w:szCs w:val="24"/>
                <w:lang w:val="hy-AM"/>
              </w:rPr>
              <w:t>Ընդունվել է։ Նախագծում կատարվել են համապատասխան փոփոխություններ։ Խնդրո առարկա կարգավորումը հանվել է նախագծերի փաթեթից։</w:t>
            </w: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B32CCB" w:rsidRPr="0095032F" w:rsidRDefault="008A6600" w:rsidP="00B32CCB">
            <w:pPr>
              <w:jc w:val="both"/>
              <w:rPr>
                <w:rFonts w:ascii="GHEA Grapalat" w:hAnsi="GHEA Grapalat"/>
                <w:iCs/>
                <w:sz w:val="24"/>
                <w:szCs w:val="24"/>
                <w:lang w:val="hy-AM"/>
              </w:rPr>
            </w:pPr>
            <w:r w:rsidRPr="0095032F">
              <w:rPr>
                <w:rFonts w:ascii="GHEA Grapalat" w:hAnsi="GHEA Grapalat"/>
                <w:sz w:val="24"/>
                <w:szCs w:val="24"/>
                <w:lang w:val="hy-AM"/>
              </w:rPr>
              <w:t>Չի ընդունվել։ Առաջակվող ձևակերպումը</w:t>
            </w:r>
            <w:r w:rsidR="002643B8" w:rsidRPr="0095032F">
              <w:rPr>
                <w:rFonts w:ascii="GHEA Grapalat" w:hAnsi="GHEA Grapalat"/>
                <w:sz w:val="24"/>
                <w:szCs w:val="24"/>
                <w:lang w:val="hy-AM"/>
              </w:rPr>
              <w:t xml:space="preserve"> կարող է տարաբնույթ մեկնաբանությունների տեղիք տալ և հետևաբար խնդրահարույց լինել որոշակիության և պրակտիկ կիրառման տեսանկյունից։ </w:t>
            </w:r>
            <w:r w:rsidR="00B32CCB" w:rsidRPr="0095032F">
              <w:rPr>
                <w:rFonts w:ascii="GHEA Grapalat" w:hAnsi="GHEA Grapalat"/>
                <w:sz w:val="24"/>
                <w:szCs w:val="24"/>
                <w:lang w:val="hy-AM"/>
              </w:rPr>
              <w:t xml:space="preserve">Մասնավորապես խոսքը </w:t>
            </w:r>
            <w:r w:rsidR="00B32CCB" w:rsidRPr="0095032F">
              <w:rPr>
                <w:rFonts w:ascii="GHEA Grapalat" w:hAnsi="GHEA Grapalat"/>
                <w:iCs/>
                <w:sz w:val="24"/>
                <w:szCs w:val="24"/>
                <w:lang w:val="hy-AM"/>
              </w:rPr>
              <w:t xml:space="preserve">«վկայում է», «կարող է վկայել» </w:t>
            </w:r>
            <w:r w:rsidR="009F3BEF" w:rsidRPr="0095032F">
              <w:rPr>
                <w:rFonts w:ascii="GHEA Grapalat" w:hAnsi="GHEA Grapalat"/>
                <w:iCs/>
                <w:sz w:val="24"/>
                <w:szCs w:val="24"/>
                <w:lang w:val="hy-AM"/>
              </w:rPr>
              <w:t>եզրույթների</w:t>
            </w:r>
            <w:r w:rsidR="00B32CCB" w:rsidRPr="0095032F">
              <w:rPr>
                <w:rFonts w:ascii="GHEA Grapalat" w:hAnsi="GHEA Grapalat"/>
                <w:iCs/>
                <w:sz w:val="24"/>
                <w:szCs w:val="24"/>
                <w:lang w:val="hy-AM"/>
              </w:rPr>
              <w:t xml:space="preserve"> մասին է, որոնք </w:t>
            </w:r>
            <w:r w:rsidR="00B32CCB" w:rsidRPr="0095032F">
              <w:rPr>
                <w:rFonts w:ascii="GHEA Grapalat" w:hAnsi="GHEA Grapalat"/>
                <w:iCs/>
                <w:sz w:val="24"/>
                <w:szCs w:val="24"/>
              </w:rPr>
              <w:t>(</w:t>
            </w:r>
            <w:r w:rsidR="00B32CCB" w:rsidRPr="0095032F">
              <w:rPr>
                <w:rFonts w:ascii="GHEA Grapalat" w:hAnsi="GHEA Grapalat"/>
                <w:iCs/>
                <w:sz w:val="24"/>
                <w:szCs w:val="24"/>
                <w:lang w:val="hy-AM"/>
              </w:rPr>
              <w:t>հատկապես 2-րդը</w:t>
            </w:r>
            <w:r w:rsidR="00B32CCB" w:rsidRPr="0095032F">
              <w:rPr>
                <w:rFonts w:ascii="GHEA Grapalat" w:hAnsi="GHEA Grapalat"/>
                <w:iCs/>
                <w:sz w:val="24"/>
                <w:szCs w:val="24"/>
              </w:rPr>
              <w:t>)</w:t>
            </w:r>
            <w:r w:rsidR="00B32CCB" w:rsidRPr="0095032F">
              <w:rPr>
                <w:rFonts w:ascii="GHEA Grapalat" w:hAnsi="GHEA Grapalat"/>
                <w:iCs/>
                <w:sz w:val="24"/>
                <w:szCs w:val="24"/>
                <w:lang w:val="hy-AM"/>
              </w:rPr>
              <w:t xml:space="preserve"> անորոշ են։</w:t>
            </w: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B32CCB" w:rsidP="00B32CCB">
            <w:pPr>
              <w:jc w:val="both"/>
              <w:rPr>
                <w:rFonts w:ascii="GHEA Grapalat" w:hAnsi="GHEA Grapalat"/>
                <w:iCs/>
                <w:sz w:val="24"/>
                <w:szCs w:val="24"/>
                <w:lang w:val="hy-AM"/>
              </w:rPr>
            </w:pPr>
          </w:p>
          <w:p w:rsidR="00B32CCB" w:rsidRPr="0095032F" w:rsidRDefault="00DC1879" w:rsidP="00B32CCB">
            <w:pPr>
              <w:jc w:val="both"/>
              <w:rPr>
                <w:rFonts w:ascii="GHEA Grapalat" w:hAnsi="GHEA Grapalat"/>
                <w:iCs/>
                <w:sz w:val="24"/>
                <w:szCs w:val="24"/>
                <w:lang w:val="hy-AM"/>
              </w:rPr>
            </w:pPr>
            <w:r w:rsidRPr="0095032F">
              <w:rPr>
                <w:rFonts w:ascii="GHEA Grapalat" w:hAnsi="GHEA Grapalat"/>
                <w:iCs/>
                <w:sz w:val="24"/>
                <w:szCs w:val="24"/>
                <w:lang w:val="hy-AM"/>
              </w:rPr>
              <w:t>Չի ընդունվել։ Վճռաբեկ դատարանի հետ քննարկումները ցույց են տվել, որ ներկայում նոր հանգամանքի հիմքով ներկայացված դիմումները չեն առաջացնում առաջարկվող անցումային դրույթը նախատեսելու անհրաժեշտություն։</w:t>
            </w:r>
          </w:p>
          <w:p w:rsidR="00B32CCB" w:rsidRPr="0095032F" w:rsidRDefault="00B32CCB" w:rsidP="00B32CCB">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8A6600" w:rsidRPr="0095032F" w:rsidRDefault="008A6600"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8A6600">
            <w:pPr>
              <w:jc w:val="both"/>
              <w:rPr>
                <w:rFonts w:ascii="GHEA Grapalat" w:hAnsi="GHEA Grapalat"/>
                <w:sz w:val="24"/>
                <w:szCs w:val="24"/>
                <w:lang w:val="hy-AM"/>
              </w:rPr>
            </w:pPr>
          </w:p>
          <w:p w:rsidR="00B32CCB" w:rsidRPr="0095032F" w:rsidRDefault="00B32CCB" w:rsidP="009F3BEF">
            <w:pPr>
              <w:jc w:val="both"/>
              <w:rPr>
                <w:rFonts w:ascii="GHEA Grapalat" w:hAnsi="GHEA Grapalat"/>
                <w:sz w:val="24"/>
                <w:szCs w:val="24"/>
                <w:lang w:val="hy-AM"/>
              </w:rPr>
            </w:pPr>
            <w:r w:rsidRPr="0095032F">
              <w:rPr>
                <w:rFonts w:ascii="GHEA Grapalat" w:hAnsi="GHEA Grapalat"/>
                <w:sz w:val="24"/>
                <w:szCs w:val="24"/>
                <w:lang w:val="hy-AM"/>
              </w:rPr>
              <w:t xml:space="preserve">Ընդունվել է։ Նախագծերում կատարվել են համապատասխանփոփոխություններ։ Օրենսդրական փաթեթից հանվել է </w:t>
            </w:r>
            <w:r w:rsidRPr="0095032F">
              <w:rPr>
                <w:rFonts w:ascii="GHEA Grapalat" w:hAnsi="GHEA Grapalat"/>
                <w:iCs/>
                <w:sz w:val="24"/>
                <w:szCs w:val="24"/>
                <w:lang w:val="hy-AM"/>
              </w:rPr>
              <w:t xml:space="preserve">«միակ և բացառիկ» չափանիշները նախատեսելու վերաբերյալ դրույթները։ </w:t>
            </w:r>
          </w:p>
        </w:tc>
      </w:tr>
      <w:tr w:rsidR="00B32CCB" w:rsidRPr="0095032F" w:rsidTr="00B32CCB">
        <w:tc>
          <w:tcPr>
            <w:tcW w:w="859" w:type="dxa"/>
          </w:tcPr>
          <w:p w:rsidR="00B32CCB" w:rsidRPr="0095032F" w:rsidRDefault="00B32CCB" w:rsidP="00B32CCB">
            <w:pPr>
              <w:jc w:val="both"/>
              <w:rPr>
                <w:rFonts w:ascii="GHEA Grapalat" w:hAnsi="GHEA Grapalat"/>
                <w:b/>
                <w:sz w:val="24"/>
                <w:szCs w:val="24"/>
                <w:lang w:val="hy-AM"/>
              </w:rPr>
            </w:pPr>
            <w:r w:rsidRPr="0095032F">
              <w:rPr>
                <w:rFonts w:ascii="GHEA Grapalat" w:hAnsi="GHEA Grapalat"/>
                <w:b/>
                <w:sz w:val="24"/>
                <w:szCs w:val="24"/>
                <w:lang w:val="hy-AM"/>
              </w:rPr>
              <w:lastRenderedPageBreak/>
              <w:t>5</w:t>
            </w:r>
            <w:r w:rsidRPr="0095032F">
              <w:rPr>
                <w:rFonts w:ascii="MS Gothic" w:eastAsia="MS Gothic" w:hAnsi="MS Gothic" w:cs="MS Gothic" w:hint="eastAsia"/>
                <w:b/>
                <w:sz w:val="24"/>
                <w:szCs w:val="24"/>
                <w:lang w:val="hy-AM"/>
              </w:rPr>
              <w:t>․</w:t>
            </w:r>
          </w:p>
        </w:tc>
        <w:tc>
          <w:tcPr>
            <w:tcW w:w="2941" w:type="dxa"/>
          </w:tcPr>
          <w:p w:rsidR="00B32CCB" w:rsidRPr="0095032F" w:rsidRDefault="00B32CCB" w:rsidP="00B32CCB">
            <w:pPr>
              <w:jc w:val="both"/>
              <w:rPr>
                <w:rFonts w:ascii="GHEA Grapalat" w:hAnsi="GHEA Grapalat"/>
                <w:b/>
                <w:sz w:val="24"/>
                <w:szCs w:val="24"/>
                <w:lang w:val="hy-AM"/>
              </w:rPr>
            </w:pPr>
            <w:r w:rsidRPr="0095032F">
              <w:rPr>
                <w:rFonts w:ascii="GHEA Grapalat" w:hAnsi="GHEA Grapalat"/>
                <w:b/>
                <w:sz w:val="24"/>
                <w:szCs w:val="24"/>
                <w:lang w:val="hy-AM"/>
              </w:rPr>
              <w:t>ՀՀ վճռաբեկ դատարանի 2021 թ</w:t>
            </w:r>
            <w:r w:rsidRPr="0095032F">
              <w:rPr>
                <w:rFonts w:ascii="MS Gothic" w:eastAsia="MS Gothic" w:hAnsi="MS Gothic" w:cs="MS Gothic" w:hint="eastAsia"/>
                <w:b/>
                <w:sz w:val="24"/>
                <w:szCs w:val="24"/>
                <w:lang w:val="hy-AM"/>
              </w:rPr>
              <w:t>․</w:t>
            </w:r>
            <w:r w:rsidRPr="0095032F">
              <w:rPr>
                <w:rFonts w:ascii="GHEA Grapalat" w:hAnsi="GHEA Grapalat"/>
                <w:b/>
                <w:sz w:val="24"/>
                <w:szCs w:val="24"/>
                <w:lang w:val="hy-AM"/>
              </w:rPr>
              <w:t xml:space="preserve"> հունվարի 27-ի թիվ </w:t>
            </w:r>
            <w:r w:rsidRPr="0095032F">
              <w:rPr>
                <w:rFonts w:ascii="GHEA Grapalat" w:hAnsi="GHEA Grapalat"/>
                <w:b/>
                <w:color w:val="000000"/>
                <w:sz w:val="24"/>
                <w:szCs w:val="24"/>
                <w:shd w:val="clear" w:color="auto" w:fill="FFFFFF"/>
              </w:rPr>
              <w:t>ԴԴ6-Ե-452</w:t>
            </w:r>
            <w:r w:rsidRPr="0095032F">
              <w:rPr>
                <w:rFonts w:ascii="GHEA Grapalat" w:hAnsi="GHEA Grapalat"/>
                <w:b/>
                <w:color w:val="000000"/>
                <w:sz w:val="24"/>
                <w:szCs w:val="24"/>
                <w:shd w:val="clear" w:color="auto" w:fill="FFFFFF"/>
                <w:lang w:val="hy-AM"/>
              </w:rPr>
              <w:t xml:space="preserve"> գրություն</w:t>
            </w:r>
          </w:p>
        </w:tc>
        <w:tc>
          <w:tcPr>
            <w:tcW w:w="4730" w:type="dxa"/>
          </w:tcPr>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Նախագծով առաջարկվող լրացումն այն մասին, որ ՀՀ քրեական դատավարության օրենսգրքի 426,4-րդ հոդվածով որպես նոր հանգամանք պետք է դիտարկվի նաև բարեկամանական կարգավորումը կամ միակողմանի հայտարարությունը հաստատելու մասին Հայաստանի Հանրապետության մասնակցությամբ գործող միջազգային դատարանի որոշումը, ընդունելի է՝ որոշ նկատառումներով։</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 xml:space="preserve">Մարդու իրավունքների եվրոպական դատարանի մի շարք դատական ակտերի ուսումնասիրությունը վկայում է այն մասին, որ դատարանը կարևոր է համարում միակողմանի հայտարարության կամ բարեկամական կարգավորման դեպքում ներպետական </w:t>
            </w:r>
            <w:r w:rsidRPr="0095032F">
              <w:rPr>
                <w:rFonts w:ascii="GHEA Grapalat" w:hAnsi="GHEA Grapalat"/>
                <w:sz w:val="24"/>
                <w:szCs w:val="24"/>
                <w:lang w:val="hy-AM"/>
              </w:rPr>
              <w:lastRenderedPageBreak/>
              <w:t>օրենսդրությամբ գործի վերաբացման հնարավորության առկայությունը։ Այս առումով խնդրահարույց է Մարդու իրավունքների եվրոպական դատարանի կողմից բարեկամական կարգավորման կամ միակողմանի հայտարարության հաստատումն այն դեպքում երբ ներպետական օրենսդրությամբ բացակայում է իրավական որոշակիության սկզբունքին համապատասխան հստակ կարգավորում նախատեսող՝ այդ որոշման կայացման դեպքում գործերի վերաբացման հնարավորությունը։</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Վերոգրյալի հետ մեկտեղ, կարծում ենք, որ Նախագծով ՀՀ քրեական դատավարության օրենսգրքի 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4-րդ հոդվածի 1-ին մասի 2-րդ կետում առաջարկվող կարգավորմամբ &lt;և եթե անձի խախտված իրավունքները հնարավոր է վերականգնել միայն դատական ակտի վերանայմամբ&gt; պայմանի նախատեսումը ինչպես նաև այդպիսի պայմանի ամրագրումը ՀՀ քրեական դատավարության օրենսգրքի 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8-րդ հոդվածի 2-րդ մասի 6-րդ կետում՝ որպես նոր հանգամանքով դատական ակտի վերանայման </w:t>
            </w:r>
            <w:r w:rsidRPr="0095032F">
              <w:rPr>
                <w:rFonts w:ascii="GHEA Grapalat" w:hAnsi="GHEA Grapalat"/>
                <w:sz w:val="24"/>
                <w:szCs w:val="24"/>
                <w:lang w:val="hy-AM"/>
              </w:rPr>
              <w:lastRenderedPageBreak/>
              <w:t xml:space="preserve">վարույթի հարուցումը մերժելու հիմք, ընդունելի չէ։ Մասնավորապես, թեև նշված կարգավորումների ընդունումը կնպաստի Վճռաբեկ դատարանի քրեական պալատի ծանրաբեռնվածության որոշակի նվազեցմանը, սակայն օբյեկտիվորեն պետք է նշել, որ ինստիտուցիոնալ առումով այն կհանգեցնի դատական ակտերի վերանայման փուլերի միջև եղած գործառութային կապիխախտման և քրեադատավարական կարգավորումների միջև ներքին հակասությունների առաջացման։ </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 xml:space="preserve">Այսպես, դատական ակտի վերանայման վարույթ հարուցելու փուլում բողոքին ներկայացվող պահանջները ստուգվում են առերևույթության մակարդակով </w:t>
            </w:r>
            <w:r w:rsidRPr="0095032F">
              <w:rPr>
                <w:rFonts w:ascii="GHEA Grapalat" w:hAnsi="GHEA Grapalat"/>
                <w:sz w:val="24"/>
                <w:szCs w:val="24"/>
              </w:rPr>
              <w:t>(</w:t>
            </w:r>
            <w:r w:rsidRPr="0095032F">
              <w:rPr>
                <w:rFonts w:ascii="GHEA Grapalat" w:hAnsi="GHEA Grapalat"/>
                <w:sz w:val="24"/>
                <w:szCs w:val="24"/>
                <w:lang w:val="hy-AM"/>
              </w:rPr>
              <w:t>այս մասին են վկայում ՀՀ քրեական դատավարության օրենսգրքի 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8-րդ հոդվածի 2-րդ մասի 6-րդ կետով ամրագրված՝ վերանայման վարույթի հարուցումը մերժելու համասեռ հիմքերը, օրինակ՝ վերանայման վարույթի հարուցումը մերժելու հիմք է ներ երևան եկած հանգամանքի առերևույթ բացակայությունը</w:t>
            </w:r>
            <w:r w:rsidRPr="0095032F">
              <w:rPr>
                <w:rFonts w:ascii="GHEA Grapalat" w:hAnsi="GHEA Grapalat"/>
                <w:sz w:val="24"/>
                <w:szCs w:val="24"/>
              </w:rPr>
              <w:t>)</w:t>
            </w:r>
            <w:r w:rsidRPr="0095032F">
              <w:rPr>
                <w:rFonts w:ascii="GHEA Grapalat" w:hAnsi="GHEA Grapalat"/>
                <w:sz w:val="24"/>
                <w:szCs w:val="24"/>
                <w:lang w:val="hy-AM"/>
              </w:rPr>
              <w:t xml:space="preserve">։ Նախագծի տրամաբանությամբ ստացվում է, որ </w:t>
            </w:r>
            <w:r w:rsidRPr="0095032F">
              <w:rPr>
                <w:rFonts w:ascii="GHEA Grapalat" w:hAnsi="GHEA Grapalat"/>
                <w:sz w:val="24"/>
                <w:szCs w:val="24"/>
                <w:lang w:val="hy-AM"/>
              </w:rPr>
              <w:lastRenderedPageBreak/>
              <w:t>բարեկամանական կարգավորումը կամ միակողմանի հայտարարությունը հաստատելու մասին Մարդու իրավունքների եվրոպական դատարանի՝ դատական ակտի հիմքով վճռաբեկ բողոք ներկայացվելու դեպքում</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 դատական ակտի վերանայման հարցը լուծելիս Վճռաբեկ դատարանն առանց բողոքը վարույթ ընդունելու և վերանայման վարույթ հարուցելու պետք էիրականացնի բովանդակային ըստ էության քննություն և վերջնական որոշում կայացնի՝ գնահատելով, թե արդյոք դատական ակտի վերանայումը միակ և բացառիկ միջոցն է, թե ոչ։ Մինչդեռ, նոր հանգամանքի առերևույթ առկայությունն ինքնին արդեն իսկ պետք է բավարար լինի վերանայման վարույթ՝առավել համակողմանի քննության գործընթաց, սկզբնավորելու համար։ Ավելին, ստացվում է, որ Նախագծով առաջարկվող կարգավորումներով այդ ողջ քննությունը պետք է իրականացվի տասն օրում, որովհետև նոր հանգամանքով դատական ակտի վերանայումը մերժելու դեպքում ՀՀ քրեական դատվաարության օրենսգրքի </w:t>
            </w:r>
            <w:r w:rsidRPr="0095032F">
              <w:rPr>
                <w:rFonts w:ascii="GHEA Grapalat" w:hAnsi="GHEA Grapalat"/>
                <w:sz w:val="24"/>
                <w:szCs w:val="24"/>
                <w:lang w:val="hy-AM"/>
              </w:rPr>
              <w:lastRenderedPageBreak/>
              <w:t>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8-րդ հոդվածի 3-րդ մասը պահանջում է որոշում կայացնել տասնօրյա ժամկետում։ </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 xml:space="preserve">Բացի այդ, հարկ է նկատել, որ Նախագծի կարգավորումների ընդունման պայմաններում կխախտվի ոչ միայն որպես նոր հանգամանք՝ Մարդու իրավունքների եվրոպական դատարանի դատական ակտերի հիմքով ներկայացվող բողոքների քննության ընդհանուր տրամաբանությունը, այլ նաև ինստիտուցիոնալ հակասություն կառաջանա այդ հիմքով և մյուս նոր հանգամանքների հիմքով ներկայացվող բողոքների քննության ընթացակարգում։ Այսինքն՝ կստացվի այնպես, որ եթե դատական ակտի վերանայումն անձի խախտված իրավունքների միակ և բացառիկ միջոցը չէ, ապա որպես նոր հանգամանք վկայակոչված՝ Մարդու իրավունքների եվրոպական դատարանի դատական ակտերի հիմքով ներկայացվող բողոքների վարույթ ընդունումը ենթակա է լինելու մերժման, իսկ օրինակ՝ Սահմանադրական դատարանի դատական ակտի հիմքով ներկայացվող </w:t>
            </w:r>
            <w:r w:rsidRPr="0095032F">
              <w:rPr>
                <w:rFonts w:ascii="GHEA Grapalat" w:hAnsi="GHEA Grapalat"/>
                <w:sz w:val="24"/>
                <w:szCs w:val="24"/>
                <w:lang w:val="hy-AM"/>
              </w:rPr>
              <w:lastRenderedPageBreak/>
              <w:t xml:space="preserve">բողոքները՝ վարույթ ընդունման և համապատասխանաբար՝ նաև վերանայման վարույթի հարուցման։ Ընդ որում, նշված տարբերակված մոտեցումը կիրառելի է լինելու նաև մնացած մյուս նոր հանգամանքների դեպքում ևս։ Արդյունքում, միևնույն հարցի վերաբերյալ նախատեսվելու են տարբերակված ընթացակարգեր՝ առանց օբյեկտիվ հիմքի և իրավաչափ նպատակի, քանի որ բոլոր դեպքերում, երբ </w:t>
            </w:r>
            <w:r w:rsidRPr="0095032F">
              <w:rPr>
                <w:rFonts w:ascii="GHEA Grapalat" w:hAnsi="GHEA Grapalat"/>
                <w:sz w:val="24"/>
                <w:szCs w:val="24"/>
              </w:rPr>
              <w:t>(</w:t>
            </w:r>
            <w:r w:rsidRPr="0095032F">
              <w:rPr>
                <w:rFonts w:ascii="GHEA Grapalat" w:hAnsi="GHEA Grapalat"/>
                <w:sz w:val="24"/>
                <w:szCs w:val="24"/>
                <w:lang w:val="hy-AM"/>
              </w:rPr>
              <w:t>տեսականորեն</w:t>
            </w:r>
            <w:r w:rsidRPr="0095032F">
              <w:rPr>
                <w:rFonts w:ascii="GHEA Grapalat" w:hAnsi="GHEA Grapalat"/>
                <w:sz w:val="24"/>
                <w:szCs w:val="24"/>
              </w:rPr>
              <w:t>)</w:t>
            </w:r>
            <w:r w:rsidRPr="0095032F">
              <w:rPr>
                <w:rFonts w:ascii="GHEA Grapalat" w:hAnsi="GHEA Grapalat"/>
                <w:sz w:val="24"/>
                <w:szCs w:val="24"/>
                <w:lang w:val="hy-AM"/>
              </w:rPr>
              <w:t xml:space="preserve"> առանց համակողմանի քննության, ի սկզբանե պարզ լինի, որ դատական ակտի վերանայումն անձի խախտված իրավունքների վերականգնման միակ և բացառիկ միջոցը չէ, ապա անիմաստ կլինի վերանայման վարույթի հարուցումը և հետագա քննության կատարումը։ </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Այսպիսով, վերոնժյալ պատճառաբանությունների հիման վրա նպատակահարմար չենք գտնում ՀՀ քրեական դատավարության օրենսգրքի 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4-րդ հոդվածի 1-ին մասի 2-րդ կետում և 426</w:t>
            </w:r>
            <w:r w:rsidRPr="0095032F">
              <w:rPr>
                <w:rFonts w:ascii="MS Gothic" w:eastAsia="MS Gothic" w:hAnsi="MS Gothic" w:cs="MS Gothic" w:hint="eastAsia"/>
                <w:sz w:val="24"/>
                <w:szCs w:val="24"/>
                <w:lang w:val="hy-AM"/>
              </w:rPr>
              <w:t>․</w:t>
            </w:r>
            <w:r w:rsidRPr="0095032F">
              <w:rPr>
                <w:rFonts w:ascii="GHEA Grapalat" w:hAnsi="GHEA Grapalat"/>
                <w:sz w:val="24"/>
                <w:szCs w:val="24"/>
                <w:lang w:val="hy-AM"/>
              </w:rPr>
              <w:t xml:space="preserve">8-րդ հոդվածի 2-րդ մասի 6-րդ կետում՝ &lt;եթե անձի խախտված իրավունքները հնարավոր է </w:t>
            </w:r>
            <w:r w:rsidRPr="0095032F">
              <w:rPr>
                <w:rFonts w:ascii="GHEA Grapalat" w:hAnsi="GHEA Grapalat"/>
                <w:sz w:val="24"/>
                <w:szCs w:val="24"/>
                <w:lang w:val="hy-AM"/>
              </w:rPr>
              <w:lastRenderedPageBreak/>
              <w:t>վերականգնել միայն դատական ակտի վերանայմամբ&gt; պայմանի նախատեսումը։</w:t>
            </w:r>
          </w:p>
          <w:p w:rsidR="00B32CCB" w:rsidRPr="0095032F" w:rsidRDefault="00B32CCB" w:rsidP="00B32CCB">
            <w:pPr>
              <w:ind w:left="76"/>
              <w:jc w:val="both"/>
              <w:rPr>
                <w:rFonts w:ascii="GHEA Grapalat" w:hAnsi="GHEA Grapalat"/>
                <w:sz w:val="24"/>
                <w:szCs w:val="24"/>
                <w:lang w:val="hy-AM"/>
              </w:rPr>
            </w:pPr>
            <w:r w:rsidRPr="0095032F">
              <w:rPr>
                <w:rFonts w:ascii="GHEA Grapalat" w:hAnsi="GHEA Grapalat"/>
                <w:sz w:val="24"/>
                <w:szCs w:val="24"/>
                <w:lang w:val="hy-AM"/>
              </w:rPr>
              <w:t>Վերոգրյալի հետ մեկտեղ, նկատի ունենալով, որ Մարդու իրավունքների եվրոպական դատարանում գտնվող գործերով արդեն իսկ Հայաստանի Հանրապետության կողմից արվել են միակողմանի հայտարարություններ, որոնք նաև հաստատվել են դատարանի կողմից, դրանց հիման վրաներկայումս նաև բերվել են վճռաբեկ բողոքներ՝ նոր հանգամքնի հիմքով ներպետական դատական ակտը վերանայելու խնդրանքով, նախընտրելի կլիներ, որ բարեկամական կարգավորումը կամ միակողմանի հայտարարությունը հաստատած միջազգային դատարանի որոշումը որպես նոր հանգամանք դիտարկելու հիմքի առումով Նախագծի</w:t>
            </w:r>
            <w:r w:rsidRPr="0095032F">
              <w:rPr>
                <w:rFonts w:ascii="GHEA Grapalat" w:hAnsi="GHEA Grapalat"/>
                <w:sz w:val="24"/>
                <w:szCs w:val="24"/>
              </w:rPr>
              <w:t xml:space="preserve"> </w:t>
            </w:r>
            <w:r w:rsidRPr="0095032F">
              <w:rPr>
                <w:rFonts w:ascii="GHEA Grapalat" w:hAnsi="GHEA Grapalat"/>
                <w:sz w:val="24"/>
                <w:szCs w:val="24"/>
                <w:lang w:val="hy-AM"/>
              </w:rPr>
              <w:t xml:space="preserve">ընդունումը կազմակերպվեր հնարավորինս սեղմ ժամկետի ընթացքում։ </w:t>
            </w:r>
          </w:p>
          <w:p w:rsidR="00B32CCB" w:rsidRPr="0095032F" w:rsidRDefault="00B32CCB" w:rsidP="00B32CCB">
            <w:pPr>
              <w:ind w:left="76"/>
              <w:jc w:val="both"/>
              <w:rPr>
                <w:rFonts w:ascii="GHEA Grapalat" w:hAnsi="GHEA Grapalat"/>
                <w:sz w:val="24"/>
                <w:szCs w:val="24"/>
                <w:lang w:val="hy-AM"/>
              </w:rPr>
            </w:pPr>
          </w:p>
        </w:tc>
        <w:tc>
          <w:tcPr>
            <w:tcW w:w="4420" w:type="dxa"/>
          </w:tcPr>
          <w:p w:rsidR="00B32CCB" w:rsidRPr="0095032F" w:rsidRDefault="00B32CCB" w:rsidP="00B32CCB">
            <w:pPr>
              <w:jc w:val="both"/>
              <w:rPr>
                <w:rFonts w:ascii="GHEA Grapalat" w:hAnsi="GHEA Grapalat"/>
                <w:sz w:val="24"/>
                <w:szCs w:val="24"/>
                <w:lang w:val="hy-AM"/>
              </w:rPr>
            </w:pPr>
            <w:r w:rsidRPr="0095032F">
              <w:rPr>
                <w:rFonts w:ascii="GHEA Grapalat" w:hAnsi="GHEA Grapalat"/>
                <w:sz w:val="24"/>
                <w:szCs w:val="24"/>
                <w:lang w:val="hy-AM"/>
              </w:rPr>
              <w:lastRenderedPageBreak/>
              <w:t>Ընդունվել է։ Նախագծում կատարվել են համապատասխան փոփոխություններ։</w:t>
            </w:r>
            <w:r w:rsidRPr="0095032F">
              <w:rPr>
                <w:rFonts w:ascii="GHEA Grapalat" w:hAnsi="GHEA Grapalat"/>
                <w:sz w:val="24"/>
                <w:szCs w:val="24"/>
              </w:rPr>
              <w:t xml:space="preserve"> </w:t>
            </w:r>
            <w:r w:rsidRPr="0095032F">
              <w:rPr>
                <w:rFonts w:ascii="GHEA Grapalat" w:hAnsi="GHEA Grapalat"/>
                <w:sz w:val="24"/>
                <w:szCs w:val="24"/>
                <w:lang w:val="hy-AM"/>
              </w:rPr>
              <w:t>Խնդրո առարկա կարգավորումը հանվել է նախագծերի փաթեթից։</w:t>
            </w:r>
          </w:p>
        </w:tc>
      </w:tr>
    </w:tbl>
    <w:p w:rsidR="00506570" w:rsidRPr="0095032F" w:rsidRDefault="00506570" w:rsidP="00506570">
      <w:pPr>
        <w:jc w:val="both"/>
        <w:rPr>
          <w:rFonts w:ascii="GHEA Grapalat" w:hAnsi="GHEA Grapalat"/>
          <w:b/>
          <w:sz w:val="24"/>
          <w:szCs w:val="24"/>
          <w:lang w:val="hy-AM"/>
        </w:rPr>
      </w:pPr>
    </w:p>
    <w:sectPr w:rsidR="00506570" w:rsidRPr="0095032F" w:rsidSect="0050657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5D0" w:rsidRDefault="000635D0" w:rsidP="00B60187">
      <w:pPr>
        <w:spacing w:after="0" w:line="240" w:lineRule="auto"/>
      </w:pPr>
      <w:r>
        <w:separator/>
      </w:r>
    </w:p>
  </w:endnote>
  <w:endnote w:type="continuationSeparator" w:id="0">
    <w:p w:rsidR="000635D0" w:rsidRDefault="000635D0" w:rsidP="00B60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5D0" w:rsidRDefault="000635D0" w:rsidP="00B60187">
      <w:pPr>
        <w:spacing w:after="0" w:line="240" w:lineRule="auto"/>
      </w:pPr>
      <w:r>
        <w:separator/>
      </w:r>
    </w:p>
  </w:footnote>
  <w:footnote w:type="continuationSeparator" w:id="0">
    <w:p w:rsidR="000635D0" w:rsidRDefault="000635D0" w:rsidP="00B60187">
      <w:pPr>
        <w:spacing w:after="0" w:line="240" w:lineRule="auto"/>
      </w:pPr>
      <w:r>
        <w:continuationSeparator/>
      </w:r>
    </w:p>
  </w:footnote>
  <w:footnote w:id="1">
    <w:p w:rsidR="008A6600" w:rsidRDefault="008A6600" w:rsidP="00B60187">
      <w:pPr>
        <w:pStyle w:val="Default"/>
        <w:jc w:val="both"/>
        <w:rPr>
          <w:rFonts w:hint="eastAsia"/>
        </w:rPr>
      </w:pPr>
      <w:r>
        <w:rPr>
          <w:rFonts w:ascii="GHEA Grapalat" w:eastAsia="GHEA Grapalat" w:hAnsi="GHEA Grapalat" w:cs="GHEA Grapalat"/>
          <w:sz w:val="24"/>
          <w:szCs w:val="24"/>
          <w:vertAlign w:val="superscript"/>
        </w:rPr>
        <w:footnoteRef/>
      </w:r>
      <w:r>
        <w:rPr>
          <w:rFonts w:ascii="GHEA Grapalat" w:hAnsi="GHEA Grapalat"/>
          <w:sz w:val="20"/>
          <w:szCs w:val="20"/>
          <w:lang w:val="en-US"/>
        </w:rPr>
        <w:t xml:space="preserve">Տե՛ս </w:t>
      </w:r>
      <w:r>
        <w:rPr>
          <w:rFonts w:ascii="GHEA Grapalat" w:hAnsi="GHEA Grapalat"/>
          <w:i/>
          <w:iCs/>
          <w:sz w:val="20"/>
          <w:szCs w:val="20"/>
          <w:lang w:val="en-US"/>
        </w:rPr>
        <w:t>Rozhin v. Russia</w:t>
      </w:r>
      <w:r>
        <w:rPr>
          <w:rFonts w:ascii="GHEA Grapalat" w:hAnsi="GHEA Grapalat"/>
          <w:sz w:val="20"/>
          <w:szCs w:val="20"/>
          <w:lang w:val="en-US"/>
        </w:rPr>
        <w:t xml:space="preserve"> գործով Մարդու իրավունքների եվրոպական դատարանի` 2011 թվականի դեկտեմբերի 6-ի վճիռը, գանգատ թիվ 50098/07, 23-րդ կետ։</w:t>
      </w:r>
    </w:p>
  </w:footnote>
  <w:footnote w:id="2">
    <w:p w:rsidR="008A6600" w:rsidRDefault="008A6600" w:rsidP="00B60187">
      <w:pPr>
        <w:pStyle w:val="Default"/>
        <w:jc w:val="both"/>
        <w:rPr>
          <w:rFonts w:hint="eastAsia"/>
        </w:rPr>
      </w:pPr>
      <w:r>
        <w:rPr>
          <w:rFonts w:ascii="GHEA Grapalat" w:eastAsia="GHEA Grapalat" w:hAnsi="GHEA Grapalat" w:cs="GHEA Grapalat"/>
          <w:sz w:val="24"/>
          <w:szCs w:val="24"/>
          <w:vertAlign w:val="superscript"/>
        </w:rPr>
        <w:footnoteRef/>
      </w:r>
      <w:r>
        <w:rPr>
          <w:rFonts w:ascii="GHEA Grapalat" w:hAnsi="GHEA Grapalat"/>
          <w:sz w:val="20"/>
          <w:szCs w:val="20"/>
        </w:rPr>
        <w:t xml:space="preserve">Տե՛ս Մարդու իրավունքների եվրոպական դատարանի` </w:t>
      </w:r>
      <w:r>
        <w:rPr>
          <w:rFonts w:ascii="GHEA Grapalat" w:hAnsi="GHEA Grapalat"/>
          <w:i/>
          <w:iCs/>
          <w:sz w:val="20"/>
          <w:szCs w:val="20"/>
        </w:rPr>
        <w:t>Vojtěchová v. Slovakia</w:t>
      </w:r>
      <w:r>
        <w:rPr>
          <w:rFonts w:ascii="GHEA Grapalat" w:hAnsi="GHEA Grapalat"/>
          <w:sz w:val="20"/>
          <w:szCs w:val="20"/>
        </w:rPr>
        <w:t xml:space="preserve"> գործով 2012 թվականի սեպտեմբերի 25-ի վճիռը, գանգատ թիվ 59102/08, 26-28-րդ կետեր, </w:t>
      </w:r>
      <w:r>
        <w:rPr>
          <w:rFonts w:ascii="GHEA Grapalat" w:hAnsi="GHEA Grapalat"/>
          <w:i/>
          <w:iCs/>
          <w:sz w:val="20"/>
          <w:szCs w:val="20"/>
        </w:rPr>
        <w:t>Hakimi v. Belgium</w:t>
      </w:r>
      <w:r>
        <w:rPr>
          <w:rFonts w:ascii="GHEA Grapalat" w:hAnsi="GHEA Grapalat"/>
          <w:sz w:val="20"/>
          <w:szCs w:val="20"/>
        </w:rPr>
        <w:t xml:space="preserve"> գործով 2010 թվականի հունիսի 29-ի վճիռը, գանգատ թիվ 665/08, 29-րդ կետ, </w:t>
      </w:r>
      <w:r>
        <w:rPr>
          <w:rFonts w:ascii="GHEA Grapalat" w:hAnsi="GHEA Grapalat"/>
          <w:i/>
          <w:iCs/>
          <w:sz w:val="20"/>
          <w:szCs w:val="20"/>
        </w:rPr>
        <w:t xml:space="preserve">Davydov v. Russia </w:t>
      </w:r>
      <w:r>
        <w:rPr>
          <w:rFonts w:ascii="GHEA Grapalat" w:hAnsi="GHEA Grapalat"/>
          <w:sz w:val="20"/>
          <w:szCs w:val="20"/>
        </w:rPr>
        <w:t>գործով</w:t>
      </w:r>
      <w:r>
        <w:rPr>
          <w:rFonts w:ascii="GHEA Grapalat" w:hAnsi="GHEA Grapalat"/>
          <w:i/>
          <w:iCs/>
          <w:sz w:val="20"/>
          <w:szCs w:val="20"/>
        </w:rPr>
        <w:t xml:space="preserve"> </w:t>
      </w:r>
      <w:r>
        <w:rPr>
          <w:rFonts w:ascii="GHEA Grapalat" w:hAnsi="GHEA Grapalat"/>
          <w:sz w:val="20"/>
          <w:szCs w:val="20"/>
        </w:rPr>
        <w:t xml:space="preserve">2014 թվականի հոկտեմբերի 30-ի վճիռը, գանգատ թիվ 18967/07, 31-32-րդ կետեր, </w:t>
      </w:r>
      <w:r>
        <w:rPr>
          <w:rFonts w:ascii="GHEA Grapalat" w:hAnsi="GHEA Grapalat"/>
          <w:i/>
          <w:iCs/>
          <w:sz w:val="20"/>
          <w:szCs w:val="20"/>
          <w:lang w:val="it-IT"/>
        </w:rPr>
        <w:t>Dridi v. Germany</w:t>
      </w:r>
      <w:r>
        <w:rPr>
          <w:rFonts w:ascii="GHEA Grapalat" w:hAnsi="GHEA Grapalat"/>
          <w:sz w:val="20"/>
          <w:szCs w:val="20"/>
        </w:rPr>
        <w:t xml:space="preserve"> գործով 2018 թվականի հուլիսի 26-ի վճիռը, գանգատ թիվ 35778/11, կետեր 21-26:</w:t>
      </w:r>
    </w:p>
  </w:footnote>
  <w:footnote w:id="3">
    <w:p w:rsidR="008A6600" w:rsidRDefault="008A6600" w:rsidP="00B60187">
      <w:pPr>
        <w:pStyle w:val="Default"/>
        <w:jc w:val="both"/>
        <w:rPr>
          <w:rFonts w:hint="eastAsia"/>
        </w:rPr>
      </w:pPr>
      <w:r>
        <w:rPr>
          <w:rFonts w:ascii="GHEA Grapalat" w:eastAsia="GHEA Grapalat" w:hAnsi="GHEA Grapalat" w:cs="GHEA Grapalat"/>
          <w:sz w:val="24"/>
          <w:szCs w:val="24"/>
          <w:vertAlign w:val="superscript"/>
        </w:rPr>
        <w:footnoteRef/>
      </w:r>
      <w:r>
        <w:rPr>
          <w:rFonts w:ascii="GHEA Grapalat" w:hAnsi="GHEA Grapalat"/>
          <w:sz w:val="20"/>
          <w:szCs w:val="20"/>
        </w:rPr>
        <w:t xml:space="preserve">Տե՛ս Մարդու իրավունքների եվրոպական դատարանի` </w:t>
      </w:r>
      <w:r>
        <w:rPr>
          <w:rFonts w:ascii="GHEA Grapalat" w:hAnsi="GHEA Grapalat"/>
          <w:i/>
          <w:iCs/>
          <w:sz w:val="20"/>
          <w:szCs w:val="20"/>
          <w:lang w:val="en-US"/>
        </w:rPr>
        <w:t>Romic</w:t>
      </w:r>
      <w:r w:rsidRPr="0009318B">
        <w:rPr>
          <w:rFonts w:ascii="GHEA Grapalat" w:hAnsi="GHEA Grapalat"/>
          <w:i/>
          <w:iCs/>
          <w:sz w:val="20"/>
          <w:szCs w:val="20"/>
        </w:rPr>
        <w:t xml:space="preserve"> </w:t>
      </w:r>
      <w:r>
        <w:rPr>
          <w:rFonts w:ascii="GHEA Grapalat" w:hAnsi="GHEA Grapalat"/>
          <w:i/>
          <w:iCs/>
          <w:sz w:val="20"/>
          <w:szCs w:val="20"/>
          <w:lang w:val="en-US"/>
        </w:rPr>
        <w:t>and</w:t>
      </w:r>
      <w:r w:rsidRPr="0009318B">
        <w:rPr>
          <w:rFonts w:ascii="GHEA Grapalat" w:hAnsi="GHEA Grapalat"/>
          <w:i/>
          <w:iCs/>
          <w:sz w:val="20"/>
          <w:szCs w:val="20"/>
        </w:rPr>
        <w:t xml:space="preserve"> </w:t>
      </w:r>
      <w:r>
        <w:rPr>
          <w:rFonts w:ascii="GHEA Grapalat" w:hAnsi="GHEA Grapalat"/>
          <w:i/>
          <w:iCs/>
          <w:sz w:val="20"/>
          <w:szCs w:val="20"/>
          <w:lang w:val="en-US"/>
        </w:rPr>
        <w:t>others</w:t>
      </w:r>
      <w:r w:rsidRPr="0009318B">
        <w:rPr>
          <w:rFonts w:ascii="GHEA Grapalat" w:hAnsi="GHEA Grapalat"/>
          <w:i/>
          <w:iCs/>
          <w:sz w:val="20"/>
          <w:szCs w:val="20"/>
        </w:rPr>
        <w:t xml:space="preserve"> </w:t>
      </w:r>
      <w:r>
        <w:rPr>
          <w:rFonts w:ascii="GHEA Grapalat" w:hAnsi="GHEA Grapalat"/>
          <w:i/>
          <w:iCs/>
          <w:sz w:val="20"/>
          <w:szCs w:val="20"/>
          <w:lang w:val="en-US"/>
        </w:rPr>
        <w:t>v</w:t>
      </w:r>
      <w:r w:rsidRPr="0009318B">
        <w:rPr>
          <w:rFonts w:ascii="GHEA Grapalat" w:hAnsi="GHEA Grapalat"/>
          <w:i/>
          <w:iCs/>
          <w:sz w:val="20"/>
          <w:szCs w:val="20"/>
        </w:rPr>
        <w:t xml:space="preserve">. </w:t>
      </w:r>
      <w:r>
        <w:rPr>
          <w:rFonts w:ascii="GHEA Grapalat" w:hAnsi="GHEA Grapalat"/>
          <w:i/>
          <w:iCs/>
          <w:sz w:val="20"/>
          <w:szCs w:val="20"/>
          <w:lang w:val="en-US"/>
        </w:rPr>
        <w:t>Croatia</w:t>
      </w:r>
      <w:r>
        <w:rPr>
          <w:rFonts w:ascii="GHEA Grapalat" w:hAnsi="GHEA Grapalat"/>
          <w:sz w:val="20"/>
          <w:szCs w:val="20"/>
        </w:rPr>
        <w:t xml:space="preserve"> գործով 2020 թվականի մայիսի 14-ի վճիռը, գանգատ թիվ 22238/13 և այլն, կետեր 85-86:</w:t>
      </w:r>
    </w:p>
  </w:footnote>
  <w:footnote w:id="4">
    <w:p w:rsidR="008A6600" w:rsidRDefault="008A6600" w:rsidP="00B60187">
      <w:pPr>
        <w:pStyle w:val="Default"/>
        <w:jc w:val="both"/>
        <w:rPr>
          <w:rFonts w:hint="eastAsia"/>
        </w:rPr>
      </w:pPr>
      <w:r>
        <w:rPr>
          <w:rFonts w:ascii="GHEA Grapalat" w:eastAsia="GHEA Grapalat" w:hAnsi="GHEA Grapalat" w:cs="GHEA Grapalat"/>
          <w:sz w:val="24"/>
          <w:szCs w:val="24"/>
          <w:vertAlign w:val="superscript"/>
        </w:rPr>
        <w:footnoteRef/>
      </w:r>
      <w:r>
        <w:rPr>
          <w:rFonts w:ascii="GHEA Grapalat" w:hAnsi="GHEA Grapalat"/>
          <w:sz w:val="20"/>
          <w:szCs w:val="20"/>
          <w:lang w:val="en-US"/>
        </w:rPr>
        <w:t>Տե՛ս</w:t>
      </w:r>
      <w:r w:rsidRPr="0009318B">
        <w:rPr>
          <w:rFonts w:ascii="GHEA Grapalat" w:hAnsi="GHEA Grapalat"/>
          <w:sz w:val="20"/>
          <w:szCs w:val="20"/>
        </w:rPr>
        <w:t xml:space="preserve"> </w:t>
      </w:r>
      <w:r>
        <w:rPr>
          <w:rFonts w:ascii="GHEA Grapalat" w:hAnsi="GHEA Grapalat"/>
          <w:sz w:val="20"/>
          <w:szCs w:val="20"/>
          <w:lang w:val="en-US"/>
        </w:rPr>
        <w:t>mutatis</w:t>
      </w:r>
      <w:r w:rsidRPr="0009318B">
        <w:rPr>
          <w:rFonts w:ascii="GHEA Grapalat" w:hAnsi="GHEA Grapalat"/>
          <w:sz w:val="20"/>
          <w:szCs w:val="20"/>
        </w:rPr>
        <w:t xml:space="preserve"> </w:t>
      </w:r>
      <w:r>
        <w:rPr>
          <w:rFonts w:ascii="GHEA Grapalat" w:hAnsi="GHEA Grapalat"/>
          <w:sz w:val="20"/>
          <w:szCs w:val="20"/>
          <w:lang w:val="en-US"/>
        </w:rPr>
        <w:t>mutandis</w:t>
      </w:r>
      <w:r w:rsidRPr="0009318B">
        <w:rPr>
          <w:rFonts w:ascii="GHEA Grapalat" w:hAnsi="GHEA Grapalat"/>
          <w:sz w:val="20"/>
          <w:szCs w:val="20"/>
        </w:rPr>
        <w:t xml:space="preserve"> </w:t>
      </w:r>
      <w:r>
        <w:rPr>
          <w:rFonts w:ascii="GHEA Grapalat" w:hAnsi="GHEA Grapalat"/>
          <w:i/>
          <w:iCs/>
          <w:sz w:val="20"/>
          <w:szCs w:val="20"/>
          <w:lang w:val="en-US"/>
        </w:rPr>
        <w:t>Igranov</w:t>
      </w:r>
      <w:r w:rsidRPr="0009318B">
        <w:rPr>
          <w:rFonts w:ascii="GHEA Grapalat" w:hAnsi="GHEA Grapalat"/>
          <w:i/>
          <w:iCs/>
          <w:sz w:val="20"/>
          <w:szCs w:val="20"/>
        </w:rPr>
        <w:t xml:space="preserve"> </w:t>
      </w:r>
      <w:r>
        <w:rPr>
          <w:rFonts w:ascii="GHEA Grapalat" w:hAnsi="GHEA Grapalat"/>
          <w:i/>
          <w:iCs/>
          <w:sz w:val="20"/>
          <w:szCs w:val="20"/>
          <w:lang w:val="en-US"/>
        </w:rPr>
        <w:t>and</w:t>
      </w:r>
      <w:r w:rsidRPr="0009318B">
        <w:rPr>
          <w:rFonts w:ascii="GHEA Grapalat" w:hAnsi="GHEA Grapalat"/>
          <w:i/>
          <w:iCs/>
          <w:sz w:val="20"/>
          <w:szCs w:val="20"/>
        </w:rPr>
        <w:t xml:space="preserve"> </w:t>
      </w:r>
      <w:r>
        <w:rPr>
          <w:rFonts w:ascii="GHEA Grapalat" w:hAnsi="GHEA Grapalat"/>
          <w:i/>
          <w:iCs/>
          <w:sz w:val="20"/>
          <w:szCs w:val="20"/>
          <w:lang w:val="en-US"/>
        </w:rPr>
        <w:t>others</w:t>
      </w:r>
      <w:r w:rsidRPr="0009318B">
        <w:rPr>
          <w:rFonts w:ascii="GHEA Grapalat" w:hAnsi="GHEA Grapalat"/>
          <w:i/>
          <w:iCs/>
          <w:sz w:val="20"/>
          <w:szCs w:val="20"/>
        </w:rPr>
        <w:t xml:space="preserve"> </w:t>
      </w:r>
      <w:r>
        <w:rPr>
          <w:rFonts w:ascii="GHEA Grapalat" w:hAnsi="GHEA Grapalat"/>
          <w:i/>
          <w:iCs/>
          <w:sz w:val="20"/>
          <w:szCs w:val="20"/>
          <w:lang w:val="en-US"/>
        </w:rPr>
        <w:t>v</w:t>
      </w:r>
      <w:r w:rsidRPr="0009318B">
        <w:rPr>
          <w:rFonts w:ascii="GHEA Grapalat" w:hAnsi="GHEA Grapalat"/>
          <w:i/>
          <w:iCs/>
          <w:sz w:val="20"/>
          <w:szCs w:val="20"/>
        </w:rPr>
        <w:t xml:space="preserve">. </w:t>
      </w:r>
      <w:r>
        <w:rPr>
          <w:rFonts w:ascii="GHEA Grapalat" w:hAnsi="GHEA Grapalat"/>
          <w:i/>
          <w:iCs/>
          <w:sz w:val="20"/>
          <w:szCs w:val="20"/>
          <w:lang w:val="en-US"/>
        </w:rPr>
        <w:t>Russia</w:t>
      </w:r>
      <w:r w:rsidRPr="0009318B">
        <w:rPr>
          <w:rFonts w:ascii="GHEA Grapalat" w:hAnsi="GHEA Grapalat"/>
          <w:sz w:val="20"/>
          <w:szCs w:val="20"/>
        </w:rPr>
        <w:t xml:space="preserve"> </w:t>
      </w:r>
      <w:r>
        <w:rPr>
          <w:rFonts w:ascii="GHEA Grapalat" w:hAnsi="GHEA Grapalat"/>
          <w:sz w:val="20"/>
          <w:szCs w:val="20"/>
          <w:lang w:val="en-US"/>
        </w:rPr>
        <w:t>գործով</w:t>
      </w:r>
      <w:r w:rsidRPr="0009318B">
        <w:rPr>
          <w:rFonts w:ascii="GHEA Grapalat" w:hAnsi="GHEA Grapalat"/>
          <w:sz w:val="20"/>
          <w:szCs w:val="20"/>
        </w:rPr>
        <w:t xml:space="preserve"> </w:t>
      </w:r>
      <w:r>
        <w:rPr>
          <w:rFonts w:ascii="GHEA Grapalat" w:hAnsi="GHEA Grapalat"/>
          <w:sz w:val="20"/>
          <w:szCs w:val="20"/>
          <w:lang w:val="en-US"/>
        </w:rPr>
        <w:t>Մարդու</w:t>
      </w:r>
      <w:r w:rsidRPr="0009318B">
        <w:rPr>
          <w:rFonts w:ascii="GHEA Grapalat" w:hAnsi="GHEA Grapalat"/>
          <w:sz w:val="20"/>
          <w:szCs w:val="20"/>
        </w:rPr>
        <w:t xml:space="preserve"> </w:t>
      </w:r>
      <w:r>
        <w:rPr>
          <w:rFonts w:ascii="GHEA Grapalat" w:hAnsi="GHEA Grapalat"/>
          <w:sz w:val="20"/>
          <w:szCs w:val="20"/>
          <w:lang w:val="en-US"/>
        </w:rPr>
        <w:t>իրավունքների</w:t>
      </w:r>
      <w:r w:rsidRPr="0009318B">
        <w:rPr>
          <w:rFonts w:ascii="GHEA Grapalat" w:hAnsi="GHEA Grapalat"/>
          <w:sz w:val="20"/>
          <w:szCs w:val="20"/>
        </w:rPr>
        <w:t xml:space="preserve"> </w:t>
      </w:r>
      <w:r>
        <w:rPr>
          <w:rFonts w:ascii="GHEA Grapalat" w:hAnsi="GHEA Grapalat"/>
          <w:sz w:val="20"/>
          <w:szCs w:val="20"/>
          <w:lang w:val="en-US"/>
        </w:rPr>
        <w:t>եվրոպական</w:t>
      </w:r>
      <w:r w:rsidRPr="0009318B">
        <w:rPr>
          <w:rFonts w:ascii="GHEA Grapalat" w:hAnsi="GHEA Grapalat"/>
          <w:sz w:val="20"/>
          <w:szCs w:val="20"/>
        </w:rPr>
        <w:t xml:space="preserve"> </w:t>
      </w:r>
      <w:r>
        <w:rPr>
          <w:rFonts w:ascii="GHEA Grapalat" w:hAnsi="GHEA Grapalat"/>
          <w:sz w:val="20"/>
          <w:szCs w:val="20"/>
          <w:lang w:val="en-US"/>
        </w:rPr>
        <w:t>դատարանի</w:t>
      </w:r>
      <w:r w:rsidRPr="0009318B">
        <w:rPr>
          <w:rFonts w:ascii="GHEA Grapalat" w:hAnsi="GHEA Grapalat"/>
          <w:sz w:val="20"/>
          <w:szCs w:val="20"/>
        </w:rPr>
        <w:t xml:space="preserve">` 2018 </w:t>
      </w:r>
      <w:r>
        <w:rPr>
          <w:rFonts w:ascii="GHEA Grapalat" w:hAnsi="GHEA Grapalat"/>
          <w:sz w:val="20"/>
          <w:szCs w:val="20"/>
          <w:lang w:val="en-US"/>
        </w:rPr>
        <w:t>թվականի</w:t>
      </w:r>
      <w:r w:rsidRPr="0009318B">
        <w:rPr>
          <w:rFonts w:ascii="GHEA Grapalat" w:hAnsi="GHEA Grapalat"/>
          <w:sz w:val="20"/>
          <w:szCs w:val="20"/>
        </w:rPr>
        <w:t xml:space="preserve"> </w:t>
      </w:r>
      <w:r>
        <w:rPr>
          <w:rFonts w:ascii="GHEA Grapalat" w:hAnsi="GHEA Grapalat"/>
          <w:sz w:val="20"/>
          <w:szCs w:val="20"/>
          <w:lang w:val="en-US"/>
        </w:rPr>
        <w:t>մարտի</w:t>
      </w:r>
      <w:r w:rsidRPr="0009318B">
        <w:rPr>
          <w:rFonts w:ascii="GHEA Grapalat" w:hAnsi="GHEA Grapalat"/>
          <w:sz w:val="20"/>
          <w:szCs w:val="20"/>
        </w:rPr>
        <w:t xml:space="preserve"> 20-</w:t>
      </w:r>
      <w:r>
        <w:rPr>
          <w:rFonts w:ascii="GHEA Grapalat" w:hAnsi="GHEA Grapalat"/>
          <w:sz w:val="20"/>
          <w:szCs w:val="20"/>
          <w:lang w:val="en-US"/>
        </w:rPr>
        <w:t>ի</w:t>
      </w:r>
      <w:r w:rsidRPr="0009318B">
        <w:rPr>
          <w:rFonts w:ascii="GHEA Grapalat" w:hAnsi="GHEA Grapalat"/>
          <w:sz w:val="20"/>
          <w:szCs w:val="20"/>
        </w:rPr>
        <w:t xml:space="preserve"> </w:t>
      </w:r>
      <w:r>
        <w:rPr>
          <w:rFonts w:ascii="GHEA Grapalat" w:hAnsi="GHEA Grapalat"/>
          <w:sz w:val="20"/>
          <w:szCs w:val="20"/>
          <w:lang w:val="en-US"/>
        </w:rPr>
        <w:t>վճիռը</w:t>
      </w:r>
      <w:r w:rsidRPr="0009318B">
        <w:rPr>
          <w:rFonts w:ascii="GHEA Grapalat" w:hAnsi="GHEA Grapalat"/>
          <w:sz w:val="20"/>
          <w:szCs w:val="20"/>
        </w:rPr>
        <w:t xml:space="preserve">, </w:t>
      </w:r>
      <w:r>
        <w:rPr>
          <w:rFonts w:ascii="GHEA Grapalat" w:hAnsi="GHEA Grapalat"/>
          <w:sz w:val="20"/>
          <w:szCs w:val="20"/>
          <w:lang w:val="en-US"/>
        </w:rPr>
        <w:t>գանգատներ</w:t>
      </w:r>
      <w:r w:rsidRPr="0009318B">
        <w:rPr>
          <w:rFonts w:ascii="GHEA Grapalat" w:hAnsi="GHEA Grapalat"/>
          <w:sz w:val="20"/>
          <w:szCs w:val="20"/>
        </w:rPr>
        <w:t xml:space="preserve"> </w:t>
      </w:r>
      <w:r>
        <w:rPr>
          <w:rFonts w:ascii="GHEA Grapalat" w:hAnsi="GHEA Grapalat"/>
          <w:sz w:val="20"/>
          <w:szCs w:val="20"/>
          <w:lang w:val="en-US"/>
        </w:rPr>
        <w:t>թիվ</w:t>
      </w:r>
      <w:r w:rsidRPr="0009318B">
        <w:rPr>
          <w:rFonts w:ascii="GHEA Grapalat" w:hAnsi="GHEA Grapalat"/>
          <w:sz w:val="20"/>
          <w:szCs w:val="20"/>
        </w:rPr>
        <w:t xml:space="preserve"> 42399/13 </w:t>
      </w:r>
      <w:r>
        <w:rPr>
          <w:rFonts w:ascii="GHEA Grapalat" w:hAnsi="GHEA Grapalat"/>
          <w:sz w:val="20"/>
          <w:szCs w:val="20"/>
          <w:lang w:val="en-US"/>
        </w:rPr>
        <w:t>և</w:t>
      </w:r>
      <w:r w:rsidRPr="0009318B">
        <w:rPr>
          <w:rFonts w:ascii="GHEA Grapalat" w:hAnsi="GHEA Grapalat"/>
          <w:sz w:val="20"/>
          <w:szCs w:val="20"/>
        </w:rPr>
        <w:t xml:space="preserve"> </w:t>
      </w:r>
      <w:r>
        <w:rPr>
          <w:rFonts w:ascii="GHEA Grapalat" w:hAnsi="GHEA Grapalat"/>
          <w:sz w:val="20"/>
          <w:szCs w:val="20"/>
          <w:lang w:val="en-US"/>
        </w:rPr>
        <w:t>այլ</w:t>
      </w:r>
      <w:r w:rsidRPr="0009318B">
        <w:rPr>
          <w:rFonts w:ascii="GHEA Grapalat" w:hAnsi="GHEA Grapalat"/>
          <w:sz w:val="20"/>
          <w:szCs w:val="20"/>
        </w:rPr>
        <w:t>, 26-</w:t>
      </w:r>
      <w:r>
        <w:rPr>
          <w:rFonts w:ascii="GHEA Grapalat" w:hAnsi="GHEA Grapalat"/>
          <w:sz w:val="20"/>
          <w:szCs w:val="20"/>
          <w:lang w:val="en-US"/>
        </w:rPr>
        <w:t>րդ</w:t>
      </w:r>
      <w:r w:rsidRPr="0009318B">
        <w:rPr>
          <w:rFonts w:ascii="GHEA Grapalat" w:hAnsi="GHEA Grapalat"/>
          <w:sz w:val="20"/>
          <w:szCs w:val="20"/>
        </w:rPr>
        <w:t xml:space="preserve"> </w:t>
      </w:r>
      <w:r>
        <w:rPr>
          <w:rFonts w:ascii="GHEA Grapalat" w:hAnsi="GHEA Grapalat"/>
          <w:sz w:val="20"/>
          <w:szCs w:val="20"/>
          <w:lang w:val="en-US"/>
        </w:rPr>
        <w:t>կետ։</w:t>
      </w:r>
    </w:p>
  </w:footnote>
  <w:footnote w:id="5">
    <w:p w:rsidR="008A6600" w:rsidRDefault="008A6600" w:rsidP="00B60187">
      <w:pPr>
        <w:pStyle w:val="Default"/>
        <w:jc w:val="both"/>
        <w:rPr>
          <w:rFonts w:hint="eastAsia"/>
        </w:rPr>
      </w:pPr>
      <w:r>
        <w:rPr>
          <w:rFonts w:ascii="GHEA Grapalat" w:eastAsia="GHEA Grapalat" w:hAnsi="GHEA Grapalat" w:cs="GHEA Grapalat"/>
          <w:sz w:val="24"/>
          <w:szCs w:val="24"/>
          <w:vertAlign w:val="superscript"/>
        </w:rPr>
        <w:footnoteRef/>
      </w:r>
      <w:r w:rsidRPr="0009318B">
        <w:rPr>
          <w:rFonts w:ascii="GHEA Grapalat" w:hAnsi="GHEA Grapalat"/>
          <w:sz w:val="20"/>
          <w:szCs w:val="20"/>
        </w:rPr>
        <w:t xml:space="preserve"> </w:t>
      </w:r>
      <w:r>
        <w:rPr>
          <w:rFonts w:ascii="GHEA Grapalat" w:hAnsi="GHEA Grapalat"/>
          <w:sz w:val="20"/>
          <w:szCs w:val="20"/>
          <w:lang w:val="en-US"/>
        </w:rPr>
        <w:t>Տե՛ս</w:t>
      </w:r>
      <w:r w:rsidRPr="0009318B">
        <w:rPr>
          <w:rFonts w:ascii="GHEA Grapalat" w:hAnsi="GHEA Grapalat"/>
          <w:sz w:val="20"/>
          <w:szCs w:val="20"/>
        </w:rPr>
        <w:t xml:space="preserve"> </w:t>
      </w:r>
      <w:r>
        <w:rPr>
          <w:rFonts w:ascii="GHEA Grapalat" w:hAnsi="GHEA Grapalat"/>
          <w:sz w:val="20"/>
          <w:szCs w:val="20"/>
          <w:lang w:val="en-US"/>
        </w:rPr>
        <w:t>օրինակ</w:t>
      </w:r>
      <w:r w:rsidRPr="0009318B">
        <w:rPr>
          <w:rFonts w:ascii="GHEA Grapalat" w:hAnsi="GHEA Grapalat"/>
          <w:sz w:val="20"/>
          <w:szCs w:val="20"/>
        </w:rPr>
        <w:t xml:space="preserve">` </w:t>
      </w:r>
      <w:r>
        <w:rPr>
          <w:rFonts w:ascii="GHEA Grapalat" w:hAnsi="GHEA Grapalat"/>
          <w:sz w:val="20"/>
          <w:szCs w:val="20"/>
          <w:lang w:val="en-US"/>
        </w:rPr>
        <w:t>Մարդու</w:t>
      </w:r>
      <w:r w:rsidRPr="0009318B">
        <w:rPr>
          <w:rFonts w:ascii="GHEA Grapalat" w:hAnsi="GHEA Grapalat"/>
          <w:sz w:val="20"/>
          <w:szCs w:val="20"/>
        </w:rPr>
        <w:t xml:space="preserve"> </w:t>
      </w:r>
      <w:r>
        <w:rPr>
          <w:rFonts w:ascii="GHEA Grapalat" w:hAnsi="GHEA Grapalat"/>
          <w:sz w:val="20"/>
          <w:szCs w:val="20"/>
          <w:lang w:val="en-US"/>
        </w:rPr>
        <w:t>իրավունքների</w:t>
      </w:r>
      <w:r w:rsidRPr="0009318B">
        <w:rPr>
          <w:rFonts w:ascii="GHEA Grapalat" w:hAnsi="GHEA Grapalat"/>
          <w:sz w:val="20"/>
          <w:szCs w:val="20"/>
        </w:rPr>
        <w:t xml:space="preserve"> </w:t>
      </w:r>
      <w:r>
        <w:rPr>
          <w:rFonts w:ascii="GHEA Grapalat" w:hAnsi="GHEA Grapalat"/>
          <w:sz w:val="20"/>
          <w:szCs w:val="20"/>
          <w:lang w:val="en-US"/>
        </w:rPr>
        <w:t>եվրոպական</w:t>
      </w:r>
      <w:r w:rsidRPr="0009318B">
        <w:rPr>
          <w:rFonts w:ascii="GHEA Grapalat" w:hAnsi="GHEA Grapalat"/>
          <w:sz w:val="20"/>
          <w:szCs w:val="20"/>
        </w:rPr>
        <w:t xml:space="preserve"> </w:t>
      </w:r>
      <w:r>
        <w:rPr>
          <w:rFonts w:ascii="GHEA Grapalat" w:hAnsi="GHEA Grapalat"/>
          <w:sz w:val="20"/>
          <w:szCs w:val="20"/>
          <w:lang w:val="en-US"/>
        </w:rPr>
        <w:t>դատարանի</w:t>
      </w:r>
      <w:r w:rsidRPr="0009318B">
        <w:rPr>
          <w:rFonts w:ascii="GHEA Grapalat" w:hAnsi="GHEA Grapalat"/>
          <w:sz w:val="20"/>
          <w:szCs w:val="20"/>
        </w:rPr>
        <w:t xml:space="preserve"> </w:t>
      </w:r>
      <w:r>
        <w:rPr>
          <w:rFonts w:ascii="GHEA Grapalat" w:hAnsi="GHEA Grapalat"/>
          <w:sz w:val="20"/>
          <w:szCs w:val="20"/>
          <w:lang w:val="en-US"/>
        </w:rPr>
        <w:t>դիրքորոշումները</w:t>
      </w:r>
      <w:r w:rsidRPr="0009318B">
        <w:rPr>
          <w:rFonts w:ascii="GHEA Grapalat" w:hAnsi="GHEA Grapalat"/>
          <w:sz w:val="20"/>
          <w:szCs w:val="20"/>
        </w:rPr>
        <w:t xml:space="preserve">` </w:t>
      </w:r>
      <w:r>
        <w:rPr>
          <w:rFonts w:ascii="GHEA Grapalat" w:hAnsi="GHEA Grapalat"/>
          <w:i/>
          <w:iCs/>
          <w:sz w:val="20"/>
          <w:szCs w:val="20"/>
          <w:lang w:val="en-US"/>
        </w:rPr>
        <w:t>Ero</w:t>
      </w:r>
      <w:r w:rsidRPr="0009318B">
        <w:rPr>
          <w:rFonts w:ascii="GHEA Grapalat" w:hAnsi="GHEA Grapalat"/>
          <w:i/>
          <w:iCs/>
          <w:sz w:val="20"/>
          <w:szCs w:val="20"/>
        </w:rPr>
        <w:t>ğ</w:t>
      </w:r>
      <w:r>
        <w:rPr>
          <w:rFonts w:ascii="GHEA Grapalat" w:hAnsi="GHEA Grapalat"/>
          <w:i/>
          <w:iCs/>
          <w:sz w:val="20"/>
          <w:szCs w:val="20"/>
          <w:lang w:val="en-US"/>
        </w:rPr>
        <w:t>lu</w:t>
      </w:r>
      <w:r w:rsidRPr="0009318B">
        <w:rPr>
          <w:rFonts w:ascii="GHEA Grapalat" w:hAnsi="GHEA Grapalat"/>
          <w:i/>
          <w:iCs/>
          <w:sz w:val="20"/>
          <w:szCs w:val="20"/>
        </w:rPr>
        <w:t xml:space="preserve"> </w:t>
      </w:r>
      <w:r>
        <w:rPr>
          <w:rFonts w:ascii="GHEA Grapalat" w:hAnsi="GHEA Grapalat"/>
          <w:i/>
          <w:iCs/>
          <w:sz w:val="20"/>
          <w:szCs w:val="20"/>
          <w:lang w:val="en-US"/>
        </w:rPr>
        <w:t>and</w:t>
      </w:r>
      <w:r w:rsidRPr="0009318B">
        <w:rPr>
          <w:rFonts w:ascii="GHEA Grapalat" w:hAnsi="GHEA Grapalat"/>
          <w:i/>
          <w:iCs/>
          <w:sz w:val="20"/>
          <w:szCs w:val="20"/>
        </w:rPr>
        <w:t xml:space="preserve"> </w:t>
      </w:r>
      <w:r>
        <w:rPr>
          <w:rFonts w:ascii="GHEA Grapalat" w:hAnsi="GHEA Grapalat"/>
          <w:i/>
          <w:iCs/>
          <w:sz w:val="20"/>
          <w:szCs w:val="20"/>
          <w:lang w:val="en-US"/>
        </w:rPr>
        <w:t>Akdemir</w:t>
      </w:r>
      <w:r w:rsidRPr="0009318B">
        <w:rPr>
          <w:rFonts w:ascii="GHEA Grapalat" w:hAnsi="GHEA Grapalat"/>
          <w:i/>
          <w:iCs/>
          <w:sz w:val="20"/>
          <w:szCs w:val="20"/>
        </w:rPr>
        <w:t xml:space="preserve"> </w:t>
      </w:r>
      <w:r>
        <w:rPr>
          <w:rFonts w:ascii="GHEA Grapalat" w:hAnsi="GHEA Grapalat"/>
          <w:i/>
          <w:iCs/>
          <w:sz w:val="20"/>
          <w:szCs w:val="20"/>
          <w:lang w:val="en-US"/>
        </w:rPr>
        <w:t>v</w:t>
      </w:r>
      <w:r w:rsidRPr="0009318B">
        <w:rPr>
          <w:rFonts w:ascii="GHEA Grapalat" w:hAnsi="GHEA Grapalat"/>
          <w:i/>
          <w:iCs/>
          <w:sz w:val="20"/>
          <w:szCs w:val="20"/>
        </w:rPr>
        <w:t xml:space="preserve">. </w:t>
      </w:r>
      <w:r>
        <w:rPr>
          <w:rFonts w:ascii="GHEA Grapalat" w:hAnsi="GHEA Grapalat"/>
          <w:i/>
          <w:iCs/>
          <w:sz w:val="20"/>
          <w:szCs w:val="20"/>
          <w:lang w:val="en-US"/>
        </w:rPr>
        <w:t>Turkey</w:t>
      </w:r>
      <w:r w:rsidRPr="0009318B">
        <w:rPr>
          <w:rFonts w:ascii="GHEA Grapalat" w:hAnsi="GHEA Grapalat"/>
          <w:sz w:val="20"/>
          <w:szCs w:val="20"/>
        </w:rPr>
        <w:t xml:space="preserve"> </w:t>
      </w:r>
      <w:r>
        <w:rPr>
          <w:rFonts w:ascii="GHEA Grapalat" w:hAnsi="GHEA Grapalat"/>
          <w:sz w:val="20"/>
          <w:szCs w:val="20"/>
          <w:lang w:val="en-US"/>
        </w:rPr>
        <w:t>գործով</w:t>
      </w:r>
      <w:r w:rsidRPr="0009318B">
        <w:rPr>
          <w:rFonts w:ascii="GHEA Grapalat" w:hAnsi="GHEA Grapalat"/>
          <w:sz w:val="20"/>
          <w:szCs w:val="20"/>
        </w:rPr>
        <w:t xml:space="preserve"> 2019 </w:t>
      </w:r>
      <w:r>
        <w:rPr>
          <w:rFonts w:ascii="GHEA Grapalat" w:hAnsi="GHEA Grapalat"/>
          <w:sz w:val="20"/>
          <w:szCs w:val="20"/>
          <w:lang w:val="en-US"/>
        </w:rPr>
        <w:t>թվականի</w:t>
      </w:r>
      <w:r w:rsidRPr="0009318B">
        <w:rPr>
          <w:rFonts w:ascii="GHEA Grapalat" w:hAnsi="GHEA Grapalat"/>
          <w:sz w:val="20"/>
          <w:szCs w:val="20"/>
        </w:rPr>
        <w:t xml:space="preserve"> </w:t>
      </w:r>
      <w:r>
        <w:rPr>
          <w:rFonts w:ascii="GHEA Grapalat" w:hAnsi="GHEA Grapalat"/>
          <w:sz w:val="20"/>
          <w:szCs w:val="20"/>
          <w:lang w:val="en-US"/>
        </w:rPr>
        <w:t>ապրիլի</w:t>
      </w:r>
      <w:r w:rsidRPr="0009318B">
        <w:rPr>
          <w:rFonts w:ascii="GHEA Grapalat" w:hAnsi="GHEA Grapalat"/>
          <w:sz w:val="20"/>
          <w:szCs w:val="20"/>
        </w:rPr>
        <w:t xml:space="preserve"> 2-</w:t>
      </w:r>
      <w:r>
        <w:rPr>
          <w:rFonts w:ascii="GHEA Grapalat" w:hAnsi="GHEA Grapalat"/>
          <w:sz w:val="20"/>
          <w:szCs w:val="20"/>
          <w:lang w:val="en-US"/>
        </w:rPr>
        <w:t>ի</w:t>
      </w:r>
      <w:r w:rsidRPr="0009318B">
        <w:rPr>
          <w:rFonts w:ascii="GHEA Grapalat" w:hAnsi="GHEA Grapalat"/>
          <w:sz w:val="20"/>
          <w:szCs w:val="20"/>
        </w:rPr>
        <w:t xml:space="preserve"> </w:t>
      </w:r>
      <w:r>
        <w:rPr>
          <w:rFonts w:ascii="GHEA Grapalat" w:hAnsi="GHEA Grapalat"/>
          <w:sz w:val="20"/>
          <w:szCs w:val="20"/>
          <w:lang w:val="en-US"/>
        </w:rPr>
        <w:t>որոշմամբ</w:t>
      </w:r>
      <w:r w:rsidRPr="0009318B">
        <w:rPr>
          <w:rFonts w:ascii="GHEA Grapalat" w:hAnsi="GHEA Grapalat"/>
          <w:sz w:val="20"/>
          <w:szCs w:val="20"/>
        </w:rPr>
        <w:t xml:space="preserve">, </w:t>
      </w:r>
      <w:r>
        <w:rPr>
          <w:rFonts w:ascii="GHEA Grapalat" w:hAnsi="GHEA Grapalat"/>
          <w:sz w:val="20"/>
          <w:szCs w:val="20"/>
          <w:lang w:val="en-US"/>
        </w:rPr>
        <w:t>գանգատ</w:t>
      </w:r>
      <w:r w:rsidRPr="0009318B">
        <w:rPr>
          <w:rFonts w:ascii="GHEA Grapalat" w:hAnsi="GHEA Grapalat"/>
          <w:sz w:val="20"/>
          <w:szCs w:val="20"/>
        </w:rPr>
        <w:t xml:space="preserve"> </w:t>
      </w:r>
      <w:r>
        <w:rPr>
          <w:rFonts w:ascii="GHEA Grapalat" w:hAnsi="GHEA Grapalat"/>
          <w:sz w:val="20"/>
          <w:szCs w:val="20"/>
          <w:lang w:val="en-US"/>
        </w:rPr>
        <w:t>թիվ</w:t>
      </w:r>
      <w:r w:rsidRPr="0009318B">
        <w:rPr>
          <w:rFonts w:ascii="GHEA Grapalat" w:hAnsi="GHEA Grapalat"/>
          <w:sz w:val="20"/>
          <w:szCs w:val="20"/>
        </w:rPr>
        <w:t xml:space="preserve"> 6337/10</w:t>
      </w:r>
      <w:r>
        <w:rPr>
          <w:rFonts w:ascii="GHEA Grapalat" w:hAnsi="GHEA Grapalat"/>
          <w:sz w:val="20"/>
          <w:szCs w:val="20"/>
          <w:lang w:val="en-US"/>
        </w:rPr>
        <w:t>։</w:t>
      </w:r>
    </w:p>
  </w:footnote>
  <w:footnote w:id="6">
    <w:p w:rsidR="008A6600" w:rsidRDefault="008A6600" w:rsidP="00B60187">
      <w:pPr>
        <w:pStyle w:val="Footnote"/>
        <w:jc w:val="both"/>
      </w:pPr>
      <w:r>
        <w:rPr>
          <w:rFonts w:ascii="GHEA Grapalat" w:eastAsia="GHEA Grapalat" w:hAnsi="GHEA Grapalat" w:cs="GHEA Grapalat"/>
          <w:sz w:val="24"/>
          <w:szCs w:val="24"/>
          <w:vertAlign w:val="superscript"/>
        </w:rPr>
        <w:footnoteRef/>
      </w:r>
      <w:r>
        <w:rPr>
          <w:rFonts w:ascii="GHEA Grapalat" w:hAnsi="GHEA Grapalat"/>
          <w:sz w:val="20"/>
          <w:szCs w:val="20"/>
        </w:rPr>
        <w:t xml:space="preserve"> Օրինակ` Վրաստանի կառավորության միակողմանի մի շարք հայտարարություններ հաստատվել են Մարդու իրավունքների եվրոպական դատարանի կողմից, տե՛ս Մարդու իրավունքների եվրոպական դատարանի` </w:t>
      </w:r>
      <w:r>
        <w:rPr>
          <w:rFonts w:ascii="GHEA Grapalat" w:hAnsi="GHEA Grapalat"/>
          <w:i/>
          <w:iCs/>
          <w:sz w:val="20"/>
          <w:szCs w:val="20"/>
        </w:rPr>
        <w:t>Tabagari v. Georgia</w:t>
      </w:r>
      <w:r>
        <w:rPr>
          <w:rFonts w:ascii="GHEA Grapalat" w:hAnsi="GHEA Grapalat"/>
          <w:sz w:val="20"/>
          <w:szCs w:val="20"/>
        </w:rPr>
        <w:t xml:space="preserve"> գործով 2013 թվականի հունիսի 18-ի որոշումը, գանգատներ թիվ 70820/10</w:t>
      </w:r>
      <w:r>
        <w:rPr>
          <w:rFonts w:ascii="Cambria" w:hAnsi="Cambria"/>
          <w:sz w:val="20"/>
          <w:szCs w:val="20"/>
        </w:rPr>
        <w:t> </w:t>
      </w:r>
      <w:r>
        <w:rPr>
          <w:rFonts w:ascii="GHEA Grapalat" w:hAnsi="GHEA Grapalat"/>
          <w:sz w:val="20"/>
          <w:szCs w:val="20"/>
        </w:rPr>
        <w:t>և</w:t>
      </w:r>
      <w:r>
        <w:rPr>
          <w:rFonts w:ascii="Cambria" w:hAnsi="Cambria"/>
          <w:sz w:val="20"/>
          <w:szCs w:val="20"/>
        </w:rPr>
        <w:t> </w:t>
      </w:r>
      <w:r>
        <w:rPr>
          <w:rFonts w:ascii="GHEA Grapalat" w:hAnsi="GHEA Grapalat"/>
          <w:sz w:val="20"/>
          <w:szCs w:val="20"/>
        </w:rPr>
        <w:t xml:space="preserve">60870/11, </w:t>
      </w:r>
      <w:r>
        <w:rPr>
          <w:rFonts w:ascii="GHEA Grapalat" w:hAnsi="GHEA Grapalat"/>
          <w:i/>
          <w:iCs/>
          <w:sz w:val="20"/>
          <w:szCs w:val="20"/>
        </w:rPr>
        <w:t>Mazanashvili v. Georgia</w:t>
      </w:r>
      <w:r>
        <w:rPr>
          <w:rFonts w:ascii="GHEA Grapalat" w:hAnsi="GHEA Grapalat"/>
          <w:sz w:val="20"/>
          <w:szCs w:val="20"/>
        </w:rPr>
        <w:t xml:space="preserve"> գործով 2014 թվականի հունվարի 24-ի որոշումը, գանգատ թիվ 19882/07, </w:t>
      </w:r>
      <w:r>
        <w:rPr>
          <w:rFonts w:ascii="GHEA Grapalat" w:hAnsi="GHEA Grapalat"/>
          <w:i/>
          <w:iCs/>
          <w:sz w:val="20"/>
          <w:szCs w:val="20"/>
        </w:rPr>
        <w:t>Vashakidze v. Georgia</w:t>
      </w:r>
      <w:r>
        <w:rPr>
          <w:rFonts w:ascii="GHEA Grapalat" w:hAnsi="GHEA Grapalat"/>
          <w:sz w:val="20"/>
          <w:szCs w:val="20"/>
        </w:rPr>
        <w:t xml:space="preserve"> գործով 2014 թվականի հունվարի 28-ի որոշումը, գանգատ թիվ 41359/08, </w:t>
      </w:r>
      <w:r>
        <w:rPr>
          <w:rFonts w:ascii="GHEA Grapalat" w:hAnsi="GHEA Grapalat"/>
          <w:i/>
          <w:iCs/>
          <w:sz w:val="20"/>
          <w:szCs w:val="20"/>
        </w:rPr>
        <w:t xml:space="preserve">Manukian v. Georgia </w:t>
      </w:r>
      <w:r>
        <w:rPr>
          <w:rFonts w:ascii="GHEA Grapalat" w:hAnsi="GHEA Grapalat"/>
          <w:sz w:val="20"/>
          <w:szCs w:val="20"/>
        </w:rPr>
        <w:t>գործով 2016 թվականի մայիսի 3-ի որոշումը, գանգատ թիվ 49448/08։</w:t>
      </w:r>
    </w:p>
  </w:footnote>
  <w:footnote w:id="7">
    <w:p w:rsidR="008A6600" w:rsidRPr="0009318B" w:rsidRDefault="008A6600" w:rsidP="00B60187">
      <w:pPr>
        <w:pStyle w:val="Default"/>
        <w:jc w:val="both"/>
        <w:rPr>
          <w:rFonts w:hint="eastAsia"/>
          <w:lang w:val="en-US"/>
        </w:rPr>
      </w:pPr>
      <w:r>
        <w:rPr>
          <w:rFonts w:ascii="GHEA Grapalat" w:eastAsia="GHEA Grapalat" w:hAnsi="GHEA Grapalat" w:cs="GHEA Grapalat"/>
          <w:sz w:val="24"/>
          <w:szCs w:val="24"/>
          <w:vertAlign w:val="superscript"/>
        </w:rPr>
        <w:footnoteRef/>
      </w:r>
      <w:r w:rsidRPr="0009318B">
        <w:rPr>
          <w:rFonts w:ascii="GHEA Grapalat" w:hAnsi="GHEA Grapalat"/>
          <w:sz w:val="20"/>
          <w:szCs w:val="20"/>
          <w:lang w:val="en-US"/>
        </w:rPr>
        <w:t xml:space="preserve"> </w:t>
      </w:r>
      <w:r>
        <w:rPr>
          <w:rFonts w:ascii="GHEA Grapalat" w:hAnsi="GHEA Grapalat"/>
          <w:sz w:val="20"/>
          <w:szCs w:val="20"/>
        </w:rPr>
        <w:t>Տե՛ս</w:t>
      </w:r>
      <w:r w:rsidRPr="0009318B">
        <w:rPr>
          <w:rFonts w:ascii="GHEA Grapalat" w:hAnsi="GHEA Grapalat"/>
          <w:sz w:val="20"/>
          <w:szCs w:val="20"/>
          <w:lang w:val="en-US"/>
        </w:rPr>
        <w:t xml:space="preserve"> </w:t>
      </w:r>
      <w:r>
        <w:rPr>
          <w:rFonts w:ascii="GHEA Grapalat" w:hAnsi="GHEA Grapalat"/>
          <w:sz w:val="20"/>
          <w:szCs w:val="20"/>
          <w:lang w:val="en-US"/>
        </w:rPr>
        <w:t xml:space="preserve">Steering Committee For Human Rights (CDDH), Committee Of Experts On The Reform Of The Court (DH-GDR), Overview of the exchange of views held at the 8th meeting of DH-GDR on the provision in the domestic legal order for the re-examination or reopening of cases following judgments of the Court, DH-GDR (2015)008 Rev, </w:t>
      </w:r>
      <w:r>
        <w:rPr>
          <w:rFonts w:ascii="GHEA Grapalat" w:hAnsi="GHEA Grapalat"/>
          <w:sz w:val="20"/>
          <w:szCs w:val="20"/>
        </w:rPr>
        <w:t>կետ</w:t>
      </w:r>
      <w:r w:rsidRPr="0009318B">
        <w:rPr>
          <w:rFonts w:ascii="GHEA Grapalat" w:hAnsi="GHEA Grapalat"/>
          <w:sz w:val="20"/>
          <w:szCs w:val="20"/>
          <w:lang w:val="en-US"/>
        </w:rPr>
        <w:t xml:space="preserve"> 28:</w:t>
      </w:r>
    </w:p>
  </w:footnote>
  <w:footnote w:id="8">
    <w:p w:rsidR="008A6600" w:rsidRPr="00F5371A" w:rsidRDefault="008A6600" w:rsidP="00B60187">
      <w:pPr>
        <w:pStyle w:val="FootnoteText"/>
        <w:jc w:val="both"/>
        <w:rPr>
          <w:rFonts w:ascii="Cambria Math" w:hAnsi="Cambria Math"/>
          <w:lang w:val="hy-AM"/>
        </w:rPr>
      </w:pPr>
      <w:r>
        <w:rPr>
          <w:rStyle w:val="FootnoteReference"/>
        </w:rPr>
        <w:footnoteRef/>
      </w:r>
      <w:r>
        <w:t xml:space="preserve"> </w:t>
      </w:r>
      <w:r>
        <w:rPr>
          <w:rFonts w:ascii="GHEA Grapalat" w:hAnsi="GHEA Grapalat"/>
          <w:u w:color="000000"/>
        </w:rPr>
        <w:t xml:space="preserve">Տե՛ս, mutatis mutandis, </w:t>
      </w:r>
      <w:r>
        <w:rPr>
          <w:rFonts w:ascii="GHEA Grapalat" w:hAnsi="GHEA Grapalat"/>
          <w:u w:color="000000"/>
          <w:lang w:val="hy-AM"/>
        </w:rPr>
        <w:t xml:space="preserve">ՀՀ Վճռաբեկ դատարանի քրեական պալատի՝ </w:t>
      </w:r>
      <w:r w:rsidRPr="00F5371A">
        <w:rPr>
          <w:rFonts w:ascii="GHEA Grapalat" w:hAnsi="GHEA Grapalat"/>
          <w:i/>
          <w:iCs/>
          <w:u w:color="000000"/>
          <w:lang w:val="hy-AM"/>
        </w:rPr>
        <w:t>Ժ</w:t>
      </w:r>
      <w:r w:rsidRPr="00F5371A">
        <w:rPr>
          <w:rFonts w:ascii="Cambria Math" w:hAnsi="Cambria Math" w:cs="Cambria Math"/>
          <w:i/>
          <w:iCs/>
          <w:u w:color="000000"/>
          <w:lang w:val="hy-AM"/>
        </w:rPr>
        <w:t>․</w:t>
      </w:r>
      <w:r w:rsidRPr="00F5371A">
        <w:rPr>
          <w:rFonts w:ascii="GHEA Grapalat" w:hAnsi="GHEA Grapalat"/>
          <w:i/>
          <w:iCs/>
          <w:u w:color="000000"/>
          <w:lang w:val="hy-AM"/>
        </w:rPr>
        <w:t>Սեֆիլյանի</w:t>
      </w:r>
      <w:r w:rsidRPr="00F5371A">
        <w:rPr>
          <w:rFonts w:ascii="GHEA Grapalat" w:hAnsi="GHEA Grapalat"/>
          <w:u w:color="000000"/>
          <w:lang w:val="hy-AM"/>
        </w:rPr>
        <w:t xml:space="preserve"> գործով 2014 թվականի մայիսի 31-ի թիվ ՎԲ-07/13, </w:t>
      </w:r>
      <w:r w:rsidRPr="00F5371A">
        <w:rPr>
          <w:rFonts w:ascii="GHEA Grapalat" w:hAnsi="GHEA Grapalat"/>
          <w:i/>
          <w:iCs/>
          <w:u w:color="000000"/>
          <w:lang w:val="hy-AM"/>
        </w:rPr>
        <w:t>Մ</w:t>
      </w:r>
      <w:r w:rsidRPr="00F5371A">
        <w:rPr>
          <w:rFonts w:ascii="Cambria Math" w:hAnsi="Cambria Math" w:cs="Cambria Math"/>
          <w:i/>
          <w:iCs/>
          <w:u w:color="000000"/>
          <w:lang w:val="hy-AM"/>
        </w:rPr>
        <w:t>․</w:t>
      </w:r>
      <w:r w:rsidRPr="00F5371A">
        <w:rPr>
          <w:rFonts w:ascii="GHEA Grapalat" w:hAnsi="GHEA Grapalat"/>
          <w:i/>
          <w:iCs/>
          <w:u w:color="000000"/>
          <w:lang w:val="hy-AM"/>
        </w:rPr>
        <w:t>Սաղաթելյանի</w:t>
      </w:r>
      <w:r w:rsidRPr="00F5371A">
        <w:rPr>
          <w:rFonts w:ascii="GHEA Grapalat" w:hAnsi="GHEA Grapalat"/>
          <w:u w:color="000000"/>
          <w:lang w:val="hy-AM"/>
        </w:rPr>
        <w:t xml:space="preserve"> գործով 2019 թվականի հունիսի 12-ի որոշումները։</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82A"/>
    <w:rsid w:val="000635D0"/>
    <w:rsid w:val="00106F4B"/>
    <w:rsid w:val="00136CC5"/>
    <w:rsid w:val="001A648B"/>
    <w:rsid w:val="001B42ED"/>
    <w:rsid w:val="002179CD"/>
    <w:rsid w:val="002643B8"/>
    <w:rsid w:val="004801BC"/>
    <w:rsid w:val="004A0600"/>
    <w:rsid w:val="004D59EE"/>
    <w:rsid w:val="0050045F"/>
    <w:rsid w:val="00506570"/>
    <w:rsid w:val="005308C6"/>
    <w:rsid w:val="00686F4B"/>
    <w:rsid w:val="00755A7E"/>
    <w:rsid w:val="007622D5"/>
    <w:rsid w:val="008A6600"/>
    <w:rsid w:val="0091082A"/>
    <w:rsid w:val="0094637F"/>
    <w:rsid w:val="0095032F"/>
    <w:rsid w:val="00986A74"/>
    <w:rsid w:val="009F3BEF"/>
    <w:rsid w:val="00A13EF5"/>
    <w:rsid w:val="00A559DB"/>
    <w:rsid w:val="00AE7AB1"/>
    <w:rsid w:val="00B32CCB"/>
    <w:rsid w:val="00B60187"/>
    <w:rsid w:val="00B92BF9"/>
    <w:rsid w:val="00D563E0"/>
    <w:rsid w:val="00DC1879"/>
    <w:rsid w:val="00DF011A"/>
    <w:rsid w:val="00E14CCB"/>
    <w:rsid w:val="00E52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E7AD37-6923-4A59-A823-D46CC8A4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0187"/>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ru-RU" w:eastAsia="ru-RU"/>
    </w:rPr>
  </w:style>
  <w:style w:type="paragraph" w:customStyle="1" w:styleId="Footnote">
    <w:name w:val="Footnote"/>
    <w:rsid w:val="00B60187"/>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val="ru-RU" w:eastAsia="ru-RU"/>
    </w:rPr>
  </w:style>
  <w:style w:type="paragraph" w:styleId="FootnoteText">
    <w:name w:val="footnote text"/>
    <w:basedOn w:val="Normal"/>
    <w:link w:val="FootnoteTextChar"/>
    <w:uiPriority w:val="99"/>
    <w:semiHidden/>
    <w:unhideWhenUsed/>
    <w:rsid w:val="00B6018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B60187"/>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B601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146542">
      <w:bodyDiv w:val="1"/>
      <w:marLeft w:val="0"/>
      <w:marRight w:val="0"/>
      <w:marTop w:val="0"/>
      <w:marBottom w:val="0"/>
      <w:divBdr>
        <w:top w:val="none" w:sz="0" w:space="0" w:color="auto"/>
        <w:left w:val="none" w:sz="0" w:space="0" w:color="auto"/>
        <w:bottom w:val="none" w:sz="0" w:space="0" w:color="auto"/>
        <w:right w:val="none" w:sz="0" w:space="0" w:color="auto"/>
      </w:divBdr>
    </w:div>
    <w:div w:id="153426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6DF3E-5678-4C24-8915-92CA110DD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Pages>
  <Words>3989</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melkumyan</dc:creator>
  <cp:keywords/>
  <dc:description/>
  <cp:lastModifiedBy>Seda Melkumyan</cp:lastModifiedBy>
  <cp:revision>20</cp:revision>
  <dcterms:created xsi:type="dcterms:W3CDTF">2021-02-01T06:21:00Z</dcterms:created>
  <dcterms:modified xsi:type="dcterms:W3CDTF">2021-04-06T08:37:00Z</dcterms:modified>
</cp:coreProperties>
</file>