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F392C" w14:textId="77777777" w:rsidR="007B5D79" w:rsidRPr="00EF0474" w:rsidRDefault="00E9699E" w:rsidP="007C6E82">
      <w:pPr>
        <w:spacing w:line="360" w:lineRule="auto"/>
        <w:ind w:right="-275"/>
        <w:jc w:val="center"/>
        <w:rPr>
          <w:rFonts w:ascii="GHEA Grapalat" w:hAnsi="GHEA Grapalat"/>
          <w:b/>
          <w:bCs/>
          <w:lang w:val="es-ES_tradnl"/>
        </w:rPr>
      </w:pPr>
      <w:r w:rsidRPr="00EF0474">
        <w:rPr>
          <w:rFonts w:ascii="GHEA Grapalat" w:hAnsi="GHEA Grapalat" w:cs="Sylfaen"/>
          <w:b/>
          <w:bCs/>
          <w:lang w:val="es-ES_tradnl"/>
        </w:rPr>
        <w:t>ԱՄՓՈՓԱԹԵՐԹ</w:t>
      </w:r>
    </w:p>
    <w:p w14:paraId="3C13C7D3" w14:textId="77777777" w:rsidR="00AE1D93" w:rsidRPr="008E1ED4" w:rsidRDefault="00AE1D93" w:rsidP="007C6E82">
      <w:pPr>
        <w:spacing w:line="360" w:lineRule="auto"/>
        <w:ind w:left="-426" w:right="-455"/>
        <w:jc w:val="center"/>
        <w:rPr>
          <w:rFonts w:ascii="GHEA Grapalat" w:hAnsi="GHEA Grapalat"/>
          <w:lang w:val="fr-FR"/>
        </w:rPr>
      </w:pPr>
    </w:p>
    <w:p w14:paraId="068BCF83" w14:textId="2910D6BD" w:rsidR="003D359B" w:rsidRPr="00CD51B4" w:rsidRDefault="00746B8E" w:rsidP="00CD51B4">
      <w:pPr>
        <w:spacing w:line="360" w:lineRule="auto"/>
        <w:ind w:left="-426" w:right="-455"/>
        <w:jc w:val="center"/>
        <w:rPr>
          <w:rFonts w:ascii="GHEA Grapalat" w:eastAsia="Batang" w:hAnsi="GHEA Grapalat" w:cs="Sylfaen"/>
          <w:bCs/>
          <w:lang w:val="hy-AM" w:eastAsia="en-US"/>
        </w:rPr>
      </w:pPr>
      <w:r w:rsidRPr="00746B8E">
        <w:rPr>
          <w:rFonts w:ascii="GHEA Grapalat" w:eastAsia="Batang" w:hAnsi="GHEA Grapalat" w:cs="Sylfaen"/>
          <w:b/>
          <w:lang w:val="hy-AM" w:eastAsia="en-US"/>
        </w:rPr>
        <w:t xml:space="preserve">«ՆՇՎԱԾ ՈԼՈՐՏՈՒՄ ԵՎՐԱՍԻԱԿԱՆ ՏՆՏԵՍԱԿԱՆ ՄԻՈՒԹՅԱՆ ԱՆԴԱՄ ՊԵՏՈՒԹՅՈՒՆՆԵՐԻ ՕՐԵՆՍԴՐՈՒԹՅԱՆ ՆԵՐԴԱՇՆԱԿԵՑՄԱՆ ՆՊԱՏԱԿՈՎ՝ ԵՎՐԱՍԻԱԿԱՆ ՏՆՏԵՍԱԿԱՆ ՄԻՈՒԹՅԱՆ ՏԵԽՆԻԿԱԿԱՆ ԿԱՆՈՆԱԿԱՐԳԵՐԻ ՊԱՀԱՆՋՆԵՐԻ ՊԱՀՊԱՆՄԱՆ ՆԿԱՏՄԱՄԲ ՊԵՏԱԿԱՆ ՀՍԿՈՂՈՒԹՅՈՒՆ (ՎԵՐԱՀՍԿՈՂՈՒԹՅՈՒՆ) ԻՐԱԿԱՆԱՑՆԵԼՈՒ ՍԿԶԲՈՒՆՔՆԵՐԻ ՈՒ ՄՈՏԵՑՈՒՄՆԵՐԻ ՄԱՍԻՆ» </w:t>
      </w:r>
      <w:r w:rsidR="00CD51B4" w:rsidRPr="00CD51B4">
        <w:rPr>
          <w:rFonts w:ascii="GHEA Grapalat" w:eastAsia="Batang" w:hAnsi="GHEA Grapalat" w:cs="Sylfaen"/>
          <w:b/>
          <w:lang w:val="hy-AM" w:eastAsia="en-US"/>
        </w:rPr>
        <w:t>ՀԱՄԱՁԱՅՆԱԳԻՐԸ ՀԱՍՏԱՏԵԼՈՒ ՄԱՍԻՆ» ՀԱՅԱՍՏԱՆԻ ՀԱՆՐԱՊԵՏՈՒԹՅԱՆ ՆԱԽԱԳԱՀԻ ՀՐԱՄԱՆԱԳՐԻ ՆԱԽԱԳԾԻ ՄԱՍԻՆ</w:t>
      </w:r>
    </w:p>
    <w:tbl>
      <w:tblPr>
        <w:tblW w:w="1073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35"/>
        <w:gridCol w:w="2372"/>
      </w:tblGrid>
      <w:tr w:rsidR="00E9699E" w:rsidRPr="00BD372A" w14:paraId="2B74718A" w14:textId="77777777" w:rsidTr="00BC15B8">
        <w:trPr>
          <w:trHeight w:val="292"/>
        </w:trPr>
        <w:tc>
          <w:tcPr>
            <w:tcW w:w="8364" w:type="dxa"/>
            <w:gridSpan w:val="2"/>
            <w:vMerge w:val="restart"/>
            <w:shd w:val="clear" w:color="auto" w:fill="BFBFBF" w:themeFill="background1" w:themeFillShade="BF"/>
          </w:tcPr>
          <w:p w14:paraId="3CA48BF6" w14:textId="5DBB3B76" w:rsidR="00E9699E" w:rsidRPr="008E1ED4" w:rsidRDefault="001A4A40" w:rsidP="00BD372A">
            <w:pPr>
              <w:pStyle w:val="ListParagraph"/>
              <w:spacing w:line="360" w:lineRule="auto"/>
              <w:ind w:left="468"/>
              <w:jc w:val="center"/>
              <w:rPr>
                <w:rFonts w:ascii="GHEA Grapalat" w:hAnsi="GHEA Grapalat"/>
                <w:b/>
                <w:lang w:val="hy-AM"/>
              </w:rPr>
            </w:pPr>
            <w:r w:rsidRPr="00BD372A">
              <w:rPr>
                <w:rFonts w:ascii="GHEA Grapalat" w:hAnsi="GHEA Grapalat"/>
                <w:b/>
                <w:lang w:val="fr-FR"/>
              </w:rPr>
              <w:t>1</w:t>
            </w:r>
            <w:r w:rsidR="00CF360F" w:rsidRPr="00BD372A">
              <w:rPr>
                <w:rFonts w:ascii="GHEA Grapalat" w:hAnsi="GHEA Grapalat"/>
                <w:b/>
                <w:lang w:val="fr-FR"/>
              </w:rPr>
              <w:t xml:space="preserve">. </w:t>
            </w:r>
            <w:r w:rsidR="007327F2" w:rsidRPr="008E1ED4">
              <w:rPr>
                <w:rFonts w:ascii="GHEA Grapalat" w:hAnsi="GHEA Grapalat" w:cs="Sylfaen"/>
                <w:b/>
                <w:lang w:val="hy-AM"/>
              </w:rPr>
              <w:t>ՀՀ</w:t>
            </w:r>
            <w:r w:rsidR="005479D1" w:rsidRPr="008E1ED4">
              <w:rPr>
                <w:rFonts w:ascii="GHEA Grapalat" w:hAnsi="GHEA Grapalat" w:cs="Sylfaen"/>
                <w:b/>
                <w:lang w:val="hy-AM"/>
              </w:rPr>
              <w:t xml:space="preserve"> </w:t>
            </w:r>
            <w:hyperlink r:id="rId7" w:history="1">
              <w:r w:rsidR="005479D1" w:rsidRPr="008E1ED4">
                <w:rPr>
                  <w:rFonts w:ascii="GHEA Grapalat" w:eastAsia="Calibri" w:hAnsi="GHEA Grapalat"/>
                  <w:b/>
                  <w:color w:val="000000"/>
                  <w:lang w:val="hy-AM" w:eastAsia="en-US"/>
                </w:rPr>
                <w:t>Ար</w:t>
              </w:r>
              <w:r w:rsidR="00BD372A">
                <w:rPr>
                  <w:rFonts w:ascii="GHEA Grapalat" w:eastAsia="Calibri" w:hAnsi="GHEA Grapalat"/>
                  <w:b/>
                  <w:color w:val="000000"/>
                  <w:lang w:val="hy-AM" w:eastAsia="en-US"/>
                </w:rPr>
                <w:t xml:space="preserve">դարադատության նախարարություն </w:t>
              </w:r>
            </w:hyperlink>
            <w:r w:rsidR="005479D1" w:rsidRPr="008E1ED4">
              <w:rPr>
                <w:rFonts w:ascii="GHEA Grapalat" w:hAnsi="GHEA Grapalat" w:cs="Sylfaen"/>
                <w:b/>
                <w:lang w:val="hy-AM"/>
              </w:rPr>
              <w:t xml:space="preserve">  </w:t>
            </w:r>
          </w:p>
        </w:tc>
        <w:tc>
          <w:tcPr>
            <w:tcW w:w="2372" w:type="dxa"/>
            <w:shd w:val="clear" w:color="auto" w:fill="BFBFBF" w:themeFill="background1" w:themeFillShade="BF"/>
          </w:tcPr>
          <w:p w14:paraId="0F9A3F20" w14:textId="641F4E37" w:rsidR="00E9699E" w:rsidRPr="00BD372A" w:rsidRDefault="00EA4D0F" w:rsidP="007C6E82">
            <w:pPr>
              <w:spacing w:line="360" w:lineRule="auto"/>
              <w:jc w:val="center"/>
              <w:rPr>
                <w:rFonts w:ascii="GHEA Grapalat" w:hAnsi="GHEA Grapalat"/>
                <w:lang w:val="fr-FR"/>
              </w:rPr>
            </w:pPr>
            <w:r>
              <w:rPr>
                <w:rFonts w:ascii="GHEA Grapalat" w:hAnsi="GHEA Grapalat" w:cs="Sylfaen"/>
                <w:lang w:val="fr-FR"/>
              </w:rPr>
              <w:t>23.04</w:t>
            </w:r>
            <w:r w:rsidR="002704A7" w:rsidRPr="00BD372A">
              <w:rPr>
                <w:rFonts w:ascii="GHEA Grapalat" w:hAnsi="GHEA Grapalat" w:cs="Sylfaen"/>
                <w:lang w:val="fr-FR"/>
              </w:rPr>
              <w:t>.2021</w:t>
            </w:r>
            <w:r w:rsidR="007327F2" w:rsidRPr="008E1ED4">
              <w:rPr>
                <w:rFonts w:ascii="GHEA Grapalat" w:hAnsi="GHEA Grapalat" w:cs="Sylfaen"/>
                <w:lang w:val="en-US"/>
              </w:rPr>
              <w:t>թ</w:t>
            </w:r>
            <w:r w:rsidR="007327F2" w:rsidRPr="00BD372A">
              <w:rPr>
                <w:rFonts w:ascii="GHEA Grapalat" w:hAnsi="GHEA Grapalat" w:cs="Sylfaen"/>
                <w:lang w:val="fr-FR"/>
              </w:rPr>
              <w:t>.</w:t>
            </w:r>
          </w:p>
        </w:tc>
      </w:tr>
      <w:tr w:rsidR="00E9699E" w:rsidRPr="00BD372A" w14:paraId="56EDFFE0" w14:textId="77777777" w:rsidTr="00BC15B8">
        <w:trPr>
          <w:trHeight w:val="292"/>
        </w:trPr>
        <w:tc>
          <w:tcPr>
            <w:tcW w:w="8364" w:type="dxa"/>
            <w:gridSpan w:val="2"/>
            <w:vMerge/>
            <w:shd w:val="clear" w:color="auto" w:fill="BFBFBF" w:themeFill="background1" w:themeFillShade="BF"/>
          </w:tcPr>
          <w:p w14:paraId="2D34767A" w14:textId="77777777" w:rsidR="00E9699E" w:rsidRPr="00BD372A" w:rsidRDefault="00E9699E" w:rsidP="007C6E82">
            <w:pPr>
              <w:pStyle w:val="ListParagraph"/>
              <w:spacing w:line="360" w:lineRule="auto"/>
              <w:ind w:left="468"/>
              <w:jc w:val="center"/>
              <w:rPr>
                <w:rFonts w:ascii="GHEA Grapalat" w:hAnsi="GHEA Grapalat"/>
                <w:lang w:val="fr-FR"/>
              </w:rPr>
            </w:pPr>
          </w:p>
        </w:tc>
        <w:tc>
          <w:tcPr>
            <w:tcW w:w="2372" w:type="dxa"/>
            <w:shd w:val="clear" w:color="auto" w:fill="BFBFBF" w:themeFill="background1" w:themeFillShade="BF"/>
          </w:tcPr>
          <w:p w14:paraId="50B1FAC4" w14:textId="10EFA77B" w:rsidR="00E9699E" w:rsidRPr="008E1ED4" w:rsidRDefault="001A4A40" w:rsidP="00EA4D0F">
            <w:pPr>
              <w:spacing w:line="360" w:lineRule="auto"/>
              <w:jc w:val="center"/>
              <w:rPr>
                <w:rFonts w:ascii="GHEA Grapalat" w:hAnsi="GHEA Grapalat"/>
                <w:lang w:val="hy-AM"/>
              </w:rPr>
            </w:pPr>
            <w:r w:rsidRPr="00BD372A">
              <w:rPr>
                <w:rFonts w:ascii="GHEA Grapalat" w:hAnsi="GHEA Grapalat" w:cs="Sylfaen"/>
                <w:lang w:val="fr-FR"/>
              </w:rPr>
              <w:t>N</w:t>
            </w:r>
            <w:r w:rsidR="007327F2" w:rsidRPr="00BD372A">
              <w:rPr>
                <w:rFonts w:ascii="GHEA Grapalat" w:hAnsi="GHEA Grapalat" w:cs="Sylfaen"/>
                <w:lang w:val="fr-FR"/>
              </w:rPr>
              <w:t xml:space="preserve"> </w:t>
            </w:r>
            <w:r w:rsidR="00EA4D0F" w:rsidRPr="00EA4D0F">
              <w:rPr>
                <w:rFonts w:ascii="GHEA Grapalat" w:hAnsi="GHEA Grapalat" w:cs="Sylfaen"/>
              </w:rPr>
              <w:t>/14.1/10138-2021</w:t>
            </w:r>
            <w:r w:rsidR="00EA4D0F">
              <w:rPr>
                <w:rFonts w:ascii="GHEA Grapalat" w:hAnsi="GHEA Grapalat" w:cs="Sylfaen"/>
                <w:lang w:val="hy-AM"/>
              </w:rPr>
              <w:t xml:space="preserve"> </w:t>
            </w:r>
          </w:p>
        </w:tc>
      </w:tr>
      <w:tr w:rsidR="001118D2" w:rsidRPr="008E1ED4" w14:paraId="4FFF8E6A" w14:textId="77777777" w:rsidTr="00F3525C">
        <w:trPr>
          <w:trHeight w:val="706"/>
        </w:trPr>
        <w:tc>
          <w:tcPr>
            <w:tcW w:w="5529" w:type="dxa"/>
            <w:shd w:val="clear" w:color="auto" w:fill="FFFFFF" w:themeFill="background1"/>
          </w:tcPr>
          <w:p w14:paraId="1BE07B82" w14:textId="77777777" w:rsidR="00C644AD" w:rsidRPr="00C644AD" w:rsidRDefault="00C644AD" w:rsidP="00F655AA">
            <w:pPr>
              <w:autoSpaceDE w:val="0"/>
              <w:autoSpaceDN w:val="0"/>
              <w:adjustRightInd w:val="0"/>
              <w:spacing w:line="276" w:lineRule="auto"/>
              <w:ind w:firstLine="318"/>
              <w:jc w:val="both"/>
              <w:rPr>
                <w:rFonts w:ascii="GHEA Grapalat" w:eastAsia="Times New Roman" w:hAnsi="GHEA Grapalat" w:cs="Sylfaen"/>
                <w:lang w:val="fr-FR"/>
              </w:rPr>
            </w:pPr>
            <w:r w:rsidRPr="00C644AD">
              <w:rPr>
                <w:rFonts w:ascii="GHEA Grapalat" w:eastAsia="Times New Roman" w:hAnsi="GHEA Grapalat" w:cs="Times Armenian"/>
                <w:lang w:val="hy-AM"/>
              </w:rPr>
              <w:t xml:space="preserve">Ի պատասխան Ձեր </w:t>
            </w:r>
            <w:r w:rsidRPr="00C644AD">
              <w:rPr>
                <w:rFonts w:ascii="GHEA Grapalat" w:eastAsia="Times New Roman" w:hAnsi="GHEA Grapalat" w:cs="Times Armenian"/>
                <w:lang w:val="fr-FR"/>
              </w:rPr>
              <w:t>2021</w:t>
            </w:r>
            <w:r w:rsidRPr="00C644AD">
              <w:rPr>
                <w:rFonts w:ascii="GHEA Grapalat" w:eastAsia="Times New Roman" w:hAnsi="GHEA Grapalat" w:cs="Times Armenian"/>
                <w:lang w:val="en-US"/>
              </w:rPr>
              <w:t>թ</w:t>
            </w:r>
            <w:r w:rsidRPr="00C644AD">
              <w:rPr>
                <w:rFonts w:ascii="GHEA Grapalat" w:eastAsia="Times New Roman" w:hAnsi="GHEA Grapalat" w:cs="Times Armenian"/>
                <w:lang w:val="fr-FR"/>
              </w:rPr>
              <w:t xml:space="preserve">. </w:t>
            </w:r>
            <w:proofErr w:type="spellStart"/>
            <w:r w:rsidRPr="00C644AD">
              <w:rPr>
                <w:rFonts w:ascii="GHEA Grapalat" w:eastAsia="Times New Roman" w:hAnsi="GHEA Grapalat" w:cs="Times Armenian"/>
                <w:lang w:val="en-US"/>
              </w:rPr>
              <w:t>ապրիլի</w:t>
            </w:r>
            <w:proofErr w:type="spellEnd"/>
            <w:r w:rsidRPr="00C644AD">
              <w:rPr>
                <w:rFonts w:ascii="GHEA Grapalat" w:eastAsia="Times New Roman" w:hAnsi="GHEA Grapalat" w:cs="Times Armenian"/>
                <w:lang w:val="fr-FR"/>
              </w:rPr>
              <w:t xml:space="preserve"> 2-</w:t>
            </w:r>
            <w:r w:rsidRPr="00C644AD">
              <w:rPr>
                <w:rFonts w:ascii="GHEA Grapalat" w:eastAsia="Times New Roman" w:hAnsi="GHEA Grapalat" w:cs="Times Armenian"/>
                <w:lang w:val="en-US"/>
              </w:rPr>
              <w:t>ի</w:t>
            </w:r>
            <w:r w:rsidRPr="00C644AD">
              <w:rPr>
                <w:rFonts w:ascii="GHEA Grapalat" w:eastAsia="Times New Roman" w:hAnsi="GHEA Grapalat" w:cs="Times Armenian"/>
                <w:lang w:val="fr-FR"/>
              </w:rPr>
              <w:t xml:space="preserve"> </w:t>
            </w:r>
            <w:proofErr w:type="spellStart"/>
            <w:r w:rsidRPr="00C644AD">
              <w:rPr>
                <w:rFonts w:ascii="GHEA Grapalat" w:eastAsia="Times New Roman" w:hAnsi="GHEA Grapalat" w:cs="Times Armenian"/>
                <w:lang w:val="en-US"/>
              </w:rPr>
              <w:t>թիվ</w:t>
            </w:r>
            <w:proofErr w:type="spellEnd"/>
            <w:r w:rsidRPr="00C644AD">
              <w:rPr>
                <w:rFonts w:ascii="GHEA Grapalat" w:eastAsia="Times New Roman" w:hAnsi="GHEA Grapalat" w:cs="Times Armenian"/>
                <w:lang w:val="fr-FR"/>
              </w:rPr>
              <w:t xml:space="preserve"> </w:t>
            </w:r>
            <w:r w:rsidRPr="00C644AD">
              <w:rPr>
                <w:rFonts w:ascii="GHEA Grapalat" w:eastAsia="Times New Roman" w:hAnsi="GHEA Grapalat" w:cs="Times Armenian"/>
                <w:color w:val="000000"/>
                <w:shd w:val="clear" w:color="auto" w:fill="FFFFFF"/>
                <w:lang w:val="fr-FR"/>
              </w:rPr>
              <w:t xml:space="preserve">//10755-2021 </w:t>
            </w:r>
            <w:proofErr w:type="spellStart"/>
            <w:r w:rsidRPr="00C644AD">
              <w:rPr>
                <w:rFonts w:ascii="GHEA Grapalat" w:eastAsia="Times New Roman" w:hAnsi="GHEA Grapalat" w:cs="Times Armenian"/>
                <w:color w:val="000000"/>
                <w:shd w:val="clear" w:color="auto" w:fill="FFFFFF"/>
                <w:lang w:val="en-US"/>
              </w:rPr>
              <w:t>գրության</w:t>
            </w:r>
            <w:proofErr w:type="spellEnd"/>
            <w:r w:rsidRPr="00C644AD">
              <w:rPr>
                <w:rFonts w:ascii="GHEA Grapalat" w:eastAsia="Times New Roman" w:hAnsi="GHEA Grapalat" w:cs="Times Armenian"/>
                <w:color w:val="000000"/>
                <w:shd w:val="clear" w:color="auto" w:fill="FFFFFF"/>
                <w:lang w:val="fr-FR"/>
              </w:rPr>
              <w:t xml:space="preserve"> </w:t>
            </w:r>
            <w:r w:rsidRPr="00C644AD">
              <w:rPr>
                <w:rFonts w:ascii="GHEA Grapalat" w:eastAsia="Times New Roman" w:hAnsi="GHEA Grapalat" w:cs="Times Armenian"/>
                <w:color w:val="000000"/>
                <w:shd w:val="clear" w:color="auto" w:fill="FFFFFF"/>
                <w:lang w:val="en-US"/>
              </w:rPr>
              <w:t>և</w:t>
            </w:r>
            <w:r w:rsidRPr="00C644AD">
              <w:rPr>
                <w:rFonts w:ascii="GHEA Grapalat" w:eastAsia="Times New Roman" w:hAnsi="GHEA Grapalat" w:cs="Times Armenian"/>
                <w:color w:val="000000"/>
                <w:shd w:val="clear" w:color="auto" w:fill="FFFFFF"/>
                <w:lang w:val="fr-FR"/>
              </w:rPr>
              <w:t xml:space="preserve"> </w:t>
            </w:r>
            <w:proofErr w:type="spellStart"/>
            <w:r w:rsidRPr="00C644AD">
              <w:rPr>
                <w:rFonts w:ascii="GHEA Grapalat" w:eastAsia="Times New Roman" w:hAnsi="GHEA Grapalat" w:cs="Times Armenian"/>
                <w:color w:val="000000"/>
                <w:shd w:val="clear" w:color="auto" w:fill="FFFFFF"/>
                <w:lang w:val="en-US"/>
              </w:rPr>
              <w:t>ղեկավարվելով</w:t>
            </w:r>
            <w:proofErr w:type="spellEnd"/>
            <w:r w:rsidRPr="00C644AD">
              <w:rPr>
                <w:rFonts w:ascii="GHEA Grapalat" w:eastAsia="Times New Roman" w:hAnsi="GHEA Grapalat" w:cs="Times Armenian"/>
                <w:color w:val="000000"/>
                <w:shd w:val="clear" w:color="auto" w:fill="FFFFFF"/>
                <w:lang w:val="fr-FR"/>
              </w:rPr>
              <w:t xml:space="preserve"> </w:t>
            </w:r>
            <w:r w:rsidRPr="00C644AD">
              <w:rPr>
                <w:rFonts w:ascii="GHEA Grapalat" w:eastAsia="Times New Roman" w:hAnsi="GHEA Grapalat" w:cs="Sylfaen"/>
                <w:lang w:val="hy-AM"/>
              </w:rPr>
              <w:t>«Միջազգային պայմանագրերի մասին» օրենքի 11-րդ հոդվածի 1-ին մասի</w:t>
            </w:r>
            <w:r w:rsidRPr="00C644AD">
              <w:rPr>
                <w:rFonts w:ascii="GHEA Grapalat" w:eastAsia="Times New Roman" w:hAnsi="GHEA Grapalat" w:cs="Sylfaen"/>
                <w:lang w:val="fr-FR"/>
              </w:rPr>
              <w:t xml:space="preserve"> </w:t>
            </w:r>
            <w:r w:rsidRPr="00C644AD">
              <w:rPr>
                <w:rFonts w:ascii="GHEA Grapalat" w:eastAsia="Times New Roman" w:hAnsi="GHEA Grapalat" w:cs="Sylfaen"/>
                <w:lang w:val="hy-AM"/>
              </w:rPr>
              <w:t>5-րդ կետ</w:t>
            </w:r>
            <w:r w:rsidRPr="00C644AD">
              <w:rPr>
                <w:rFonts w:ascii="GHEA Grapalat" w:eastAsia="Times New Roman" w:hAnsi="GHEA Grapalat" w:cs="Sylfaen"/>
                <w:lang w:val="en-US"/>
              </w:rPr>
              <w:t>ի</w:t>
            </w:r>
            <w:r w:rsidRPr="00C644AD">
              <w:rPr>
                <w:rFonts w:ascii="GHEA Grapalat" w:eastAsia="Times New Roman" w:hAnsi="GHEA Grapalat" w:cs="Sylfaen"/>
                <w:lang w:val="fr-FR"/>
              </w:rPr>
              <w:t xml:space="preserve"> </w:t>
            </w:r>
            <w:proofErr w:type="spellStart"/>
            <w:r w:rsidRPr="00C644AD">
              <w:rPr>
                <w:rFonts w:ascii="GHEA Grapalat" w:eastAsia="Times New Roman" w:hAnsi="GHEA Grapalat" w:cs="Sylfaen"/>
                <w:lang w:val="en-US"/>
              </w:rPr>
              <w:t>դրույթներով</w:t>
            </w:r>
            <w:proofErr w:type="spellEnd"/>
            <w:r w:rsidRPr="00C644AD">
              <w:rPr>
                <w:rFonts w:ascii="GHEA Grapalat" w:eastAsia="Times New Roman" w:hAnsi="GHEA Grapalat" w:cs="Sylfaen"/>
                <w:lang w:val="en-US"/>
              </w:rPr>
              <w:t>՝</w:t>
            </w:r>
            <w:r w:rsidRPr="00C644AD">
              <w:rPr>
                <w:rFonts w:ascii="GHEA Grapalat" w:eastAsia="Times New Roman" w:hAnsi="GHEA Grapalat" w:cs="Sylfaen"/>
                <w:lang w:val="fr-FR"/>
              </w:rPr>
              <w:t xml:space="preserve"> </w:t>
            </w:r>
            <w:proofErr w:type="spellStart"/>
            <w:r w:rsidRPr="00C644AD">
              <w:rPr>
                <w:rFonts w:ascii="GHEA Grapalat" w:eastAsia="Times New Roman" w:hAnsi="GHEA Grapalat" w:cs="Sylfaen"/>
                <w:lang w:val="en-US"/>
              </w:rPr>
              <w:t>Ձեզ</w:t>
            </w:r>
            <w:proofErr w:type="spellEnd"/>
            <w:r w:rsidRPr="00C644AD">
              <w:rPr>
                <w:rFonts w:ascii="GHEA Grapalat" w:eastAsia="Times New Roman" w:hAnsi="GHEA Grapalat" w:cs="Sylfaen"/>
                <w:lang w:val="fr-FR"/>
              </w:rPr>
              <w:t xml:space="preserve"> </w:t>
            </w:r>
            <w:proofErr w:type="spellStart"/>
            <w:r w:rsidRPr="00C644AD">
              <w:rPr>
                <w:rFonts w:ascii="GHEA Grapalat" w:eastAsia="Times New Roman" w:hAnsi="GHEA Grapalat" w:cs="Sylfaen"/>
                <w:lang w:val="en-US"/>
              </w:rPr>
              <w:t>եմ</w:t>
            </w:r>
            <w:proofErr w:type="spellEnd"/>
            <w:r w:rsidRPr="00C644AD">
              <w:rPr>
                <w:rFonts w:ascii="GHEA Grapalat" w:eastAsia="Times New Roman" w:hAnsi="GHEA Grapalat" w:cs="Sylfaen"/>
                <w:lang w:val="fr-FR"/>
              </w:rPr>
              <w:t xml:space="preserve"> </w:t>
            </w:r>
            <w:proofErr w:type="spellStart"/>
            <w:r w:rsidRPr="00C644AD">
              <w:rPr>
                <w:rFonts w:ascii="GHEA Grapalat" w:eastAsia="Times New Roman" w:hAnsi="GHEA Grapalat" w:cs="Sylfaen"/>
                <w:lang w:val="en-US"/>
              </w:rPr>
              <w:t>ներկայացնում</w:t>
            </w:r>
            <w:proofErr w:type="spellEnd"/>
            <w:r w:rsidRPr="00C644AD">
              <w:rPr>
                <w:rFonts w:ascii="GHEA Grapalat" w:eastAsia="Times New Roman" w:hAnsi="GHEA Grapalat" w:cs="Sylfaen"/>
                <w:lang w:val="fr-FR"/>
              </w:rPr>
              <w:t xml:space="preserve"> </w:t>
            </w:r>
            <w:r w:rsidRPr="00C644AD">
              <w:rPr>
                <w:rFonts w:ascii="GHEA Grapalat" w:eastAsia="Times New Roman" w:hAnsi="GHEA Grapalat"/>
                <w:lang w:val="hy-AM"/>
              </w:rPr>
              <w:t>«Նշված ոլորտում Եվրասիական տնտեսական միության անդամ պետությունների օրենսդրության ներդաշնակեցման նպատակով՝ Եվրասիական տնտեսական միության տեխնիկական կանոնակարգերի պահանջների պահպանման նկատմամբ պետական հսկողություն (վերահսկողություն) իրականացնելու սկզբունքների ու մոտեցումների մասին» համաձայնագր</w:t>
            </w:r>
            <w:proofErr w:type="spellStart"/>
            <w:r w:rsidRPr="00C644AD">
              <w:rPr>
                <w:rFonts w:ascii="GHEA Grapalat" w:eastAsia="Times New Roman" w:hAnsi="GHEA Grapalat"/>
                <w:lang w:val="en-US"/>
              </w:rPr>
              <w:t>ում</w:t>
            </w:r>
            <w:proofErr w:type="spellEnd"/>
            <w:r w:rsidRPr="00C644AD">
              <w:rPr>
                <w:rFonts w:ascii="GHEA Grapalat" w:eastAsia="Times New Roman" w:hAnsi="GHEA Grapalat"/>
                <w:i/>
                <w:lang w:val="fr-FR"/>
              </w:rPr>
              <w:t xml:space="preserve"> </w:t>
            </w:r>
            <w:r w:rsidRPr="00C644AD">
              <w:rPr>
                <w:rFonts w:ascii="GHEA Grapalat" w:eastAsia="Times New Roman" w:hAnsi="GHEA Grapalat" w:cs="GHEA Grapalat"/>
                <w:color w:val="000000"/>
                <w:lang w:val="hy-AM"/>
              </w:rPr>
              <w:t>Հայաստանի Հանրապետության օրենքին հակասող, օրենքի փոփոխություն կամ նոր օրենքի</w:t>
            </w:r>
            <w:r w:rsidRPr="00C644AD">
              <w:rPr>
                <w:rFonts w:ascii="GHEA Grapalat" w:eastAsia="Times New Roman" w:hAnsi="GHEA Grapalat" w:cs="Sylfaen"/>
                <w:lang w:val="hy-AM"/>
              </w:rPr>
              <w:t xml:space="preserve"> ընդունում նախատեսող նորմերի, ինչպես նաև համաձայնագիրը վավերացման ենթակա դարձնող հիմքերի առկայության մասին ՀՀ արդարադատության նախարարության եզրակացությունը։</w:t>
            </w:r>
          </w:p>
          <w:p w14:paraId="1154C51C" w14:textId="77777777" w:rsidR="00BD372A" w:rsidRPr="00BD372A" w:rsidRDefault="00BD372A" w:rsidP="00F655AA">
            <w:pPr>
              <w:spacing w:line="276" w:lineRule="auto"/>
              <w:ind w:firstLine="318"/>
              <w:jc w:val="both"/>
              <w:rPr>
                <w:rFonts w:ascii="GHEA Grapalat" w:eastAsia="Calibri" w:hAnsi="GHEA Grapalat" w:cs="Sylfaen"/>
                <w:lang w:val="hy-AM" w:eastAsia="en-US"/>
              </w:rPr>
            </w:pPr>
            <w:r w:rsidRPr="00BD372A">
              <w:rPr>
                <w:rFonts w:ascii="GHEA Grapalat" w:eastAsia="Calibri" w:hAnsi="GHEA Grapalat" w:cs="Sylfaen"/>
                <w:lang w:val="hy-AM" w:eastAsia="en-US"/>
              </w:rPr>
              <w:t xml:space="preserve">Համաձայնագիրը չի պարունակում Հայաստանի Հանրապետության օրենքին </w:t>
            </w:r>
            <w:r w:rsidRPr="00BD372A">
              <w:rPr>
                <w:rFonts w:ascii="GHEA Grapalat" w:eastAsia="Calibri" w:hAnsi="GHEA Grapalat" w:cs="Sylfaen"/>
                <w:lang w:val="hy-AM" w:eastAsia="en-US"/>
              </w:rPr>
              <w:lastRenderedPageBreak/>
              <w:t>հակասող, օրենքի փոփոխություն կամ նոր օրենքի ընդունում նախատեսող նորմեր:</w:t>
            </w:r>
          </w:p>
          <w:p w14:paraId="50CD5121" w14:textId="4636E95E" w:rsidR="001118D2" w:rsidRPr="002F30A1" w:rsidRDefault="00BD372A" w:rsidP="002F30A1">
            <w:pPr>
              <w:spacing w:line="276" w:lineRule="auto"/>
              <w:ind w:firstLine="318"/>
              <w:jc w:val="both"/>
              <w:rPr>
                <w:rFonts w:ascii="GHEA Grapalat" w:eastAsia="Calibri" w:hAnsi="GHEA Grapalat"/>
                <w:color w:val="000000"/>
                <w:shd w:val="clear" w:color="auto" w:fill="FFFFFF"/>
                <w:lang w:val="hy-AM" w:eastAsia="en-US"/>
              </w:rPr>
            </w:pPr>
            <w:r w:rsidRPr="00BD372A">
              <w:rPr>
                <w:rFonts w:ascii="GHEA Grapalat" w:eastAsia="Calibri" w:hAnsi="GHEA Grapalat" w:cs="Sylfaen"/>
                <w:lang w:val="hy-AM" w:eastAsia="en-US"/>
              </w:rPr>
              <w:t xml:space="preserve">Միաժամանակ հայտնում ենք, որ </w:t>
            </w:r>
            <w:r w:rsidRPr="00BD372A">
              <w:rPr>
                <w:rFonts w:ascii="GHEA Grapalat" w:eastAsia="Calibri" w:hAnsi="GHEA Grapalat"/>
                <w:color w:val="000000"/>
                <w:shd w:val="clear" w:color="auto" w:fill="FFFFFF"/>
                <w:lang w:val="hy-AM" w:eastAsia="en-US"/>
              </w:rPr>
              <w:t xml:space="preserve">Հայաստանի Հանրապետության համար ֆինանսական կամ գույքային պարտավորություններ նախատեսելու դեպքում Համաձայնագիրը ենթակա է վավերացման: </w:t>
            </w:r>
          </w:p>
        </w:tc>
        <w:tc>
          <w:tcPr>
            <w:tcW w:w="5207" w:type="dxa"/>
            <w:gridSpan w:val="2"/>
            <w:shd w:val="clear" w:color="auto" w:fill="FFFFFF" w:themeFill="background1"/>
          </w:tcPr>
          <w:p w14:paraId="6FAE3561" w14:textId="1446A53D" w:rsidR="001A4A40" w:rsidRPr="008E1ED4" w:rsidRDefault="00F35D6A" w:rsidP="007C6E82">
            <w:pPr>
              <w:spacing w:line="360" w:lineRule="auto"/>
              <w:rPr>
                <w:rFonts w:ascii="GHEA Grapalat" w:hAnsi="GHEA Grapalat" w:cs="Sylfaen"/>
                <w:b/>
                <w:lang w:val="hy-AM"/>
              </w:rPr>
            </w:pPr>
            <w:r w:rsidRPr="008E1ED4">
              <w:rPr>
                <w:rFonts w:ascii="GHEA Grapalat" w:hAnsi="GHEA Grapalat" w:cs="Sylfaen"/>
                <w:b/>
                <w:lang w:val="hy-AM"/>
              </w:rPr>
              <w:lastRenderedPageBreak/>
              <w:t>Ընդունվել է</w:t>
            </w:r>
            <w:r w:rsidR="003939EB" w:rsidRPr="008E1ED4">
              <w:rPr>
                <w:rFonts w:ascii="GHEA Grapalat" w:hAnsi="GHEA Grapalat" w:cs="Sylfaen"/>
                <w:b/>
                <w:lang w:val="hy-AM"/>
              </w:rPr>
              <w:t xml:space="preserve"> ի գիտություն</w:t>
            </w:r>
            <w:r w:rsidRPr="008E1ED4">
              <w:rPr>
                <w:rFonts w:ascii="GHEA Grapalat" w:hAnsi="GHEA Grapalat" w:cs="Sylfaen"/>
                <w:b/>
                <w:lang w:val="hy-AM"/>
              </w:rPr>
              <w:t>:</w:t>
            </w:r>
          </w:p>
          <w:p w14:paraId="5F18A85B" w14:textId="77777777" w:rsidR="00F35D6A" w:rsidRPr="008E1ED4" w:rsidRDefault="00F35D6A" w:rsidP="007C6E82">
            <w:pPr>
              <w:spacing w:line="360" w:lineRule="auto"/>
              <w:rPr>
                <w:rFonts w:ascii="GHEA Grapalat" w:hAnsi="GHEA Grapalat"/>
                <w:lang w:val="hy-AM"/>
              </w:rPr>
            </w:pPr>
          </w:p>
        </w:tc>
      </w:tr>
      <w:tr w:rsidR="00E9699E" w:rsidRPr="008E1ED4" w14:paraId="27F33056" w14:textId="77777777" w:rsidTr="00BC15B8">
        <w:trPr>
          <w:trHeight w:val="292"/>
        </w:trPr>
        <w:tc>
          <w:tcPr>
            <w:tcW w:w="8364" w:type="dxa"/>
            <w:gridSpan w:val="2"/>
            <w:vMerge w:val="restart"/>
            <w:shd w:val="clear" w:color="auto" w:fill="BFBFBF" w:themeFill="background1" w:themeFillShade="BF"/>
          </w:tcPr>
          <w:p w14:paraId="1A074CCE" w14:textId="622A0F4E" w:rsidR="00631FD1" w:rsidRPr="008E1ED4" w:rsidRDefault="001A4A40" w:rsidP="007C6E82">
            <w:pPr>
              <w:pStyle w:val="ListParagraph"/>
              <w:spacing w:line="360" w:lineRule="auto"/>
              <w:ind w:left="468"/>
              <w:jc w:val="center"/>
              <w:rPr>
                <w:rFonts w:ascii="GHEA Grapalat" w:hAnsi="GHEA Grapalat" w:cs="Sylfaen"/>
                <w:b/>
                <w:lang w:val="hy-AM"/>
              </w:rPr>
            </w:pPr>
            <w:r w:rsidRPr="008E1ED4">
              <w:rPr>
                <w:rFonts w:ascii="GHEA Grapalat" w:hAnsi="GHEA Grapalat"/>
                <w:b/>
                <w:lang w:val="hy-AM"/>
              </w:rPr>
              <w:lastRenderedPageBreak/>
              <w:t>2</w:t>
            </w:r>
            <w:r w:rsidR="00E9699E" w:rsidRPr="008E1ED4">
              <w:rPr>
                <w:rFonts w:ascii="GHEA Grapalat" w:hAnsi="GHEA Grapalat"/>
                <w:b/>
                <w:lang w:val="hy-AM"/>
              </w:rPr>
              <w:t xml:space="preserve">. </w:t>
            </w:r>
            <w:r w:rsidR="00BB7307">
              <w:rPr>
                <w:rFonts w:ascii="GHEA Grapalat" w:hAnsi="GHEA Grapalat"/>
                <w:b/>
                <w:lang w:val="hy-AM"/>
              </w:rPr>
              <w:t xml:space="preserve">ՀՀ ֆինանսների նախարարություն </w:t>
            </w:r>
          </w:p>
          <w:p w14:paraId="251A3B93" w14:textId="77777777" w:rsidR="00E9699E" w:rsidRPr="008E1ED4" w:rsidRDefault="00E9699E" w:rsidP="007C6E82">
            <w:pPr>
              <w:pStyle w:val="ListParagraph"/>
              <w:spacing w:line="360" w:lineRule="auto"/>
              <w:ind w:left="468"/>
              <w:jc w:val="center"/>
              <w:rPr>
                <w:rFonts w:ascii="GHEA Grapalat" w:hAnsi="GHEA Grapalat"/>
                <w:b/>
                <w:lang w:val="hy-AM"/>
              </w:rPr>
            </w:pPr>
          </w:p>
        </w:tc>
        <w:tc>
          <w:tcPr>
            <w:tcW w:w="2372" w:type="dxa"/>
            <w:shd w:val="clear" w:color="auto" w:fill="BFBFBF" w:themeFill="background1" w:themeFillShade="BF"/>
          </w:tcPr>
          <w:p w14:paraId="7A6C4DD7" w14:textId="513D774F" w:rsidR="00E9699E" w:rsidRPr="008E1ED4" w:rsidRDefault="003F0C41" w:rsidP="007C6E82">
            <w:pPr>
              <w:spacing w:line="360" w:lineRule="auto"/>
              <w:jc w:val="center"/>
              <w:rPr>
                <w:rFonts w:ascii="GHEA Grapalat" w:hAnsi="GHEA Grapalat"/>
                <w:lang w:val="hy-AM"/>
              </w:rPr>
            </w:pPr>
            <w:r>
              <w:rPr>
                <w:rFonts w:ascii="GHEA Grapalat" w:hAnsi="GHEA Grapalat"/>
                <w:lang w:val="hy-AM"/>
              </w:rPr>
              <w:t>23.04</w:t>
            </w:r>
            <w:r w:rsidR="004F6E60" w:rsidRPr="008E1ED4">
              <w:rPr>
                <w:rFonts w:ascii="GHEA Grapalat" w:hAnsi="GHEA Grapalat"/>
                <w:lang w:val="hy-AM"/>
              </w:rPr>
              <w:t>.2021</w:t>
            </w:r>
            <w:r w:rsidR="00B06190" w:rsidRPr="008E1ED4">
              <w:rPr>
                <w:rFonts w:ascii="GHEA Grapalat" w:hAnsi="GHEA Grapalat"/>
                <w:lang w:val="hy-AM"/>
              </w:rPr>
              <w:t>թ.</w:t>
            </w:r>
          </w:p>
        </w:tc>
      </w:tr>
      <w:tr w:rsidR="00E9699E" w:rsidRPr="008E1ED4" w14:paraId="263CAB4A" w14:textId="77777777" w:rsidTr="00BC15B8">
        <w:trPr>
          <w:trHeight w:val="292"/>
        </w:trPr>
        <w:tc>
          <w:tcPr>
            <w:tcW w:w="8364" w:type="dxa"/>
            <w:gridSpan w:val="2"/>
            <w:vMerge/>
            <w:shd w:val="clear" w:color="auto" w:fill="BFBFBF" w:themeFill="background1" w:themeFillShade="BF"/>
          </w:tcPr>
          <w:p w14:paraId="37921734" w14:textId="77777777" w:rsidR="00E9699E" w:rsidRPr="008E1ED4" w:rsidRDefault="00E9699E" w:rsidP="007C6E82">
            <w:pPr>
              <w:pStyle w:val="ListParagraph"/>
              <w:spacing w:line="360" w:lineRule="auto"/>
              <w:ind w:left="468"/>
              <w:jc w:val="center"/>
              <w:rPr>
                <w:rFonts w:ascii="GHEA Grapalat" w:hAnsi="GHEA Grapalat"/>
                <w:lang w:val="hy-AM"/>
              </w:rPr>
            </w:pPr>
          </w:p>
        </w:tc>
        <w:tc>
          <w:tcPr>
            <w:tcW w:w="2372" w:type="dxa"/>
            <w:shd w:val="clear" w:color="auto" w:fill="BFBFBF" w:themeFill="background1" w:themeFillShade="BF"/>
          </w:tcPr>
          <w:p w14:paraId="7A90F610" w14:textId="3EC7A8CF" w:rsidR="00E9699E" w:rsidRPr="008E1ED4" w:rsidRDefault="001A4A40" w:rsidP="003F0C41">
            <w:pPr>
              <w:spacing w:line="360" w:lineRule="auto"/>
              <w:jc w:val="center"/>
              <w:rPr>
                <w:rFonts w:ascii="GHEA Grapalat" w:hAnsi="GHEA Grapalat" w:cs="Sylfaen"/>
                <w:lang w:val="hy-AM"/>
              </w:rPr>
            </w:pPr>
            <w:r w:rsidRPr="008E1ED4">
              <w:rPr>
                <w:rFonts w:ascii="GHEA Grapalat" w:hAnsi="GHEA Grapalat" w:cs="Sylfaen"/>
                <w:lang w:val="hy-AM"/>
              </w:rPr>
              <w:t>N</w:t>
            </w:r>
            <w:r w:rsidR="003F0C41">
              <w:rPr>
                <w:rFonts w:ascii="GHEA Grapalat" w:hAnsi="GHEA Grapalat" w:cs="Sylfaen"/>
                <w:lang w:val="hy-AM"/>
              </w:rPr>
              <w:t xml:space="preserve"> </w:t>
            </w:r>
            <w:r w:rsidR="003F0C41" w:rsidRPr="003F0C41">
              <w:rPr>
                <w:rFonts w:ascii="GHEA Grapalat" w:hAnsi="GHEA Grapalat" w:cs="Sylfaen"/>
              </w:rPr>
              <w:t>01/5-1/6115-2021</w:t>
            </w:r>
            <w:r w:rsidR="00631FD1" w:rsidRPr="008E1ED4">
              <w:rPr>
                <w:rFonts w:ascii="GHEA Grapalat" w:hAnsi="GHEA Grapalat" w:cs="Sylfaen"/>
                <w:lang w:val="hy-AM"/>
              </w:rPr>
              <w:t xml:space="preserve"> </w:t>
            </w:r>
          </w:p>
        </w:tc>
      </w:tr>
      <w:tr w:rsidR="001118D2" w:rsidRPr="00946173" w14:paraId="56CEC13D" w14:textId="77777777" w:rsidTr="00BC15B8">
        <w:trPr>
          <w:trHeight w:val="292"/>
        </w:trPr>
        <w:tc>
          <w:tcPr>
            <w:tcW w:w="5529" w:type="dxa"/>
            <w:shd w:val="clear" w:color="auto" w:fill="FFFFFF" w:themeFill="background1"/>
          </w:tcPr>
          <w:p w14:paraId="08ED7EA6" w14:textId="77777777" w:rsidR="00CF3962" w:rsidRPr="00CF3962" w:rsidRDefault="00CF3962" w:rsidP="00C67FD5">
            <w:pPr>
              <w:spacing w:line="276" w:lineRule="auto"/>
              <w:ind w:left="90" w:firstLine="720"/>
              <w:jc w:val="both"/>
              <w:rPr>
                <w:rFonts w:ascii="GHEA Grapalat" w:eastAsia="Times New Roman" w:hAnsi="GHEA Grapalat"/>
                <w:lang w:val="hy-AM" w:eastAsia="en-US"/>
              </w:rPr>
            </w:pPr>
            <w:r w:rsidRPr="00CF3962">
              <w:rPr>
                <w:rFonts w:ascii="GHEA Grapalat" w:eastAsia="Times New Roman" w:hAnsi="GHEA Grapalat"/>
                <w:lang w:val="hy-AM" w:eastAsia="en-US"/>
              </w:rPr>
              <w:t>Կից ներկայացնում ենք «Նշված ոլորտում Եվրասիական տնտեսական միության անդամ պետությունների օրենսդրության ներդաշնակեցման նպատակով՝ Եվրասիական տնտեսական միության տեխնիկական կանոնակարգերի պահանջների պահպանման նկատմամբ պետական հսկողություն (վերահսկողություն) իրականացնելու սկզբունքների ու մոտեցումների մասին» համաձայնագրի նախագծի վերաբերյալ եզրակացությունը:</w:t>
            </w:r>
          </w:p>
          <w:p w14:paraId="4B954292" w14:textId="50BE7B3E" w:rsidR="00CF3962" w:rsidRPr="00CF3962" w:rsidRDefault="00CF3962" w:rsidP="00C67FD5">
            <w:pPr>
              <w:tabs>
                <w:tab w:val="left" w:pos="900"/>
              </w:tabs>
              <w:spacing w:line="276" w:lineRule="auto"/>
              <w:jc w:val="both"/>
              <w:rPr>
                <w:rFonts w:ascii="GHEA Grapalat" w:eastAsia="Calibri" w:hAnsi="GHEA Grapalat"/>
                <w:lang w:val="hy-AM" w:eastAsia="en-US"/>
              </w:rPr>
            </w:pPr>
            <w:r w:rsidRPr="00CF3962">
              <w:rPr>
                <w:rFonts w:ascii="GHEA Grapalat" w:eastAsia="Calibri" w:hAnsi="GHEA Grapalat"/>
                <w:lang w:val="hy-AM" w:eastAsia="en-US"/>
              </w:rPr>
              <w:t>«Նշված ոլորտում Եվրասիական տնտեսական միության անդամ պետությունների օրենսդրության ներդաշնակեցման նպատակով՝ Եվրասիական տնտեսական միության տեխնիկական կանոնակարգերի պահանջների պահպանման նկատմամբ պետական հսկողություն (վերահսկողություն) իրականացնելու սկզբունքների ու մոտեցումների մասին</w:t>
            </w:r>
            <w:r w:rsidR="00D65E2E">
              <w:rPr>
                <w:rFonts w:ascii="GHEA Grapalat" w:eastAsia="Calibri" w:hAnsi="GHEA Grapalat"/>
                <w:lang w:val="hy-AM" w:eastAsia="en-US"/>
              </w:rPr>
              <w:t xml:space="preserve">» </w:t>
            </w:r>
            <w:r w:rsidRPr="00CF3962">
              <w:rPr>
                <w:rFonts w:ascii="GHEA Grapalat" w:eastAsia="Calibri" w:hAnsi="GHEA Grapalat"/>
                <w:lang w:val="hy-AM" w:eastAsia="en-US"/>
              </w:rPr>
              <w:t>համաձայնագրի</w:t>
            </w:r>
            <w:r w:rsidR="00D65E2E">
              <w:rPr>
                <w:rFonts w:ascii="GHEA Grapalat" w:eastAsia="Calibri" w:hAnsi="GHEA Grapalat"/>
                <w:lang w:val="hy-AM" w:eastAsia="en-US"/>
              </w:rPr>
              <w:t xml:space="preserve"> </w:t>
            </w:r>
            <w:r w:rsidRPr="00CF3962">
              <w:rPr>
                <w:rFonts w:ascii="GHEA Grapalat" w:eastAsia="Calibri" w:hAnsi="GHEA Grapalat"/>
                <w:lang w:val="hy-AM" w:eastAsia="en-US"/>
              </w:rPr>
              <w:t>նախագծում  (այսուհետ՝ Նախագիծ) առկա է դրույթ (6-րդ հոդվածի 3-րդ կետ</w:t>
            </w:r>
            <w:r w:rsidRPr="00CF3962">
              <w:rPr>
                <w:rFonts w:ascii="Cambria Math" w:eastAsia="Calibri" w:hAnsi="Cambria Math" w:cs="Cambria Math"/>
                <w:lang w:val="hy-AM" w:eastAsia="en-US"/>
              </w:rPr>
              <w:t>․</w:t>
            </w:r>
            <w:r w:rsidRPr="00CF3962">
              <w:rPr>
                <w:rFonts w:ascii="GHEA Grapalat" w:eastAsia="Calibri" w:hAnsi="GHEA Grapalat"/>
                <w:lang w:val="hy-AM" w:eastAsia="en-US"/>
              </w:rPr>
              <w:t xml:space="preserve"> Պետական հսկողության (վերահսկողության) մարմիններն իրավունք ունեն պետական հսկողության (վերահսկողության) միջոցառումների անցկացմանը ներգրավելու փորձագետներ և (կամ) փորձագիտական կազմակերպություններ՝ անդամ պետությունների օրենսդրությամբ </w:t>
            </w:r>
            <w:r w:rsidRPr="00CF3962">
              <w:rPr>
                <w:rFonts w:ascii="GHEA Grapalat" w:eastAsia="Calibri" w:hAnsi="GHEA Grapalat"/>
                <w:lang w:val="hy-AM" w:eastAsia="en-US"/>
              </w:rPr>
              <w:lastRenderedPageBreak/>
              <w:t>սահմանված կարգով), որի համապատասխան պայմանների ի հայտ գալու դեպքում կարող է հանգեցնել Հայաստանի Հանրապետության պետական բյուջեի ծախսերի ավելացմանը¸ որի չափը հնարավոր չէ գնահատել համապատասխան տվյալների բացակայության պատճառով։</w:t>
            </w:r>
            <w:r w:rsidR="0064292D" w:rsidRPr="0064292D">
              <w:rPr>
                <w:rFonts w:ascii="GHEA Grapalat" w:eastAsia="Calibri" w:hAnsi="GHEA Grapalat"/>
                <w:lang w:val="hy-AM" w:eastAsia="en-US"/>
              </w:rPr>
              <w:t xml:space="preserve"> </w:t>
            </w:r>
            <w:r w:rsidRPr="00CF3962">
              <w:rPr>
                <w:rFonts w:ascii="GHEA Grapalat" w:eastAsia="Calibri" w:hAnsi="GHEA Grapalat"/>
                <w:lang w:val="hy-AM" w:eastAsia="en-US"/>
              </w:rPr>
              <w:t>Միաժամանակ տեղեկացնում ենք, որ Նախագիծը եկամուտների նվազեցում նախատեսող դրույթներ չի պարունակում:</w:t>
            </w:r>
          </w:p>
          <w:p w14:paraId="008409E2" w14:textId="1C3F1BFF" w:rsidR="001118D2" w:rsidRPr="008E1ED4" w:rsidRDefault="001118D2" w:rsidP="00C67FD5">
            <w:pPr>
              <w:spacing w:line="276" w:lineRule="auto"/>
              <w:rPr>
                <w:rFonts w:ascii="GHEA Grapalat" w:hAnsi="GHEA Grapalat"/>
                <w:lang w:val="hy-AM"/>
              </w:rPr>
            </w:pPr>
          </w:p>
        </w:tc>
        <w:tc>
          <w:tcPr>
            <w:tcW w:w="5207" w:type="dxa"/>
            <w:gridSpan w:val="2"/>
            <w:shd w:val="clear" w:color="auto" w:fill="FFFFFF" w:themeFill="background1"/>
          </w:tcPr>
          <w:p w14:paraId="6ACFB038" w14:textId="1AE91F02" w:rsidR="001118D2" w:rsidRDefault="004D6032" w:rsidP="007C6E82">
            <w:pPr>
              <w:spacing w:line="360" w:lineRule="auto"/>
              <w:rPr>
                <w:rFonts w:ascii="GHEA Grapalat" w:hAnsi="GHEA Grapalat"/>
                <w:b/>
                <w:lang w:val="hy-AM"/>
              </w:rPr>
            </w:pPr>
            <w:r w:rsidRPr="008E1ED4">
              <w:rPr>
                <w:rFonts w:ascii="GHEA Grapalat" w:hAnsi="GHEA Grapalat"/>
                <w:b/>
                <w:lang w:val="hy-AM"/>
              </w:rPr>
              <w:lastRenderedPageBreak/>
              <w:t>Ընդունվել է ի գիտություն:</w:t>
            </w:r>
          </w:p>
          <w:p w14:paraId="7CBB02CD" w14:textId="17B4C730" w:rsidR="003301E3" w:rsidRPr="00D67434" w:rsidRDefault="0064292D" w:rsidP="006867F4">
            <w:pPr>
              <w:spacing w:line="276" w:lineRule="auto"/>
              <w:jc w:val="both"/>
              <w:rPr>
                <w:rFonts w:ascii="GHEA Grapalat" w:hAnsi="GHEA Grapalat"/>
                <w:b/>
                <w:lang w:val="hy-AM"/>
              </w:rPr>
            </w:pPr>
            <w:r w:rsidRPr="0012690D">
              <w:rPr>
                <w:rFonts w:ascii="GHEA Grapalat" w:hAnsi="GHEA Grapalat"/>
                <w:lang w:val="hy-AM"/>
              </w:rPr>
              <w:t xml:space="preserve">Համաձայնագրի </w:t>
            </w:r>
            <w:r w:rsidR="002F30A1" w:rsidRPr="0012690D">
              <w:rPr>
                <w:rFonts w:ascii="GHEA Grapalat" w:hAnsi="GHEA Grapalat"/>
                <w:lang w:val="hy-AM"/>
              </w:rPr>
              <w:t xml:space="preserve">6-րդ հոդվածի 3-րդ կետով սահմանված դրույթի </w:t>
            </w:r>
            <w:r w:rsidR="002F30A1" w:rsidRPr="00CA4C90">
              <w:rPr>
                <w:rFonts w:ascii="GHEA Grapalat" w:hAnsi="GHEA Grapalat"/>
                <w:i/>
                <w:sz w:val="22"/>
                <w:szCs w:val="22"/>
                <w:lang w:val="hy-AM"/>
              </w:rPr>
              <w:t>/Պետական հսկողության (վերահսկողության) մարմիններն իրավունք ունեն պետական հսկողության (վերահսկողության) միջոցառումների անցկացմանը ներգրավելու փորձագետներ և (կամ) փորձագիտական կազմակերպություններ՝ անդամ պետությունների օրենսդրությամբ</w:t>
            </w:r>
            <w:r w:rsidR="002F30A1" w:rsidRPr="00CA4C90">
              <w:rPr>
                <w:rFonts w:ascii="GHEA Grapalat" w:eastAsia="Calibri" w:hAnsi="GHEA Grapalat"/>
                <w:i/>
                <w:sz w:val="22"/>
                <w:szCs w:val="22"/>
                <w:lang w:val="hy-AM" w:eastAsia="en-US"/>
              </w:rPr>
              <w:t xml:space="preserve"> </w:t>
            </w:r>
            <w:r w:rsidR="002F30A1" w:rsidRPr="00CA4C90">
              <w:rPr>
                <w:rFonts w:ascii="GHEA Grapalat" w:hAnsi="GHEA Grapalat"/>
                <w:i/>
                <w:sz w:val="22"/>
                <w:szCs w:val="22"/>
                <w:lang w:val="hy-AM"/>
              </w:rPr>
              <w:t>սահմանված կարգով</w:t>
            </w:r>
            <w:r w:rsidR="0012690D" w:rsidRPr="00CA4C90">
              <w:rPr>
                <w:rFonts w:ascii="GHEA Grapalat" w:hAnsi="GHEA Grapalat"/>
                <w:i/>
                <w:sz w:val="22"/>
                <w:szCs w:val="22"/>
                <w:lang w:val="hy-AM"/>
              </w:rPr>
              <w:t>)/</w:t>
            </w:r>
            <w:r w:rsidR="0012690D">
              <w:rPr>
                <w:rFonts w:ascii="GHEA Grapalat" w:hAnsi="GHEA Grapalat"/>
                <w:i/>
                <w:lang w:val="hy-AM"/>
              </w:rPr>
              <w:t xml:space="preserve"> </w:t>
            </w:r>
            <w:r w:rsidR="0012690D" w:rsidRPr="00CA4C90">
              <w:rPr>
                <w:rFonts w:ascii="GHEA Grapalat" w:hAnsi="GHEA Grapalat"/>
                <w:lang w:val="hy-AM"/>
              </w:rPr>
              <w:t xml:space="preserve">վերաբերյալ հայտնում ենք, որ ներկայումս </w:t>
            </w:r>
            <w:r w:rsidR="0012690D" w:rsidRPr="003164DC">
              <w:rPr>
                <w:rFonts w:ascii="GHEA Grapalat" w:hAnsi="GHEA Grapalat"/>
                <w:lang w:val="hy-AM"/>
              </w:rPr>
              <w:t>«</w:t>
            </w:r>
            <w:r w:rsidR="00A3152F" w:rsidRPr="003164DC">
              <w:rPr>
                <w:rFonts w:ascii="GHEA Grapalat" w:hAnsi="GHEA Grapalat"/>
                <w:bCs/>
                <w:lang w:val="hy-AM"/>
              </w:rPr>
              <w:t>Հ</w:t>
            </w:r>
            <w:r w:rsidR="003164DC" w:rsidRPr="003164DC">
              <w:rPr>
                <w:rFonts w:ascii="GHEA Grapalat" w:hAnsi="GHEA Grapalat"/>
                <w:bCs/>
                <w:lang w:val="hy-AM"/>
              </w:rPr>
              <w:t>այաստանի</w:t>
            </w:r>
            <w:r w:rsidR="00A3152F" w:rsidRPr="003164DC">
              <w:rPr>
                <w:rFonts w:ascii="GHEA Grapalat" w:hAnsi="GHEA Grapalat"/>
                <w:bCs/>
                <w:lang w:val="hy-AM"/>
              </w:rPr>
              <w:t xml:space="preserve"> Հ</w:t>
            </w:r>
            <w:r w:rsidR="003164DC" w:rsidRPr="003164DC">
              <w:rPr>
                <w:rFonts w:ascii="GHEA Grapalat" w:hAnsi="GHEA Grapalat"/>
                <w:bCs/>
                <w:lang w:val="hy-AM"/>
              </w:rPr>
              <w:t>անրապետությունում</w:t>
            </w:r>
            <w:r w:rsidR="003164DC">
              <w:rPr>
                <w:rFonts w:ascii="Calibri" w:hAnsi="Calibri" w:cs="Calibri"/>
                <w:bCs/>
                <w:lang w:val="hy-AM"/>
              </w:rPr>
              <w:t xml:space="preserve"> </w:t>
            </w:r>
            <w:r w:rsidR="003164DC" w:rsidRPr="003164DC">
              <w:rPr>
                <w:rFonts w:ascii="GHEA Grapalat" w:hAnsi="GHEA Grapalat"/>
                <w:bCs/>
                <w:lang w:val="hy-AM"/>
              </w:rPr>
              <w:t>ստուգումների</w:t>
            </w:r>
            <w:r w:rsidR="003164DC">
              <w:rPr>
                <w:rFonts w:ascii="GHEA Grapalat" w:hAnsi="GHEA Grapalat"/>
                <w:lang w:val="hy-AM"/>
              </w:rPr>
              <w:t xml:space="preserve"> </w:t>
            </w:r>
            <w:r w:rsidR="003164DC" w:rsidRPr="003164DC">
              <w:rPr>
                <w:rFonts w:ascii="GHEA Grapalat" w:hAnsi="GHEA Grapalat"/>
                <w:bCs/>
                <w:lang w:val="hy-AM"/>
              </w:rPr>
              <w:t>կազմակերպման և անցկացման</w:t>
            </w:r>
            <w:r w:rsidR="003164DC">
              <w:rPr>
                <w:rFonts w:ascii="Calibri" w:hAnsi="Calibri" w:cs="Calibri"/>
                <w:bCs/>
                <w:lang w:val="hy-AM"/>
              </w:rPr>
              <w:t xml:space="preserve"> </w:t>
            </w:r>
            <w:r w:rsidR="003164DC" w:rsidRPr="003164DC">
              <w:rPr>
                <w:rFonts w:ascii="GHEA Grapalat" w:hAnsi="GHEA Grapalat"/>
                <w:bCs/>
                <w:lang w:val="hy-AM"/>
              </w:rPr>
              <w:t>մասին»</w:t>
            </w:r>
            <w:r w:rsidR="00DF559A">
              <w:rPr>
                <w:rFonts w:ascii="GHEA Grapalat" w:hAnsi="GHEA Grapalat"/>
                <w:bCs/>
                <w:lang w:val="hy-AM"/>
              </w:rPr>
              <w:t xml:space="preserve"> </w:t>
            </w:r>
            <w:r w:rsidR="00CB58E2" w:rsidRPr="00CA4C90">
              <w:rPr>
                <w:rFonts w:ascii="GHEA Grapalat" w:hAnsi="GHEA Grapalat"/>
                <w:lang w:val="hy-AM"/>
              </w:rPr>
              <w:t>գործող</w:t>
            </w:r>
            <w:r w:rsidR="00CB58E2">
              <w:rPr>
                <w:rFonts w:ascii="GHEA Grapalat" w:hAnsi="GHEA Grapalat"/>
                <w:bCs/>
                <w:lang w:val="hy-AM"/>
              </w:rPr>
              <w:t xml:space="preserve"> </w:t>
            </w:r>
            <w:r w:rsidR="00DF559A">
              <w:rPr>
                <w:rFonts w:ascii="GHEA Grapalat" w:hAnsi="GHEA Grapalat"/>
                <w:bCs/>
                <w:lang w:val="hy-AM"/>
              </w:rPr>
              <w:t>օրենքի 7-րդ հոդվածի 1-ին մասի ժա</w:t>
            </w:r>
            <w:r w:rsidR="00DF559A" w:rsidRPr="00DF559A">
              <w:rPr>
                <w:rFonts w:ascii="GHEA Grapalat" w:hAnsi="GHEA Grapalat"/>
                <w:bCs/>
                <w:lang w:val="hy-AM"/>
              </w:rPr>
              <w:t xml:space="preserve">) </w:t>
            </w:r>
            <w:r w:rsidR="00CB58E2">
              <w:rPr>
                <w:rFonts w:ascii="GHEA Grapalat" w:hAnsi="GHEA Grapalat"/>
                <w:bCs/>
                <w:lang w:val="hy-AM"/>
              </w:rPr>
              <w:t xml:space="preserve">կետով արդեն իսկ սահմանված է դրույթ առ այն, որ </w:t>
            </w:r>
            <w:r w:rsidR="00DF559A">
              <w:rPr>
                <w:rFonts w:ascii="GHEA Grapalat" w:hAnsi="GHEA Grapalat"/>
                <w:bCs/>
                <w:lang w:val="hy-AM"/>
              </w:rPr>
              <w:t xml:space="preserve"> </w:t>
            </w:r>
            <w:r w:rsidR="00DF559A" w:rsidRPr="00DF559A">
              <w:rPr>
                <w:rFonts w:ascii="GHEA Grapalat" w:hAnsi="GHEA Grapalat"/>
                <w:lang w:val="hy-AM"/>
              </w:rPr>
              <w:t xml:space="preserve">ստուգման ցանկացած փուլում առանձին հարցերի պարզաբանման նպատակով </w:t>
            </w:r>
            <w:r w:rsidR="00CB58E2">
              <w:rPr>
                <w:rFonts w:ascii="GHEA Grapalat" w:hAnsi="GHEA Grapalat"/>
                <w:lang w:val="hy-AM"/>
              </w:rPr>
              <w:t>ս</w:t>
            </w:r>
            <w:r w:rsidR="00CB58E2" w:rsidRPr="00CB58E2">
              <w:rPr>
                <w:rFonts w:ascii="GHEA Grapalat" w:hAnsi="GHEA Grapalat"/>
                <w:lang w:val="hy-AM"/>
              </w:rPr>
              <w:t>տուգումն իրականացնող անձինք իրենց լիազորություններն իրականացնելիս իրավունք ունեն</w:t>
            </w:r>
            <w:r w:rsidR="000B4070">
              <w:rPr>
                <w:rFonts w:ascii="GHEA Grapalat" w:hAnsi="GHEA Grapalat"/>
                <w:lang w:val="hy-AM"/>
              </w:rPr>
              <w:t xml:space="preserve"> </w:t>
            </w:r>
            <w:r w:rsidR="00DF559A" w:rsidRPr="00DF559A">
              <w:rPr>
                <w:rFonts w:ascii="GHEA Grapalat" w:hAnsi="GHEA Grapalat"/>
                <w:lang w:val="hy-AM"/>
              </w:rPr>
              <w:t xml:space="preserve">ստուգմանը ներգրավել տնտեսավարող սուբյեկտի կողմից իրականացվող տնտեսական </w:t>
            </w:r>
            <w:r w:rsidR="00DF559A" w:rsidRPr="00EE3D90">
              <w:rPr>
                <w:rFonts w:ascii="GHEA Grapalat" w:hAnsi="GHEA Grapalat"/>
                <w:lang w:val="hy-AM"/>
              </w:rPr>
              <w:t>գործունեության ոլորտի համապատասխան մասնագետների և թարգմանիչների:</w:t>
            </w:r>
            <w:r w:rsidR="00DF559A" w:rsidRPr="00EE3D90">
              <w:rPr>
                <w:rFonts w:ascii="Calibri" w:hAnsi="Calibri" w:cs="Calibri"/>
                <w:lang w:val="hy-AM"/>
              </w:rPr>
              <w:t> </w:t>
            </w:r>
            <w:r w:rsidR="00EE3D90" w:rsidRPr="00EE3D90">
              <w:rPr>
                <w:rFonts w:ascii="GHEA Grapalat" w:hAnsi="GHEA Grapalat" w:cs="Calibri"/>
                <w:lang w:val="hy-AM"/>
              </w:rPr>
              <w:t>Այսպիսով, նման կարգավորում, ըստ էության արդեն իսկ առկա է ՀՀ գործող օրենսդրությամբ</w:t>
            </w:r>
            <w:r w:rsidR="007D0C04">
              <w:rPr>
                <w:rFonts w:ascii="GHEA Grapalat" w:hAnsi="GHEA Grapalat" w:cs="Calibri"/>
                <w:lang w:val="hy-AM"/>
              </w:rPr>
              <w:t>, ընդ որում</w:t>
            </w:r>
            <w:r w:rsidR="00336C2F">
              <w:rPr>
                <w:rFonts w:ascii="GHEA Grapalat" w:hAnsi="GHEA Grapalat" w:cs="Calibri"/>
                <w:lang w:val="hy-AM"/>
              </w:rPr>
              <w:t xml:space="preserve">, համապատասխան մասնագետները </w:t>
            </w:r>
            <w:r w:rsidR="00336C2F">
              <w:rPr>
                <w:rFonts w:ascii="GHEA Grapalat" w:hAnsi="GHEA Grapalat" w:cs="Calibri"/>
                <w:lang w:val="hy-AM"/>
              </w:rPr>
              <w:lastRenderedPageBreak/>
              <w:t>ներգրավվելու են ըստ անհրաժեշտության</w:t>
            </w:r>
            <w:r w:rsidR="009F5763">
              <w:rPr>
                <w:rFonts w:ascii="GHEA Grapalat" w:hAnsi="GHEA Grapalat" w:cs="Calibri"/>
                <w:lang w:val="hy-AM"/>
              </w:rPr>
              <w:t xml:space="preserve">, </w:t>
            </w:r>
            <w:r w:rsidR="0067014B">
              <w:rPr>
                <w:rFonts w:ascii="GHEA Grapalat" w:hAnsi="GHEA Grapalat" w:cs="Calibri"/>
                <w:lang w:val="hy-AM"/>
              </w:rPr>
              <w:t>ինչպես որ ներկայում է:</w:t>
            </w:r>
            <w:r w:rsidR="00DB711B">
              <w:rPr>
                <w:rFonts w:ascii="GHEA Grapalat" w:hAnsi="GHEA Grapalat" w:cs="Calibri"/>
                <w:lang w:val="hy-AM"/>
              </w:rPr>
              <w:t xml:space="preserve"> Միաժամանակ, </w:t>
            </w:r>
            <w:r w:rsidR="00DB711B" w:rsidRPr="00DB711B">
              <w:rPr>
                <w:rFonts w:ascii="GHEA Grapalat" w:hAnsi="GHEA Grapalat" w:cs="Calibri"/>
                <w:lang w:val="hy-AM"/>
              </w:rPr>
              <w:t>Համաձայնագրի 6-րդ հոդվածի 3-րդ կետով</w:t>
            </w:r>
            <w:r w:rsidR="00DB711B">
              <w:rPr>
                <w:rFonts w:ascii="GHEA Grapalat" w:hAnsi="GHEA Grapalat"/>
                <w:lang w:val="hy-AM"/>
              </w:rPr>
              <w:t xml:space="preserve"> </w:t>
            </w:r>
            <w:r w:rsidR="00902368">
              <w:rPr>
                <w:rFonts w:ascii="GHEA Grapalat" w:hAnsi="GHEA Grapalat"/>
                <w:lang w:val="hy-AM"/>
              </w:rPr>
              <w:t>հղում է կատարվում ներպետական օրենսդրությանը</w:t>
            </w:r>
            <w:r w:rsidR="00386D09">
              <w:rPr>
                <w:rFonts w:ascii="GHEA Grapalat" w:hAnsi="GHEA Grapalat"/>
                <w:lang w:val="hy-AM"/>
              </w:rPr>
              <w:t xml:space="preserve">, մասնավորապես՝ նախատեսվում է, որ </w:t>
            </w:r>
            <w:r w:rsidR="00DB711B" w:rsidRPr="00DB711B">
              <w:rPr>
                <w:rFonts w:ascii="GHEA Grapalat" w:hAnsi="GHEA Grapalat"/>
                <w:i/>
                <w:lang w:val="hy-AM"/>
              </w:rPr>
              <w:t>Պետական հսկողության (վերահսկողության) մարմիններն պետական հսկողության (վերահսկողության) միջոցառումների անցկացմանը փորձագետներ և (կամ) փորձագիտական կազմակերպություններ</w:t>
            </w:r>
            <w:r w:rsidR="001B53A6">
              <w:rPr>
                <w:rFonts w:ascii="GHEA Grapalat" w:hAnsi="GHEA Grapalat"/>
                <w:i/>
                <w:lang w:val="hy-AM"/>
              </w:rPr>
              <w:t xml:space="preserve"> </w:t>
            </w:r>
            <w:r w:rsidR="001B53A6" w:rsidRPr="00DB711B">
              <w:rPr>
                <w:rFonts w:ascii="GHEA Grapalat" w:hAnsi="GHEA Grapalat"/>
                <w:i/>
                <w:lang w:val="hy-AM"/>
              </w:rPr>
              <w:t>ներգրավելու</w:t>
            </w:r>
            <w:r w:rsidR="001B53A6">
              <w:rPr>
                <w:rFonts w:ascii="GHEA Grapalat" w:hAnsi="GHEA Grapalat"/>
                <w:i/>
                <w:lang w:val="hy-AM"/>
              </w:rPr>
              <w:t xml:space="preserve"> են</w:t>
            </w:r>
            <w:r w:rsidR="00DB711B" w:rsidRPr="00DB711B">
              <w:rPr>
                <w:rFonts w:ascii="GHEA Grapalat" w:hAnsi="GHEA Grapalat"/>
                <w:i/>
                <w:lang w:val="hy-AM"/>
              </w:rPr>
              <w:t xml:space="preserve"> </w:t>
            </w:r>
            <w:r w:rsidR="00DB711B" w:rsidRPr="001B53A6">
              <w:rPr>
                <w:rFonts w:ascii="GHEA Grapalat" w:hAnsi="GHEA Grapalat"/>
                <w:b/>
                <w:lang w:val="hy-AM"/>
              </w:rPr>
              <w:t>անդամ պետությունների օրենսդրությամբ սահմանված կարգով</w:t>
            </w:r>
            <w:r w:rsidR="00F24D86">
              <w:rPr>
                <w:rFonts w:ascii="GHEA Grapalat" w:hAnsi="GHEA Grapalat"/>
                <w:b/>
                <w:lang w:val="hy-AM"/>
              </w:rPr>
              <w:t xml:space="preserve"> </w:t>
            </w:r>
            <w:r w:rsidR="00F24D86" w:rsidRPr="00F24D86">
              <w:rPr>
                <w:rFonts w:ascii="GHEA Grapalat" w:hAnsi="GHEA Grapalat"/>
                <w:i/>
                <w:lang w:val="hy-AM"/>
              </w:rPr>
              <w:t>(«</w:t>
            </w:r>
            <w:r w:rsidR="00F24D86" w:rsidRPr="00F24D86">
              <w:rPr>
                <w:rFonts w:ascii="GHEA Grapalat" w:hAnsi="GHEA Grapalat"/>
                <w:bCs/>
                <w:i/>
                <w:lang w:val="hy-AM"/>
              </w:rPr>
              <w:t>Հայաստանի Հանրապետությունում ստուգումների</w:t>
            </w:r>
            <w:r w:rsidR="00F24D86" w:rsidRPr="00F24D86">
              <w:rPr>
                <w:rFonts w:ascii="GHEA Grapalat" w:hAnsi="GHEA Grapalat"/>
                <w:i/>
                <w:lang w:val="hy-AM"/>
              </w:rPr>
              <w:t xml:space="preserve"> </w:t>
            </w:r>
            <w:r w:rsidR="00F24D86" w:rsidRPr="00F24D86">
              <w:rPr>
                <w:rFonts w:ascii="GHEA Grapalat" w:hAnsi="GHEA Grapalat"/>
                <w:bCs/>
                <w:i/>
                <w:lang w:val="hy-AM"/>
              </w:rPr>
              <w:t xml:space="preserve">կազմակերպման և անցկացման մասին» </w:t>
            </w:r>
            <w:r w:rsidR="00F24D86" w:rsidRPr="00F24D86">
              <w:rPr>
                <w:rFonts w:ascii="GHEA Grapalat" w:hAnsi="GHEA Grapalat"/>
                <w:i/>
                <w:lang w:val="hy-AM"/>
              </w:rPr>
              <w:t>գործող</w:t>
            </w:r>
            <w:r w:rsidR="00F24D86" w:rsidRPr="00F24D86">
              <w:rPr>
                <w:rFonts w:ascii="GHEA Grapalat" w:hAnsi="GHEA Grapalat"/>
                <w:bCs/>
                <w:i/>
                <w:lang w:val="hy-AM"/>
              </w:rPr>
              <w:t xml:space="preserve"> օրենքի 7-րդ հոդվածի 1-ին մասի ժա) կետ</w:t>
            </w:r>
            <w:r w:rsidR="00F24D86" w:rsidRPr="00F24D86">
              <w:rPr>
                <w:rFonts w:ascii="GHEA Grapalat" w:hAnsi="GHEA Grapalat"/>
                <w:i/>
                <w:lang w:val="hy-AM"/>
              </w:rPr>
              <w:t>):</w:t>
            </w:r>
            <w:r w:rsidR="00F24D86">
              <w:rPr>
                <w:rFonts w:ascii="GHEA Grapalat" w:hAnsi="GHEA Grapalat"/>
                <w:b/>
                <w:lang w:val="hy-AM"/>
              </w:rPr>
              <w:t xml:space="preserve"> </w:t>
            </w:r>
            <w:r w:rsidR="002C0F40">
              <w:rPr>
                <w:rFonts w:ascii="GHEA Grapalat" w:hAnsi="GHEA Grapalat"/>
                <w:b/>
                <w:lang w:val="hy-AM"/>
              </w:rPr>
              <w:t xml:space="preserve"> </w:t>
            </w:r>
            <w:r w:rsidR="00F24D86" w:rsidRPr="006867F4">
              <w:rPr>
                <w:rFonts w:ascii="GHEA Grapalat" w:hAnsi="GHEA Grapalat"/>
                <w:lang w:val="hy-AM"/>
              </w:rPr>
              <w:t>Ը</w:t>
            </w:r>
            <w:r w:rsidR="002C0F40" w:rsidRPr="006867F4">
              <w:rPr>
                <w:rFonts w:ascii="GHEA Grapalat" w:hAnsi="GHEA Grapalat"/>
                <w:lang w:val="hy-AM"/>
              </w:rPr>
              <w:t xml:space="preserve">ստ այդմ, </w:t>
            </w:r>
            <w:r w:rsidR="00F24D86" w:rsidRPr="006867F4">
              <w:rPr>
                <w:rFonts w:ascii="GHEA Grapalat" w:hAnsi="GHEA Grapalat"/>
                <w:lang w:val="hy-AM"/>
              </w:rPr>
              <w:t>Համաձայնագրի 6-րդ հոդվածի 3-րդ կետը</w:t>
            </w:r>
            <w:r w:rsidR="00E91576" w:rsidRPr="006867F4">
              <w:rPr>
                <w:rFonts w:ascii="GHEA Grapalat" w:hAnsi="GHEA Grapalat"/>
                <w:lang w:val="hy-AM"/>
              </w:rPr>
              <w:t xml:space="preserve"> </w:t>
            </w:r>
            <w:r w:rsidR="00F24D86" w:rsidRPr="006867F4">
              <w:rPr>
                <w:rFonts w:ascii="GHEA Grapalat" w:hAnsi="GHEA Grapalat"/>
                <w:lang w:val="hy-AM"/>
              </w:rPr>
              <w:t xml:space="preserve">հղում է </w:t>
            </w:r>
            <w:r w:rsidR="00ED05DE" w:rsidRPr="006867F4">
              <w:rPr>
                <w:rFonts w:ascii="GHEA Grapalat" w:hAnsi="GHEA Grapalat"/>
                <w:lang w:val="hy-AM"/>
              </w:rPr>
              <w:t xml:space="preserve">պարունակում </w:t>
            </w:r>
            <w:r w:rsidR="002C0F40" w:rsidRPr="006867F4">
              <w:rPr>
                <w:rFonts w:ascii="GHEA Grapalat" w:hAnsi="GHEA Grapalat"/>
                <w:lang w:val="hy-AM"/>
              </w:rPr>
              <w:t xml:space="preserve">ՀՀ </w:t>
            </w:r>
            <w:r w:rsidR="00ED05DE" w:rsidRPr="006867F4">
              <w:rPr>
                <w:rFonts w:ascii="GHEA Grapalat" w:hAnsi="GHEA Grapalat"/>
                <w:lang w:val="hy-AM"/>
              </w:rPr>
              <w:t>ներպետական օրենսդրությանը, իսկ հաշվի առնելով այն հանգամանքը, որ</w:t>
            </w:r>
            <w:r w:rsidR="00E57AF4" w:rsidRPr="006867F4">
              <w:rPr>
                <w:rFonts w:ascii="GHEA Grapalat" w:hAnsi="GHEA Grapalat"/>
                <w:lang w:val="hy-AM"/>
              </w:rPr>
              <w:t xml:space="preserve"> Համաձայնագիրը</w:t>
            </w:r>
            <w:r w:rsidR="00C04BFB" w:rsidRPr="006867F4">
              <w:rPr>
                <w:rFonts w:ascii="GHEA Grapalat" w:hAnsi="GHEA Grapalat"/>
                <w:lang w:val="hy-AM"/>
              </w:rPr>
              <w:t>, համաձայն ՀՀ արդարադատության նախարարության կողմից ներկայացված դիրքորոշման,</w:t>
            </w:r>
            <w:r w:rsidR="00E57AF4" w:rsidRPr="006867F4">
              <w:rPr>
                <w:rFonts w:ascii="GHEA Grapalat" w:hAnsi="GHEA Grapalat"/>
                <w:lang w:val="hy-AM"/>
              </w:rPr>
              <w:t xml:space="preserve"> չի պարունակում օրենքին</w:t>
            </w:r>
            <w:r w:rsidR="00C04BFB" w:rsidRPr="006867F4">
              <w:rPr>
                <w:rFonts w:ascii="GHEA Grapalat" w:eastAsia="Calibri" w:hAnsi="GHEA Grapalat" w:cs="Sylfaen"/>
                <w:lang w:val="hy-AM" w:eastAsia="en-US"/>
              </w:rPr>
              <w:t xml:space="preserve"> </w:t>
            </w:r>
            <w:r w:rsidR="00C04BFB" w:rsidRPr="006867F4">
              <w:rPr>
                <w:rFonts w:ascii="GHEA Grapalat" w:hAnsi="GHEA Grapalat"/>
                <w:lang w:val="hy-AM"/>
              </w:rPr>
              <w:t>հակասող, օրենքի փոփոխություն կամ նոր օրենքի ընդունում նախատեսող նորմեր</w:t>
            </w:r>
            <w:r w:rsidR="00E91576" w:rsidRPr="006867F4">
              <w:rPr>
                <w:rFonts w:ascii="GHEA Grapalat" w:hAnsi="GHEA Grapalat"/>
                <w:lang w:val="hy-AM"/>
              </w:rPr>
              <w:t xml:space="preserve">՝ </w:t>
            </w:r>
            <w:r w:rsidR="00D67434" w:rsidRPr="006867F4">
              <w:rPr>
                <w:rFonts w:ascii="GHEA Grapalat" w:hAnsi="GHEA Grapalat"/>
                <w:lang w:val="hy-AM"/>
              </w:rPr>
              <w:t xml:space="preserve">հետևաբար չի կարող նաև հանգեցնել Հայաստանի Հանրապետության պետական բյուջեի ծախսերի </w:t>
            </w:r>
            <w:r w:rsidR="00F55811" w:rsidRPr="006867F4">
              <w:rPr>
                <w:rFonts w:ascii="GHEA Grapalat" w:hAnsi="GHEA Grapalat"/>
                <w:lang w:val="hy-AM"/>
              </w:rPr>
              <w:t>փոփոխության</w:t>
            </w:r>
            <w:r w:rsidR="00D67434" w:rsidRPr="006867F4">
              <w:rPr>
                <w:rFonts w:ascii="GHEA Grapalat" w:hAnsi="GHEA Grapalat"/>
                <w:lang w:val="hy-AM"/>
              </w:rPr>
              <w:t>:</w:t>
            </w:r>
          </w:p>
        </w:tc>
      </w:tr>
      <w:tr w:rsidR="00EB1B0A" w:rsidRPr="008E1ED4" w14:paraId="63AC983F" w14:textId="77777777" w:rsidTr="00E00CD0">
        <w:trPr>
          <w:trHeight w:val="292"/>
        </w:trPr>
        <w:tc>
          <w:tcPr>
            <w:tcW w:w="8364" w:type="dxa"/>
            <w:gridSpan w:val="2"/>
            <w:vMerge w:val="restart"/>
            <w:shd w:val="clear" w:color="auto" w:fill="BFBFBF" w:themeFill="background1" w:themeFillShade="BF"/>
          </w:tcPr>
          <w:p w14:paraId="46AF2375" w14:textId="1969C2BD" w:rsidR="00EB1B0A" w:rsidRPr="008E1ED4" w:rsidRDefault="00EB1B0A" w:rsidP="00EB1B0A">
            <w:pPr>
              <w:pStyle w:val="ListParagraph"/>
              <w:spacing w:line="360" w:lineRule="auto"/>
              <w:ind w:left="468"/>
              <w:jc w:val="center"/>
              <w:rPr>
                <w:rFonts w:ascii="GHEA Grapalat" w:hAnsi="GHEA Grapalat"/>
                <w:lang w:val="hy-AM"/>
              </w:rPr>
            </w:pPr>
            <w:r w:rsidRPr="008E1ED4">
              <w:rPr>
                <w:rFonts w:ascii="GHEA Grapalat" w:hAnsi="GHEA Grapalat"/>
                <w:b/>
                <w:lang w:val="hy-AM"/>
              </w:rPr>
              <w:lastRenderedPageBreak/>
              <w:t xml:space="preserve">3. </w:t>
            </w:r>
            <w:r w:rsidRPr="00EB1B0A">
              <w:rPr>
                <w:rFonts w:ascii="GHEA Grapalat" w:hAnsi="GHEA Grapalat"/>
                <w:b/>
                <w:lang w:val="hy-AM"/>
              </w:rPr>
              <w:t xml:space="preserve">ՀՀ ֆինանսների նախարարություն </w:t>
            </w:r>
          </w:p>
        </w:tc>
        <w:tc>
          <w:tcPr>
            <w:tcW w:w="2372" w:type="dxa"/>
            <w:shd w:val="clear" w:color="auto" w:fill="BFBFBF" w:themeFill="background1" w:themeFillShade="BF"/>
          </w:tcPr>
          <w:p w14:paraId="47F02AF3" w14:textId="48EEE9D0" w:rsidR="00EB1B0A" w:rsidRPr="008E1ED4" w:rsidRDefault="00EB1B0A" w:rsidP="00E00CD0">
            <w:pPr>
              <w:spacing w:line="360" w:lineRule="auto"/>
              <w:jc w:val="center"/>
              <w:rPr>
                <w:rFonts w:ascii="GHEA Grapalat" w:hAnsi="GHEA Grapalat"/>
                <w:lang w:val="hy-AM"/>
              </w:rPr>
            </w:pPr>
            <w:r w:rsidRPr="008E1ED4">
              <w:rPr>
                <w:rFonts w:ascii="GHEA Grapalat" w:hAnsi="GHEA Grapalat"/>
                <w:lang w:val="hy-AM"/>
              </w:rPr>
              <w:t>0</w:t>
            </w:r>
            <w:r>
              <w:rPr>
                <w:rFonts w:ascii="GHEA Grapalat" w:hAnsi="GHEA Grapalat"/>
                <w:lang w:val="hy-AM"/>
              </w:rPr>
              <w:t>2.06</w:t>
            </w:r>
            <w:r w:rsidRPr="008E1ED4">
              <w:rPr>
                <w:rFonts w:ascii="GHEA Grapalat" w:hAnsi="GHEA Grapalat"/>
                <w:lang w:val="hy-AM"/>
              </w:rPr>
              <w:t>.2021թ.</w:t>
            </w:r>
          </w:p>
        </w:tc>
      </w:tr>
      <w:tr w:rsidR="00EB1B0A" w:rsidRPr="008E1ED4" w14:paraId="22311B55" w14:textId="77777777" w:rsidTr="00E00CD0">
        <w:trPr>
          <w:trHeight w:val="292"/>
        </w:trPr>
        <w:tc>
          <w:tcPr>
            <w:tcW w:w="8364" w:type="dxa"/>
            <w:gridSpan w:val="2"/>
            <w:vMerge/>
            <w:shd w:val="clear" w:color="auto" w:fill="BFBFBF" w:themeFill="background1" w:themeFillShade="BF"/>
          </w:tcPr>
          <w:p w14:paraId="6F599F45" w14:textId="77777777" w:rsidR="00EB1B0A" w:rsidRPr="008E1ED4" w:rsidRDefault="00EB1B0A" w:rsidP="00E00CD0">
            <w:pPr>
              <w:pStyle w:val="ListParagraph"/>
              <w:spacing w:line="360" w:lineRule="auto"/>
              <w:ind w:left="468"/>
              <w:jc w:val="center"/>
              <w:rPr>
                <w:rFonts w:ascii="GHEA Grapalat" w:hAnsi="GHEA Grapalat"/>
                <w:lang w:val="hy-AM"/>
              </w:rPr>
            </w:pPr>
          </w:p>
        </w:tc>
        <w:tc>
          <w:tcPr>
            <w:tcW w:w="2372" w:type="dxa"/>
            <w:shd w:val="clear" w:color="auto" w:fill="BFBFBF" w:themeFill="background1" w:themeFillShade="BF"/>
          </w:tcPr>
          <w:p w14:paraId="5C4019F8" w14:textId="565E3952" w:rsidR="00EB1B0A" w:rsidRPr="008E1ED4" w:rsidRDefault="00EB1B0A" w:rsidP="00EB1B0A">
            <w:pPr>
              <w:spacing w:line="360" w:lineRule="auto"/>
              <w:jc w:val="center"/>
              <w:rPr>
                <w:rFonts w:ascii="GHEA Grapalat" w:hAnsi="GHEA Grapalat" w:cs="Sylfaen"/>
                <w:lang w:val="hy-AM"/>
              </w:rPr>
            </w:pPr>
            <w:r w:rsidRPr="008E1ED4">
              <w:rPr>
                <w:rFonts w:ascii="GHEA Grapalat" w:hAnsi="GHEA Grapalat" w:cs="Sylfaen"/>
                <w:lang w:val="hy-AM"/>
              </w:rPr>
              <w:t xml:space="preserve">N </w:t>
            </w:r>
            <w:r w:rsidRPr="00EB1B0A">
              <w:rPr>
                <w:rFonts w:ascii="GHEA Grapalat" w:hAnsi="GHEA Grapalat" w:cs="Sylfaen"/>
              </w:rPr>
              <w:t xml:space="preserve">01/5-1/8700-2021 </w:t>
            </w:r>
          </w:p>
        </w:tc>
      </w:tr>
      <w:tr w:rsidR="005360AC" w:rsidRPr="005360AC" w14:paraId="535A8BF5" w14:textId="77777777" w:rsidTr="00BC15B8">
        <w:trPr>
          <w:trHeight w:val="292"/>
        </w:trPr>
        <w:tc>
          <w:tcPr>
            <w:tcW w:w="5529" w:type="dxa"/>
            <w:shd w:val="clear" w:color="auto" w:fill="FFFFFF" w:themeFill="background1"/>
          </w:tcPr>
          <w:p w14:paraId="00653A8E" w14:textId="31F2D7CF" w:rsidR="005360AC" w:rsidRPr="00AF0F9F" w:rsidRDefault="00AF0F9F" w:rsidP="0042075F">
            <w:pPr>
              <w:tabs>
                <w:tab w:val="left" w:pos="900"/>
              </w:tabs>
              <w:spacing w:line="276" w:lineRule="auto"/>
              <w:jc w:val="both"/>
              <w:rPr>
                <w:rFonts w:ascii="GHEA Grapalat" w:eastAsia="Calibri" w:hAnsi="GHEA Grapalat"/>
                <w:bCs/>
                <w:lang w:val="hy-AM" w:eastAsia="en-US"/>
              </w:rPr>
            </w:pPr>
            <w:r w:rsidRPr="00AF0F9F">
              <w:rPr>
                <w:rFonts w:ascii="GHEA Grapalat" w:eastAsia="Calibri" w:hAnsi="GHEA Grapalat"/>
                <w:bCs/>
                <w:lang w:val="hy-AM" w:eastAsia="en-US"/>
              </w:rPr>
              <w:t xml:space="preserve">«Նշված ոլորտում Եվրասիական տնտեսական միության անդամ պետությունների օրենսդրության ներդաշնակեցման նպատակով՝ Եվրասիական տնտեսական միության տեխնիկական կանոնակարգերի պահանջների պահպանման նկատմամբ պետական </w:t>
            </w:r>
            <w:r w:rsidRPr="00AF0F9F">
              <w:rPr>
                <w:rFonts w:ascii="GHEA Grapalat" w:eastAsia="Calibri" w:hAnsi="GHEA Grapalat"/>
                <w:bCs/>
                <w:lang w:val="hy-AM" w:eastAsia="en-US"/>
              </w:rPr>
              <w:lastRenderedPageBreak/>
              <w:t xml:space="preserve">հսկողություն (վերահսկողություն) իրականացնելու սկզբունքների ու մոտեցումների մասին» համաձայնագրի նախագծում Հայաստանի Հանրապետության համար ֆինանսական պարտավորություններ նախատեսող, եկամուտների նվազեցմանը կամ ծախսերի ավելացմանը հանգեցնող դրույթներ առկա չեն: </w:t>
            </w:r>
          </w:p>
        </w:tc>
        <w:tc>
          <w:tcPr>
            <w:tcW w:w="5207" w:type="dxa"/>
            <w:gridSpan w:val="2"/>
            <w:shd w:val="clear" w:color="auto" w:fill="FFFFFF" w:themeFill="background1"/>
          </w:tcPr>
          <w:p w14:paraId="46840FAF" w14:textId="6F3FA254" w:rsidR="005360AC" w:rsidRPr="008E1ED4" w:rsidRDefault="00AF0F9F" w:rsidP="007C6E82">
            <w:pPr>
              <w:spacing w:line="360" w:lineRule="auto"/>
              <w:rPr>
                <w:rFonts w:ascii="GHEA Grapalat" w:hAnsi="GHEA Grapalat"/>
                <w:b/>
                <w:lang w:val="hy-AM"/>
              </w:rPr>
            </w:pPr>
            <w:r w:rsidRPr="00AF0F9F">
              <w:rPr>
                <w:rFonts w:ascii="GHEA Grapalat" w:hAnsi="GHEA Grapalat"/>
                <w:b/>
                <w:lang w:val="hy-AM"/>
              </w:rPr>
              <w:lastRenderedPageBreak/>
              <w:t>Ընդունվել է ի գիտություն:</w:t>
            </w:r>
          </w:p>
        </w:tc>
      </w:tr>
      <w:tr w:rsidR="00E9699E" w:rsidRPr="008E1ED4" w14:paraId="6C1E8F99" w14:textId="77777777" w:rsidTr="00BC15B8">
        <w:trPr>
          <w:trHeight w:val="292"/>
        </w:trPr>
        <w:tc>
          <w:tcPr>
            <w:tcW w:w="8364" w:type="dxa"/>
            <w:gridSpan w:val="2"/>
            <w:vMerge w:val="restart"/>
            <w:shd w:val="clear" w:color="auto" w:fill="BFBFBF" w:themeFill="background1" w:themeFillShade="BF"/>
          </w:tcPr>
          <w:p w14:paraId="032BAE2F" w14:textId="0273306E" w:rsidR="00E9699E" w:rsidRPr="008E1ED4" w:rsidRDefault="00AF0F9F" w:rsidP="00AB4C79">
            <w:pPr>
              <w:pStyle w:val="ListParagraph"/>
              <w:spacing w:line="360" w:lineRule="auto"/>
              <w:ind w:left="468"/>
              <w:jc w:val="center"/>
              <w:rPr>
                <w:rFonts w:ascii="GHEA Grapalat" w:hAnsi="GHEA Grapalat"/>
                <w:lang w:val="hy-AM"/>
              </w:rPr>
            </w:pPr>
            <w:r>
              <w:rPr>
                <w:rFonts w:ascii="GHEA Grapalat" w:hAnsi="GHEA Grapalat"/>
                <w:b/>
                <w:lang w:val="hy-AM"/>
              </w:rPr>
              <w:lastRenderedPageBreak/>
              <w:t>4</w:t>
            </w:r>
            <w:r w:rsidR="00CF360F" w:rsidRPr="008E1ED4">
              <w:rPr>
                <w:rFonts w:ascii="GHEA Grapalat" w:hAnsi="GHEA Grapalat"/>
                <w:b/>
                <w:lang w:val="hy-AM"/>
              </w:rPr>
              <w:t xml:space="preserve">. </w:t>
            </w:r>
            <w:r w:rsidR="00143349" w:rsidRPr="004939C3">
              <w:rPr>
                <w:rFonts w:ascii="GHEA Grapalat" w:hAnsi="GHEA Grapalat"/>
                <w:b/>
                <w:lang w:val="hy-AM"/>
              </w:rPr>
              <w:t>Պ</w:t>
            </w:r>
            <w:r w:rsidR="004939C3" w:rsidRPr="004939C3">
              <w:rPr>
                <w:rFonts w:ascii="GHEA Grapalat" w:hAnsi="GHEA Grapalat"/>
                <w:b/>
                <w:lang w:val="hy-AM"/>
              </w:rPr>
              <w:t>ետական գույք</w:t>
            </w:r>
            <w:r w:rsidR="00386D09">
              <w:rPr>
                <w:rFonts w:ascii="GHEA Grapalat" w:hAnsi="GHEA Grapalat"/>
                <w:b/>
                <w:lang w:val="hy-AM"/>
              </w:rPr>
              <w:t>ի</w:t>
            </w:r>
            <w:r w:rsidR="004939C3" w:rsidRPr="004939C3">
              <w:rPr>
                <w:rFonts w:ascii="GHEA Grapalat" w:hAnsi="GHEA Grapalat"/>
                <w:b/>
                <w:lang w:val="hy-AM"/>
              </w:rPr>
              <w:t xml:space="preserve"> կառավարման կոմիտե </w:t>
            </w:r>
          </w:p>
        </w:tc>
        <w:tc>
          <w:tcPr>
            <w:tcW w:w="2372" w:type="dxa"/>
            <w:shd w:val="clear" w:color="auto" w:fill="BFBFBF" w:themeFill="background1" w:themeFillShade="BF"/>
          </w:tcPr>
          <w:p w14:paraId="3DC5E63D" w14:textId="54B15092" w:rsidR="00E9699E" w:rsidRPr="008E1ED4" w:rsidRDefault="00F55EAB" w:rsidP="007C6E82">
            <w:pPr>
              <w:spacing w:line="360" w:lineRule="auto"/>
              <w:jc w:val="center"/>
              <w:rPr>
                <w:rFonts w:ascii="GHEA Grapalat" w:hAnsi="GHEA Grapalat"/>
                <w:lang w:val="hy-AM"/>
              </w:rPr>
            </w:pPr>
            <w:r w:rsidRPr="008E1ED4">
              <w:rPr>
                <w:rFonts w:ascii="GHEA Grapalat" w:hAnsi="GHEA Grapalat"/>
                <w:lang w:val="hy-AM"/>
              </w:rPr>
              <w:t>0</w:t>
            </w:r>
            <w:r w:rsidR="004939C3">
              <w:rPr>
                <w:rFonts w:ascii="GHEA Grapalat" w:hAnsi="GHEA Grapalat"/>
                <w:lang w:val="hy-AM"/>
              </w:rPr>
              <w:t>7.04</w:t>
            </w:r>
            <w:r w:rsidRPr="008E1ED4">
              <w:rPr>
                <w:rFonts w:ascii="GHEA Grapalat" w:hAnsi="GHEA Grapalat"/>
                <w:lang w:val="hy-AM"/>
              </w:rPr>
              <w:t>.2021</w:t>
            </w:r>
            <w:r w:rsidR="00B06190" w:rsidRPr="008E1ED4">
              <w:rPr>
                <w:rFonts w:ascii="GHEA Grapalat" w:hAnsi="GHEA Grapalat"/>
                <w:lang w:val="hy-AM"/>
              </w:rPr>
              <w:t>թ.</w:t>
            </w:r>
          </w:p>
        </w:tc>
      </w:tr>
      <w:tr w:rsidR="00E9699E" w:rsidRPr="008E1ED4" w14:paraId="10E8DDB7" w14:textId="77777777" w:rsidTr="00BC15B8">
        <w:trPr>
          <w:trHeight w:val="292"/>
        </w:trPr>
        <w:tc>
          <w:tcPr>
            <w:tcW w:w="8364" w:type="dxa"/>
            <w:gridSpan w:val="2"/>
            <w:vMerge/>
            <w:shd w:val="clear" w:color="auto" w:fill="BFBFBF" w:themeFill="background1" w:themeFillShade="BF"/>
          </w:tcPr>
          <w:p w14:paraId="6B77BE77" w14:textId="77777777" w:rsidR="00E9699E" w:rsidRPr="008E1ED4" w:rsidRDefault="00E9699E" w:rsidP="007C6E82">
            <w:pPr>
              <w:pStyle w:val="ListParagraph"/>
              <w:spacing w:line="360" w:lineRule="auto"/>
              <w:ind w:left="468"/>
              <w:jc w:val="center"/>
              <w:rPr>
                <w:rFonts w:ascii="GHEA Grapalat" w:hAnsi="GHEA Grapalat"/>
                <w:lang w:val="hy-AM"/>
              </w:rPr>
            </w:pPr>
          </w:p>
        </w:tc>
        <w:tc>
          <w:tcPr>
            <w:tcW w:w="2372" w:type="dxa"/>
            <w:shd w:val="clear" w:color="auto" w:fill="BFBFBF" w:themeFill="background1" w:themeFillShade="BF"/>
          </w:tcPr>
          <w:p w14:paraId="6BD2CBFF" w14:textId="67CE9D8E" w:rsidR="00E9699E" w:rsidRPr="008E1ED4" w:rsidRDefault="001A4A40" w:rsidP="004939C3">
            <w:pPr>
              <w:spacing w:line="360" w:lineRule="auto"/>
              <w:jc w:val="center"/>
              <w:rPr>
                <w:rFonts w:ascii="GHEA Grapalat" w:hAnsi="GHEA Grapalat" w:cs="Sylfaen"/>
                <w:lang w:val="hy-AM"/>
              </w:rPr>
            </w:pPr>
            <w:r w:rsidRPr="008E1ED4">
              <w:rPr>
                <w:rFonts w:ascii="GHEA Grapalat" w:hAnsi="GHEA Grapalat" w:cs="Sylfaen"/>
                <w:lang w:val="hy-AM"/>
              </w:rPr>
              <w:t>N</w:t>
            </w:r>
            <w:r w:rsidR="00631FD1" w:rsidRPr="008E1ED4">
              <w:rPr>
                <w:rFonts w:ascii="GHEA Grapalat" w:hAnsi="GHEA Grapalat" w:cs="Sylfaen"/>
                <w:lang w:val="hy-AM"/>
              </w:rPr>
              <w:t xml:space="preserve"> </w:t>
            </w:r>
            <w:r w:rsidR="004939C3" w:rsidRPr="004939C3">
              <w:rPr>
                <w:rFonts w:ascii="GHEA Grapalat" w:hAnsi="GHEA Grapalat" w:cs="Sylfaen"/>
              </w:rPr>
              <w:t>01/12.1/2366-2021</w:t>
            </w:r>
            <w:r w:rsidR="004939C3" w:rsidRPr="004939C3">
              <w:rPr>
                <w:rFonts w:ascii="GHEA Grapalat" w:hAnsi="GHEA Grapalat" w:cs="Sylfaen"/>
                <w:lang w:val="hy-AM"/>
              </w:rPr>
              <w:t xml:space="preserve"> </w:t>
            </w:r>
            <w:r w:rsidR="004939C3">
              <w:rPr>
                <w:rFonts w:ascii="GHEA Grapalat" w:hAnsi="GHEA Grapalat" w:cs="Sylfaen"/>
                <w:lang w:val="hy-AM"/>
              </w:rPr>
              <w:t xml:space="preserve"> </w:t>
            </w:r>
          </w:p>
        </w:tc>
      </w:tr>
      <w:tr w:rsidR="001118D2" w:rsidRPr="008E1ED4" w14:paraId="1F514B6A" w14:textId="77777777" w:rsidTr="00BC15B8">
        <w:trPr>
          <w:trHeight w:val="292"/>
        </w:trPr>
        <w:tc>
          <w:tcPr>
            <w:tcW w:w="5529" w:type="dxa"/>
            <w:shd w:val="clear" w:color="auto" w:fill="FFFFFF" w:themeFill="background1"/>
          </w:tcPr>
          <w:p w14:paraId="0417FCC3" w14:textId="278AE2C6" w:rsidR="001118D2" w:rsidRPr="004939C3" w:rsidRDefault="004939C3" w:rsidP="004939C3">
            <w:pPr>
              <w:spacing w:line="276" w:lineRule="auto"/>
              <w:ind w:firstLine="567"/>
              <w:jc w:val="both"/>
              <w:rPr>
                <w:rFonts w:ascii="GHEA Grapalat" w:eastAsia="Calibri" w:hAnsi="GHEA Grapalat"/>
                <w:bCs/>
                <w:lang w:val="hy-AM" w:eastAsia="en-US"/>
              </w:rPr>
            </w:pPr>
            <w:r w:rsidRPr="004939C3">
              <w:rPr>
                <w:rFonts w:ascii="GHEA Grapalat" w:eastAsia="Calibri" w:hAnsi="GHEA Grapalat"/>
                <w:bCs/>
                <w:lang w:val="hy-AM" w:eastAsia="en-US"/>
              </w:rPr>
              <w:t xml:space="preserve">Ի պատասխան ՀՀ վարչապետի աշխատակազմի տեսչական մարմինների աշխատանքների </w:t>
            </w:r>
            <w:r w:rsidRPr="004939C3">
              <w:rPr>
                <w:rFonts w:ascii="GHEA Grapalat" w:eastAsia="Calibri" w:hAnsi="GHEA Grapalat"/>
                <w:lang w:val="hy-AM" w:eastAsia="en-US"/>
              </w:rPr>
              <w:t xml:space="preserve">համակարգման գրասենյակի 2021 թվականի ապրիլի 5-ի թիվ </w:t>
            </w:r>
            <w:r w:rsidRPr="004939C3">
              <w:rPr>
                <w:rFonts w:ascii="GHEA Grapalat" w:eastAsia="Calibri" w:hAnsi="GHEA Grapalat"/>
                <w:color w:val="000000"/>
                <w:shd w:val="clear" w:color="auto" w:fill="FFFFFF"/>
                <w:lang w:val="hy-AM" w:eastAsia="en-US"/>
              </w:rPr>
              <w:t>//10755-2021</w:t>
            </w:r>
            <w:r w:rsidRPr="004939C3">
              <w:rPr>
                <w:rFonts w:ascii="GHEA Grapalat" w:eastAsia="Calibri" w:hAnsi="GHEA Grapalat"/>
                <w:lang w:val="hy-AM" w:eastAsia="en-US"/>
              </w:rPr>
              <w:t xml:space="preserve"> գրության և ի կատարումն ՀՀ վարչապետի 2019 թվականի ապրիլի 17-ի թիվ 02/06.5/18499-2019 հանձնարարականի՝ </w:t>
            </w:r>
            <w:r w:rsidRPr="004939C3">
              <w:rPr>
                <w:rFonts w:ascii="GHEA Grapalat" w:eastAsia="Calibri" w:hAnsi="GHEA Grapalat"/>
                <w:lang w:val="af-ZA" w:eastAsia="en-US"/>
              </w:rPr>
              <w:t xml:space="preserve">հայտնում ենք, որ </w:t>
            </w:r>
            <w:r w:rsidRPr="004939C3">
              <w:rPr>
                <w:rFonts w:ascii="GHEA Grapalat" w:eastAsia="Calibri" w:hAnsi="GHEA Grapalat"/>
                <w:lang w:val="hy-AM" w:eastAsia="en-US"/>
              </w:rPr>
              <w:t>«Նշված ոլորտում Եվրասիական տնտեսական միության անդամ պետությունների օրենսդրության ներդաշնակեցման նպատակով՝ Եվրասիական տնտեսական միության տեխնիկական կանոնակարգերի պահանջների պահպանման նկատմամբ պետական հսկողություն (վերահսկողություն) իրականացնելու սկզբունքների ու մոտեցումների մասին» համաձայնագրով «Պետական գույքի կառավարման մասին» ՀՀ օրենքի կարգավորման շրջանակում Հայաստանի Հանրապետության համար գույքային պարտավորություններ նախատեսող դրույթներ առկա չեն։</w:t>
            </w:r>
          </w:p>
        </w:tc>
        <w:tc>
          <w:tcPr>
            <w:tcW w:w="5207" w:type="dxa"/>
            <w:gridSpan w:val="2"/>
            <w:shd w:val="clear" w:color="auto" w:fill="FFFFFF" w:themeFill="background1"/>
          </w:tcPr>
          <w:p w14:paraId="3EB4208B" w14:textId="2337528D" w:rsidR="001118D2" w:rsidRPr="008E1ED4" w:rsidRDefault="008D16E1" w:rsidP="007C6E82">
            <w:pPr>
              <w:spacing w:line="360" w:lineRule="auto"/>
              <w:rPr>
                <w:rFonts w:ascii="GHEA Grapalat" w:hAnsi="GHEA Grapalat" w:cs="Helvetica"/>
                <w:b/>
                <w:lang w:val="hy-AM"/>
              </w:rPr>
            </w:pPr>
            <w:r w:rsidRPr="008E1ED4">
              <w:rPr>
                <w:rFonts w:ascii="GHEA Grapalat" w:hAnsi="GHEA Grapalat" w:cs="Helvetica"/>
                <w:b/>
                <w:lang w:val="hy-AM"/>
              </w:rPr>
              <w:t>Ընդունվել է ի գիտություն:</w:t>
            </w:r>
            <w:r w:rsidR="00631FD1" w:rsidRPr="008E1ED4">
              <w:rPr>
                <w:rFonts w:ascii="GHEA Grapalat" w:hAnsi="GHEA Grapalat" w:cs="Helvetica"/>
                <w:b/>
                <w:lang w:val="hy-AM"/>
              </w:rPr>
              <w:t xml:space="preserve"> </w:t>
            </w:r>
          </w:p>
        </w:tc>
      </w:tr>
      <w:tr w:rsidR="00C60701" w:rsidRPr="008E1ED4" w14:paraId="64BC8C95" w14:textId="77777777" w:rsidTr="00E00CD0">
        <w:trPr>
          <w:trHeight w:val="292"/>
        </w:trPr>
        <w:tc>
          <w:tcPr>
            <w:tcW w:w="8364" w:type="dxa"/>
            <w:gridSpan w:val="2"/>
            <w:vMerge w:val="restart"/>
            <w:shd w:val="clear" w:color="auto" w:fill="BFBFBF" w:themeFill="background1" w:themeFillShade="BF"/>
          </w:tcPr>
          <w:p w14:paraId="739CA364" w14:textId="40D3AB71" w:rsidR="00C60701" w:rsidRPr="0042075F" w:rsidRDefault="00C60701" w:rsidP="0042075F">
            <w:pPr>
              <w:pStyle w:val="ListParagraph"/>
              <w:spacing w:line="360" w:lineRule="auto"/>
              <w:ind w:left="468"/>
              <w:jc w:val="center"/>
              <w:rPr>
                <w:rFonts w:ascii="GHEA Grapalat" w:hAnsi="GHEA Grapalat"/>
                <w:lang w:val="hy-AM"/>
              </w:rPr>
            </w:pPr>
            <w:r>
              <w:rPr>
                <w:rFonts w:ascii="GHEA Grapalat" w:hAnsi="GHEA Grapalat"/>
                <w:b/>
                <w:lang w:val="hy-AM"/>
              </w:rPr>
              <w:t>5</w:t>
            </w:r>
            <w:r w:rsidRPr="008E1ED4">
              <w:rPr>
                <w:rFonts w:ascii="GHEA Grapalat" w:hAnsi="GHEA Grapalat"/>
                <w:b/>
                <w:lang w:val="hy-AM"/>
              </w:rPr>
              <w:t xml:space="preserve">. </w:t>
            </w:r>
            <w:r>
              <w:rPr>
                <w:rFonts w:ascii="GHEA Grapalat" w:hAnsi="GHEA Grapalat"/>
                <w:b/>
                <w:lang w:val="hy-AM"/>
              </w:rPr>
              <w:t xml:space="preserve">ՀՀ Էկոնոմիկայի նախարարություն </w:t>
            </w:r>
            <w:bookmarkStart w:id="0" w:name="_GoBack"/>
            <w:bookmarkEnd w:id="0"/>
          </w:p>
        </w:tc>
        <w:tc>
          <w:tcPr>
            <w:tcW w:w="2372" w:type="dxa"/>
            <w:shd w:val="clear" w:color="auto" w:fill="BFBFBF" w:themeFill="background1" w:themeFillShade="BF"/>
          </w:tcPr>
          <w:p w14:paraId="21A57D17" w14:textId="27A61400" w:rsidR="00C60701" w:rsidRPr="008E1ED4" w:rsidRDefault="00C60701" w:rsidP="00E00CD0">
            <w:pPr>
              <w:spacing w:line="360" w:lineRule="auto"/>
              <w:jc w:val="center"/>
              <w:rPr>
                <w:rFonts w:ascii="GHEA Grapalat" w:hAnsi="GHEA Grapalat"/>
                <w:lang w:val="hy-AM"/>
              </w:rPr>
            </w:pPr>
          </w:p>
        </w:tc>
      </w:tr>
      <w:tr w:rsidR="00C60701" w:rsidRPr="008E1ED4" w14:paraId="701007AD" w14:textId="77777777" w:rsidTr="00E00CD0">
        <w:trPr>
          <w:trHeight w:val="292"/>
        </w:trPr>
        <w:tc>
          <w:tcPr>
            <w:tcW w:w="8364" w:type="dxa"/>
            <w:gridSpan w:val="2"/>
            <w:vMerge/>
            <w:shd w:val="clear" w:color="auto" w:fill="BFBFBF" w:themeFill="background1" w:themeFillShade="BF"/>
          </w:tcPr>
          <w:p w14:paraId="306A16EF" w14:textId="77777777" w:rsidR="00C60701" w:rsidRPr="008E1ED4" w:rsidRDefault="00C60701" w:rsidP="00E00CD0">
            <w:pPr>
              <w:pStyle w:val="ListParagraph"/>
              <w:spacing w:line="360" w:lineRule="auto"/>
              <w:ind w:left="468"/>
              <w:jc w:val="center"/>
              <w:rPr>
                <w:rFonts w:ascii="GHEA Grapalat" w:hAnsi="GHEA Grapalat"/>
                <w:lang w:val="hy-AM"/>
              </w:rPr>
            </w:pPr>
          </w:p>
        </w:tc>
        <w:tc>
          <w:tcPr>
            <w:tcW w:w="2372" w:type="dxa"/>
            <w:shd w:val="clear" w:color="auto" w:fill="BFBFBF" w:themeFill="background1" w:themeFillShade="BF"/>
          </w:tcPr>
          <w:p w14:paraId="70FE8A64" w14:textId="30940F9E" w:rsidR="00C60701" w:rsidRPr="008E1ED4" w:rsidRDefault="00C60701" w:rsidP="00C60701">
            <w:pPr>
              <w:spacing w:line="360" w:lineRule="auto"/>
              <w:jc w:val="center"/>
              <w:rPr>
                <w:rFonts w:ascii="GHEA Grapalat" w:hAnsi="GHEA Grapalat" w:cs="Sylfaen"/>
                <w:lang w:val="hy-AM"/>
              </w:rPr>
            </w:pPr>
          </w:p>
        </w:tc>
      </w:tr>
      <w:tr w:rsidR="00AF0F9F" w:rsidRPr="008E1ED4" w14:paraId="6BFFC1DA" w14:textId="77777777" w:rsidTr="00BC15B8">
        <w:trPr>
          <w:trHeight w:val="292"/>
        </w:trPr>
        <w:tc>
          <w:tcPr>
            <w:tcW w:w="5529" w:type="dxa"/>
            <w:shd w:val="clear" w:color="auto" w:fill="FFFFFF" w:themeFill="background1"/>
          </w:tcPr>
          <w:p w14:paraId="4E413EBC" w14:textId="7082C4A5" w:rsidR="00AF0F9F" w:rsidRPr="004939C3" w:rsidRDefault="00946173" w:rsidP="004939C3">
            <w:pPr>
              <w:spacing w:line="276" w:lineRule="auto"/>
              <w:ind w:firstLine="567"/>
              <w:jc w:val="both"/>
              <w:rPr>
                <w:rFonts w:ascii="GHEA Grapalat" w:eastAsia="Calibri" w:hAnsi="GHEA Grapalat"/>
                <w:bCs/>
                <w:lang w:val="hy-AM" w:eastAsia="en-US"/>
              </w:rPr>
            </w:pPr>
            <w:r>
              <w:rPr>
                <w:rFonts w:ascii="GHEA Grapalat" w:eastAsia="Calibri" w:hAnsi="GHEA Grapalat"/>
                <w:bCs/>
                <w:lang w:val="hy-AM" w:eastAsia="en-US"/>
              </w:rPr>
              <w:t xml:space="preserve">Նախագիծը ներկայացվել է ՀՀ էկոնոմիկայի նախարարություն՝ սույն թվականի </w:t>
            </w:r>
            <w:r>
              <w:rPr>
                <w:rFonts w:ascii="GHEA Grapalat" w:eastAsia="Calibri" w:hAnsi="GHEA Grapalat"/>
                <w:bCs/>
                <w:lang w:val="hy-AM" w:eastAsia="en-US"/>
              </w:rPr>
              <w:lastRenderedPageBreak/>
              <w:t>մայիսի 18-ին և սահմանված ժամկետում դիրքորոշում չի ստացվել</w:t>
            </w:r>
            <w:r w:rsidR="0042075F">
              <w:rPr>
                <w:rFonts w:ascii="GHEA Grapalat" w:eastAsia="Calibri" w:hAnsi="GHEA Grapalat"/>
                <w:bCs/>
                <w:lang w:val="hy-AM" w:eastAsia="en-US"/>
              </w:rPr>
              <w:t>:</w:t>
            </w:r>
          </w:p>
        </w:tc>
        <w:tc>
          <w:tcPr>
            <w:tcW w:w="5207" w:type="dxa"/>
            <w:gridSpan w:val="2"/>
            <w:shd w:val="clear" w:color="auto" w:fill="FFFFFF" w:themeFill="background1"/>
          </w:tcPr>
          <w:p w14:paraId="38107FB3" w14:textId="77777777" w:rsidR="00AF0F9F" w:rsidRPr="008E1ED4" w:rsidRDefault="00AF0F9F" w:rsidP="007C6E82">
            <w:pPr>
              <w:spacing w:line="360" w:lineRule="auto"/>
              <w:rPr>
                <w:rFonts w:ascii="GHEA Grapalat" w:hAnsi="GHEA Grapalat" w:cs="Helvetica"/>
                <w:b/>
                <w:lang w:val="hy-AM"/>
              </w:rPr>
            </w:pPr>
          </w:p>
        </w:tc>
      </w:tr>
    </w:tbl>
    <w:p w14:paraId="50E6FF6B" w14:textId="2FC935C1" w:rsidR="00500AC2" w:rsidRPr="00AF0F9F" w:rsidRDefault="00500AC2" w:rsidP="00AF0F9F">
      <w:pPr>
        <w:spacing w:line="360" w:lineRule="auto"/>
        <w:ind w:right="-455"/>
        <w:jc w:val="both"/>
        <w:rPr>
          <w:rFonts w:ascii="GHEA Grapalat" w:hAnsi="GHEA Grapalat" w:cs="Times Armenian"/>
          <w:lang w:val="hy-AM"/>
        </w:rPr>
      </w:pPr>
    </w:p>
    <w:p w14:paraId="48E181D0" w14:textId="77777777" w:rsidR="000B6557" w:rsidRPr="008E1ED4" w:rsidRDefault="000B6557" w:rsidP="00860DA6">
      <w:pPr>
        <w:spacing w:line="360" w:lineRule="auto"/>
        <w:rPr>
          <w:rFonts w:ascii="GHEA Grapalat" w:hAnsi="GHEA Grapalat"/>
          <w:lang w:val="hy-AM"/>
        </w:rPr>
      </w:pPr>
    </w:p>
    <w:p w14:paraId="0E3DEF84" w14:textId="77777777" w:rsidR="000B6557" w:rsidRPr="008E1ED4" w:rsidRDefault="000B6557" w:rsidP="00860DA6">
      <w:pPr>
        <w:spacing w:line="360" w:lineRule="auto"/>
        <w:rPr>
          <w:rFonts w:ascii="GHEA Grapalat" w:hAnsi="GHEA Grapalat"/>
          <w:lang w:val="hy-AM"/>
        </w:rPr>
      </w:pPr>
    </w:p>
    <w:p w14:paraId="791A6474" w14:textId="77777777" w:rsidR="000B6557" w:rsidRPr="008E1ED4" w:rsidRDefault="000B6557" w:rsidP="00860DA6">
      <w:pPr>
        <w:spacing w:line="360" w:lineRule="auto"/>
        <w:ind w:left="-851"/>
        <w:rPr>
          <w:rFonts w:ascii="GHEA Grapalat" w:hAnsi="GHEA Grapalat"/>
          <w:lang w:val="hy-AM"/>
        </w:rPr>
      </w:pPr>
    </w:p>
    <w:sectPr w:rsidR="000B6557" w:rsidRPr="008E1ED4" w:rsidSect="00E76CF8">
      <w:headerReference w:type="default" r:id="rId8"/>
      <w:pgSz w:w="11906" w:h="16838" w:code="9"/>
      <w:pgMar w:top="1138" w:right="850" w:bottom="113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F35B7" w14:textId="77777777" w:rsidR="0082440D" w:rsidRDefault="0082440D" w:rsidP="00787761">
      <w:r>
        <w:separator/>
      </w:r>
    </w:p>
  </w:endnote>
  <w:endnote w:type="continuationSeparator" w:id="0">
    <w:p w14:paraId="02E653EE" w14:textId="77777777" w:rsidR="0082440D" w:rsidRDefault="0082440D" w:rsidP="0078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Times Armenian">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EDC2D" w14:textId="77777777" w:rsidR="0082440D" w:rsidRDefault="0082440D" w:rsidP="00787761">
      <w:r>
        <w:separator/>
      </w:r>
    </w:p>
  </w:footnote>
  <w:footnote w:type="continuationSeparator" w:id="0">
    <w:p w14:paraId="3DFCA88E" w14:textId="77777777" w:rsidR="0082440D" w:rsidRDefault="0082440D" w:rsidP="007877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0246"/>
      <w:docPartObj>
        <w:docPartGallery w:val="Page Numbers (Top of Page)"/>
        <w:docPartUnique/>
      </w:docPartObj>
    </w:sdtPr>
    <w:sdtEndPr/>
    <w:sdtContent>
      <w:p w14:paraId="4C2EC43B" w14:textId="0F8EDDAA" w:rsidR="00787761" w:rsidRDefault="00EF1B15">
        <w:pPr>
          <w:pStyle w:val="Header"/>
          <w:jc w:val="center"/>
        </w:pPr>
        <w:r>
          <w:fldChar w:fldCharType="begin"/>
        </w:r>
        <w:r>
          <w:instrText xml:space="preserve"> PAGE   \* MERGEFORMAT </w:instrText>
        </w:r>
        <w:r>
          <w:fldChar w:fldCharType="separate"/>
        </w:r>
        <w:r w:rsidR="0042075F">
          <w:rPr>
            <w:noProof/>
          </w:rPr>
          <w:t>5</w:t>
        </w:r>
        <w:r>
          <w:rPr>
            <w:noProof/>
          </w:rPr>
          <w:fldChar w:fldCharType="end"/>
        </w:r>
      </w:p>
    </w:sdtContent>
  </w:sdt>
  <w:p w14:paraId="392AF7A1" w14:textId="77777777" w:rsidR="00787761" w:rsidRDefault="007877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3AEA"/>
    <w:multiLevelType w:val="hybridMultilevel"/>
    <w:tmpl w:val="831C30F6"/>
    <w:lvl w:ilvl="0" w:tplc="6212AD08">
      <w:start w:val="2"/>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 w15:restartNumberingAfterBreak="0">
    <w:nsid w:val="2D9271A7"/>
    <w:multiLevelType w:val="hybridMultilevel"/>
    <w:tmpl w:val="6FBA95DC"/>
    <w:lvl w:ilvl="0" w:tplc="BD8A0B64">
      <w:start w:val="3"/>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15:restartNumberingAfterBreak="0">
    <w:nsid w:val="49341583"/>
    <w:multiLevelType w:val="hybridMultilevel"/>
    <w:tmpl w:val="DDD25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2976A0"/>
    <w:multiLevelType w:val="hybridMultilevel"/>
    <w:tmpl w:val="C8980604"/>
    <w:lvl w:ilvl="0" w:tplc="6212AD08">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15:restartNumberingAfterBreak="0">
    <w:nsid w:val="7A0738E0"/>
    <w:multiLevelType w:val="hybridMultilevel"/>
    <w:tmpl w:val="831C30F6"/>
    <w:lvl w:ilvl="0" w:tplc="6212AD08">
      <w:start w:val="2"/>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D4"/>
    <w:rsid w:val="00047376"/>
    <w:rsid w:val="00063303"/>
    <w:rsid w:val="0008087D"/>
    <w:rsid w:val="00084A68"/>
    <w:rsid w:val="000944C6"/>
    <w:rsid w:val="000B4070"/>
    <w:rsid w:val="000B6557"/>
    <w:rsid w:val="000B6C75"/>
    <w:rsid w:val="000E1201"/>
    <w:rsid w:val="000F47EA"/>
    <w:rsid w:val="000F5694"/>
    <w:rsid w:val="001001A8"/>
    <w:rsid w:val="001118D2"/>
    <w:rsid w:val="0012690D"/>
    <w:rsid w:val="0013273D"/>
    <w:rsid w:val="00134208"/>
    <w:rsid w:val="00143349"/>
    <w:rsid w:val="00147189"/>
    <w:rsid w:val="00153186"/>
    <w:rsid w:val="00172AA4"/>
    <w:rsid w:val="001976FC"/>
    <w:rsid w:val="001A4A40"/>
    <w:rsid w:val="001B53A6"/>
    <w:rsid w:val="001C5882"/>
    <w:rsid w:val="001C6D1F"/>
    <w:rsid w:val="001D6B0D"/>
    <w:rsid w:val="001E7CE0"/>
    <w:rsid w:val="002024A3"/>
    <w:rsid w:val="0023625F"/>
    <w:rsid w:val="00243C06"/>
    <w:rsid w:val="00261031"/>
    <w:rsid w:val="00267C23"/>
    <w:rsid w:val="002704A7"/>
    <w:rsid w:val="002829A7"/>
    <w:rsid w:val="00286749"/>
    <w:rsid w:val="002C0F40"/>
    <w:rsid w:val="002C51C1"/>
    <w:rsid w:val="002C745C"/>
    <w:rsid w:val="002C754C"/>
    <w:rsid w:val="002D3AF7"/>
    <w:rsid w:val="002F1FE6"/>
    <w:rsid w:val="002F30A1"/>
    <w:rsid w:val="003164DC"/>
    <w:rsid w:val="0032307B"/>
    <w:rsid w:val="00327110"/>
    <w:rsid w:val="003301E3"/>
    <w:rsid w:val="0033467F"/>
    <w:rsid w:val="00336C2F"/>
    <w:rsid w:val="003673C0"/>
    <w:rsid w:val="00385BC0"/>
    <w:rsid w:val="00386D09"/>
    <w:rsid w:val="003939EB"/>
    <w:rsid w:val="0039403C"/>
    <w:rsid w:val="0039410F"/>
    <w:rsid w:val="003A2352"/>
    <w:rsid w:val="003A6585"/>
    <w:rsid w:val="003B2733"/>
    <w:rsid w:val="003D359B"/>
    <w:rsid w:val="003D420A"/>
    <w:rsid w:val="003F0C41"/>
    <w:rsid w:val="003F2B21"/>
    <w:rsid w:val="004165E8"/>
    <w:rsid w:val="00417F72"/>
    <w:rsid w:val="0042075F"/>
    <w:rsid w:val="00421BF4"/>
    <w:rsid w:val="00424642"/>
    <w:rsid w:val="00432ED6"/>
    <w:rsid w:val="0043779A"/>
    <w:rsid w:val="004572BC"/>
    <w:rsid w:val="004659FF"/>
    <w:rsid w:val="00491125"/>
    <w:rsid w:val="004939C3"/>
    <w:rsid w:val="004A517D"/>
    <w:rsid w:val="004A7720"/>
    <w:rsid w:val="004D2847"/>
    <w:rsid w:val="004D6032"/>
    <w:rsid w:val="004F0FF8"/>
    <w:rsid w:val="004F6E60"/>
    <w:rsid w:val="00500AC2"/>
    <w:rsid w:val="0050561C"/>
    <w:rsid w:val="005158C3"/>
    <w:rsid w:val="00531F92"/>
    <w:rsid w:val="005360AC"/>
    <w:rsid w:val="00537C3E"/>
    <w:rsid w:val="00546D74"/>
    <w:rsid w:val="005479D1"/>
    <w:rsid w:val="00557939"/>
    <w:rsid w:val="00591861"/>
    <w:rsid w:val="005B7128"/>
    <w:rsid w:val="005C08E3"/>
    <w:rsid w:val="005D6136"/>
    <w:rsid w:val="005E5643"/>
    <w:rsid w:val="005F214E"/>
    <w:rsid w:val="005F7CCC"/>
    <w:rsid w:val="00631FD1"/>
    <w:rsid w:val="0064292D"/>
    <w:rsid w:val="006459B4"/>
    <w:rsid w:val="00662781"/>
    <w:rsid w:val="0067014B"/>
    <w:rsid w:val="00681C08"/>
    <w:rsid w:val="006867F4"/>
    <w:rsid w:val="00695F68"/>
    <w:rsid w:val="006D72FA"/>
    <w:rsid w:val="006E5152"/>
    <w:rsid w:val="006F1045"/>
    <w:rsid w:val="007327F2"/>
    <w:rsid w:val="0073292B"/>
    <w:rsid w:val="00746B8E"/>
    <w:rsid w:val="00751402"/>
    <w:rsid w:val="00787761"/>
    <w:rsid w:val="007A1B70"/>
    <w:rsid w:val="007A5673"/>
    <w:rsid w:val="007B5D79"/>
    <w:rsid w:val="007C67AC"/>
    <w:rsid w:val="007C6E82"/>
    <w:rsid w:val="007D0C04"/>
    <w:rsid w:val="007E0A8B"/>
    <w:rsid w:val="007F7F97"/>
    <w:rsid w:val="008060CA"/>
    <w:rsid w:val="008061CD"/>
    <w:rsid w:val="0080683F"/>
    <w:rsid w:val="008170D0"/>
    <w:rsid w:val="0082440D"/>
    <w:rsid w:val="008464DF"/>
    <w:rsid w:val="00846873"/>
    <w:rsid w:val="00860505"/>
    <w:rsid w:val="00860DA6"/>
    <w:rsid w:val="00877CE8"/>
    <w:rsid w:val="0089127D"/>
    <w:rsid w:val="008966C7"/>
    <w:rsid w:val="008A044C"/>
    <w:rsid w:val="008A54A9"/>
    <w:rsid w:val="008C06CE"/>
    <w:rsid w:val="008D16E1"/>
    <w:rsid w:val="008E1ED4"/>
    <w:rsid w:val="008E26E0"/>
    <w:rsid w:val="008E2A63"/>
    <w:rsid w:val="008E51E4"/>
    <w:rsid w:val="00902368"/>
    <w:rsid w:val="00914F83"/>
    <w:rsid w:val="0094167F"/>
    <w:rsid w:val="00946173"/>
    <w:rsid w:val="009567F9"/>
    <w:rsid w:val="009601C0"/>
    <w:rsid w:val="00993169"/>
    <w:rsid w:val="009A1B72"/>
    <w:rsid w:val="009A2413"/>
    <w:rsid w:val="009B53EA"/>
    <w:rsid w:val="009C5E43"/>
    <w:rsid w:val="009D6670"/>
    <w:rsid w:val="009E3BDE"/>
    <w:rsid w:val="009F01E3"/>
    <w:rsid w:val="009F3693"/>
    <w:rsid w:val="009F544E"/>
    <w:rsid w:val="009F5763"/>
    <w:rsid w:val="00A30404"/>
    <w:rsid w:val="00A3152F"/>
    <w:rsid w:val="00A568A7"/>
    <w:rsid w:val="00A66A1E"/>
    <w:rsid w:val="00A737A4"/>
    <w:rsid w:val="00A96513"/>
    <w:rsid w:val="00A966EA"/>
    <w:rsid w:val="00AB4C79"/>
    <w:rsid w:val="00AB75D7"/>
    <w:rsid w:val="00AC244E"/>
    <w:rsid w:val="00AE1D93"/>
    <w:rsid w:val="00AE3F58"/>
    <w:rsid w:val="00AF0F9F"/>
    <w:rsid w:val="00AF4DFB"/>
    <w:rsid w:val="00B06190"/>
    <w:rsid w:val="00B12C25"/>
    <w:rsid w:val="00B72F13"/>
    <w:rsid w:val="00B73A3D"/>
    <w:rsid w:val="00B73E5C"/>
    <w:rsid w:val="00B90735"/>
    <w:rsid w:val="00B91219"/>
    <w:rsid w:val="00B941B3"/>
    <w:rsid w:val="00BA4A38"/>
    <w:rsid w:val="00BA7DC1"/>
    <w:rsid w:val="00BB7307"/>
    <w:rsid w:val="00BC15B8"/>
    <w:rsid w:val="00BD372A"/>
    <w:rsid w:val="00BD6EE5"/>
    <w:rsid w:val="00BE3507"/>
    <w:rsid w:val="00C04BFB"/>
    <w:rsid w:val="00C06B33"/>
    <w:rsid w:val="00C10F38"/>
    <w:rsid w:val="00C15739"/>
    <w:rsid w:val="00C244CB"/>
    <w:rsid w:val="00C42F82"/>
    <w:rsid w:val="00C60701"/>
    <w:rsid w:val="00C644AD"/>
    <w:rsid w:val="00C67FD5"/>
    <w:rsid w:val="00C87C90"/>
    <w:rsid w:val="00CA4C90"/>
    <w:rsid w:val="00CB58E2"/>
    <w:rsid w:val="00CC556B"/>
    <w:rsid w:val="00CD439C"/>
    <w:rsid w:val="00CD51B4"/>
    <w:rsid w:val="00CE3C7C"/>
    <w:rsid w:val="00CF360F"/>
    <w:rsid w:val="00CF3962"/>
    <w:rsid w:val="00CF7D3F"/>
    <w:rsid w:val="00D62512"/>
    <w:rsid w:val="00D63608"/>
    <w:rsid w:val="00D65E2E"/>
    <w:rsid w:val="00D67434"/>
    <w:rsid w:val="00D67E2F"/>
    <w:rsid w:val="00D720FE"/>
    <w:rsid w:val="00DB711B"/>
    <w:rsid w:val="00DD22C8"/>
    <w:rsid w:val="00DE73DB"/>
    <w:rsid w:val="00DF559A"/>
    <w:rsid w:val="00E20E2E"/>
    <w:rsid w:val="00E2570D"/>
    <w:rsid w:val="00E47C13"/>
    <w:rsid w:val="00E537F6"/>
    <w:rsid w:val="00E57AF4"/>
    <w:rsid w:val="00E671F7"/>
    <w:rsid w:val="00E743A9"/>
    <w:rsid w:val="00E76CF8"/>
    <w:rsid w:val="00E874CD"/>
    <w:rsid w:val="00E91576"/>
    <w:rsid w:val="00E9699E"/>
    <w:rsid w:val="00E96A7E"/>
    <w:rsid w:val="00EA3547"/>
    <w:rsid w:val="00EA3945"/>
    <w:rsid w:val="00EA4D0F"/>
    <w:rsid w:val="00EA590F"/>
    <w:rsid w:val="00EB1B0A"/>
    <w:rsid w:val="00EC60EC"/>
    <w:rsid w:val="00ED05DE"/>
    <w:rsid w:val="00ED7254"/>
    <w:rsid w:val="00EE3D90"/>
    <w:rsid w:val="00EF0474"/>
    <w:rsid w:val="00EF1B15"/>
    <w:rsid w:val="00F050F6"/>
    <w:rsid w:val="00F207A4"/>
    <w:rsid w:val="00F24D86"/>
    <w:rsid w:val="00F3525C"/>
    <w:rsid w:val="00F35D6A"/>
    <w:rsid w:val="00F42A86"/>
    <w:rsid w:val="00F520A9"/>
    <w:rsid w:val="00F5335A"/>
    <w:rsid w:val="00F55811"/>
    <w:rsid w:val="00F55EAB"/>
    <w:rsid w:val="00F60798"/>
    <w:rsid w:val="00F655AA"/>
    <w:rsid w:val="00F75828"/>
    <w:rsid w:val="00F816D4"/>
    <w:rsid w:val="00FC0AC9"/>
    <w:rsid w:val="00FC3942"/>
    <w:rsid w:val="00FD5485"/>
    <w:rsid w:val="00FD6773"/>
    <w:rsid w:val="00FD7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C440"/>
  <w15:docId w15:val="{27336D28-7178-4A6E-9B13-B27ACBDA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4"/>
        <w:lang w:val="en-US"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6D4"/>
    <w:pPr>
      <w:spacing w:line="240" w:lineRule="auto"/>
      <w:ind w:firstLine="0"/>
      <w:jc w:val="left"/>
    </w:pPr>
    <w:rPr>
      <w:rFonts w:ascii="Times New Roman" w:eastAsia="MS Mincho" w:hAnsi="Times New Roman"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D79"/>
    <w:pPr>
      <w:ind w:left="720"/>
      <w:contextualSpacing/>
    </w:pPr>
  </w:style>
  <w:style w:type="character" w:styleId="Hyperlink">
    <w:name w:val="Hyperlink"/>
    <w:uiPriority w:val="99"/>
    <w:unhideWhenUsed/>
    <w:rsid w:val="00B941B3"/>
    <w:rPr>
      <w:color w:val="0563C1"/>
      <w:u w:val="single"/>
    </w:rPr>
  </w:style>
  <w:style w:type="paragraph" w:styleId="Header">
    <w:name w:val="header"/>
    <w:basedOn w:val="Normal"/>
    <w:link w:val="HeaderChar"/>
    <w:uiPriority w:val="99"/>
    <w:unhideWhenUsed/>
    <w:rsid w:val="00787761"/>
    <w:pPr>
      <w:tabs>
        <w:tab w:val="center" w:pos="4677"/>
        <w:tab w:val="right" w:pos="9355"/>
      </w:tabs>
    </w:pPr>
  </w:style>
  <w:style w:type="character" w:customStyle="1" w:styleId="HeaderChar">
    <w:name w:val="Header Char"/>
    <w:basedOn w:val="DefaultParagraphFont"/>
    <w:link w:val="Header"/>
    <w:uiPriority w:val="99"/>
    <w:rsid w:val="00787761"/>
    <w:rPr>
      <w:rFonts w:ascii="Times New Roman" w:eastAsia="MS Mincho" w:hAnsi="Times New Roman" w:cs="Times New Roman"/>
      <w:lang w:val="ru-RU" w:eastAsia="ru-RU"/>
    </w:rPr>
  </w:style>
  <w:style w:type="paragraph" w:styleId="Footer">
    <w:name w:val="footer"/>
    <w:basedOn w:val="Normal"/>
    <w:link w:val="FooterChar"/>
    <w:uiPriority w:val="99"/>
    <w:semiHidden/>
    <w:unhideWhenUsed/>
    <w:rsid w:val="00787761"/>
    <w:pPr>
      <w:tabs>
        <w:tab w:val="center" w:pos="4677"/>
        <w:tab w:val="right" w:pos="9355"/>
      </w:tabs>
    </w:pPr>
  </w:style>
  <w:style w:type="character" w:customStyle="1" w:styleId="FooterChar">
    <w:name w:val="Footer Char"/>
    <w:basedOn w:val="DefaultParagraphFont"/>
    <w:link w:val="Footer"/>
    <w:uiPriority w:val="99"/>
    <w:semiHidden/>
    <w:rsid w:val="00787761"/>
    <w:rPr>
      <w:rFonts w:ascii="Times New Roman" w:eastAsia="MS Mincho"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5739">
      <w:bodyDiv w:val="1"/>
      <w:marLeft w:val="0"/>
      <w:marRight w:val="0"/>
      <w:marTop w:val="0"/>
      <w:marBottom w:val="0"/>
      <w:divBdr>
        <w:top w:val="none" w:sz="0" w:space="0" w:color="auto"/>
        <w:left w:val="none" w:sz="0" w:space="0" w:color="auto"/>
        <w:bottom w:val="none" w:sz="0" w:space="0" w:color="auto"/>
        <w:right w:val="none" w:sz="0" w:space="0" w:color="auto"/>
      </w:divBdr>
    </w:div>
    <w:div w:id="317345192">
      <w:bodyDiv w:val="1"/>
      <w:marLeft w:val="0"/>
      <w:marRight w:val="0"/>
      <w:marTop w:val="0"/>
      <w:marBottom w:val="0"/>
      <w:divBdr>
        <w:top w:val="none" w:sz="0" w:space="0" w:color="auto"/>
        <w:left w:val="none" w:sz="0" w:space="0" w:color="auto"/>
        <w:bottom w:val="none" w:sz="0" w:space="0" w:color="auto"/>
        <w:right w:val="none" w:sz="0" w:space="0" w:color="auto"/>
      </w:divBdr>
    </w:div>
    <w:div w:id="459497866">
      <w:bodyDiv w:val="1"/>
      <w:marLeft w:val="0"/>
      <w:marRight w:val="0"/>
      <w:marTop w:val="0"/>
      <w:marBottom w:val="0"/>
      <w:divBdr>
        <w:top w:val="none" w:sz="0" w:space="0" w:color="auto"/>
        <w:left w:val="none" w:sz="0" w:space="0" w:color="auto"/>
        <w:bottom w:val="none" w:sz="0" w:space="0" w:color="auto"/>
        <w:right w:val="none" w:sz="0" w:space="0" w:color="auto"/>
      </w:divBdr>
    </w:div>
    <w:div w:id="608321031">
      <w:bodyDiv w:val="1"/>
      <w:marLeft w:val="0"/>
      <w:marRight w:val="0"/>
      <w:marTop w:val="0"/>
      <w:marBottom w:val="0"/>
      <w:divBdr>
        <w:top w:val="none" w:sz="0" w:space="0" w:color="auto"/>
        <w:left w:val="none" w:sz="0" w:space="0" w:color="auto"/>
        <w:bottom w:val="none" w:sz="0" w:space="0" w:color="auto"/>
        <w:right w:val="none" w:sz="0" w:space="0" w:color="auto"/>
      </w:divBdr>
    </w:div>
    <w:div w:id="1358310983">
      <w:bodyDiv w:val="1"/>
      <w:marLeft w:val="0"/>
      <w:marRight w:val="0"/>
      <w:marTop w:val="0"/>
      <w:marBottom w:val="0"/>
      <w:divBdr>
        <w:top w:val="none" w:sz="0" w:space="0" w:color="auto"/>
        <w:left w:val="none" w:sz="0" w:space="0" w:color="auto"/>
        <w:bottom w:val="none" w:sz="0" w:space="0" w:color="auto"/>
        <w:right w:val="none" w:sz="0" w:space="0" w:color="auto"/>
      </w:divBdr>
    </w:div>
    <w:div w:id="1724670395">
      <w:bodyDiv w:val="1"/>
      <w:marLeft w:val="0"/>
      <w:marRight w:val="0"/>
      <w:marTop w:val="0"/>
      <w:marBottom w:val="0"/>
      <w:divBdr>
        <w:top w:val="none" w:sz="0" w:space="0" w:color="auto"/>
        <w:left w:val="none" w:sz="0" w:space="0" w:color="auto"/>
        <w:bottom w:val="none" w:sz="0" w:space="0" w:color="auto"/>
        <w:right w:val="none" w:sz="0" w:space="0" w:color="auto"/>
      </w:divBdr>
      <w:divsChild>
        <w:div w:id="1229922038">
          <w:marLeft w:val="0"/>
          <w:marRight w:val="0"/>
          <w:marTop w:val="0"/>
          <w:marBottom w:val="0"/>
          <w:divBdr>
            <w:top w:val="none" w:sz="0" w:space="0" w:color="auto"/>
            <w:left w:val="none" w:sz="0" w:space="0" w:color="auto"/>
            <w:bottom w:val="none" w:sz="0" w:space="0" w:color="auto"/>
            <w:right w:val="none" w:sz="0" w:space="0" w:color="auto"/>
          </w:divBdr>
          <w:divsChild>
            <w:div w:id="472328120">
              <w:marLeft w:val="0"/>
              <w:marRight w:val="0"/>
              <w:marTop w:val="0"/>
              <w:marBottom w:val="0"/>
              <w:divBdr>
                <w:top w:val="none" w:sz="0" w:space="0" w:color="auto"/>
                <w:left w:val="none" w:sz="0" w:space="0" w:color="auto"/>
                <w:bottom w:val="none" w:sz="0" w:space="0" w:color="auto"/>
                <w:right w:val="none" w:sz="0" w:space="0" w:color="auto"/>
              </w:divBdr>
            </w:div>
          </w:divsChild>
        </w:div>
        <w:div w:id="650867503">
          <w:marLeft w:val="0"/>
          <w:marRight w:val="0"/>
          <w:marTop w:val="0"/>
          <w:marBottom w:val="0"/>
          <w:divBdr>
            <w:top w:val="none" w:sz="0" w:space="0" w:color="auto"/>
            <w:left w:val="none" w:sz="0" w:space="0" w:color="auto"/>
            <w:bottom w:val="none" w:sz="0" w:space="0" w:color="auto"/>
            <w:right w:val="none" w:sz="0" w:space="0" w:color="auto"/>
          </w:divBdr>
          <w:divsChild>
            <w:div w:id="13588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am/am/structure/2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5</Pages>
  <Words>939</Words>
  <Characters>5357</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Լուսինե Վահրամյան</cp:lastModifiedBy>
  <cp:revision>81</cp:revision>
  <cp:lastPrinted>2021-03-12T12:53:00Z</cp:lastPrinted>
  <dcterms:created xsi:type="dcterms:W3CDTF">2021-03-15T05:57:00Z</dcterms:created>
  <dcterms:modified xsi:type="dcterms:W3CDTF">2021-06-03T10:28:00Z</dcterms:modified>
</cp:coreProperties>
</file>