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D" w:rsidRPr="0014297A" w:rsidRDefault="00F83C7D" w:rsidP="00F83C7D">
      <w:pPr>
        <w:shd w:val="clear" w:color="auto" w:fill="FFFFFF"/>
        <w:spacing w:line="276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4297A"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F83C7D" w:rsidRPr="0014297A" w:rsidRDefault="00F83C7D" w:rsidP="00F83C7D">
      <w:pPr>
        <w:spacing w:after="0" w:line="276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14297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ԿԱՌԱՎԱՐՈՒԹՅԱՆ 2011 ԹՎԱԿԱՆԻ ՄԱՅԻՍԻ 5-Ի N 670-Ն ՈՐՈՇՄԱՆ ՄԵՋ ԼՐԱՑՈՒՄՆԵՐ ԵՎ ՓՈՓՈԽՈՒԹՅՈՒՆՆԵՐ ԿԱՏԱՐԵԼՈՒ ՄԱՍԻՆ</w:t>
      </w:r>
      <w:r w:rsidRPr="0014297A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» ՀՀ ԿԱՌԱՎԱՐՈՒԹՅԱՆ ՈՐՈՇՄԱՆ </w:t>
      </w:r>
      <w:r w:rsidRPr="0014297A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F83C7D" w:rsidRPr="0014297A" w:rsidRDefault="00F83C7D" w:rsidP="00F83C7D">
      <w:pPr>
        <w:shd w:val="clear" w:color="auto" w:fill="FFFFFF"/>
        <w:spacing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823" w:type="dxa"/>
        <w:jc w:val="center"/>
        <w:tblLook w:val="04A0" w:firstRow="1" w:lastRow="0" w:firstColumn="1" w:lastColumn="0" w:noHBand="0" w:noVBand="1"/>
      </w:tblPr>
      <w:tblGrid>
        <w:gridCol w:w="8473"/>
        <w:gridCol w:w="5350"/>
      </w:tblGrid>
      <w:tr w:rsidR="00F83C7D" w:rsidRPr="0014297A" w:rsidTr="00020BB0">
        <w:trPr>
          <w:trHeight w:val="435"/>
          <w:jc w:val="center"/>
        </w:trPr>
        <w:tc>
          <w:tcPr>
            <w:tcW w:w="8473" w:type="dxa"/>
          </w:tcPr>
          <w:p w:rsidR="00F83C7D" w:rsidRPr="0014297A" w:rsidRDefault="00F83C7D" w:rsidP="00020BB0">
            <w:pPr>
              <w:pStyle w:val="ListParagraph"/>
              <w:numPr>
                <w:ilvl w:val="0"/>
                <w:numId w:val="2"/>
              </w:num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Ֆիանանսների նախարարություն   </w:t>
            </w:r>
          </w:p>
        </w:tc>
        <w:tc>
          <w:tcPr>
            <w:tcW w:w="5350" w:type="dxa"/>
          </w:tcPr>
          <w:p w:rsidR="00F83C7D" w:rsidRPr="0014297A" w:rsidRDefault="00F83C7D" w:rsidP="00020BB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sz w:val="24"/>
                <w:szCs w:val="24"/>
                <w:lang w:val="hy-AM"/>
              </w:rPr>
              <w:t xml:space="preserve">07.06.2021 </w:t>
            </w:r>
          </w:p>
          <w:p w:rsidR="00F83C7D" w:rsidRPr="0014297A" w:rsidRDefault="00F83C7D" w:rsidP="00020BB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sz w:val="24"/>
                <w:szCs w:val="24"/>
                <w:lang w:val="hy-AM"/>
              </w:rPr>
              <w:t>N 01/8-3/9090-2021</w:t>
            </w:r>
          </w:p>
        </w:tc>
      </w:tr>
      <w:tr w:rsidR="00F83C7D" w:rsidRPr="0014297A" w:rsidTr="00020BB0">
        <w:trPr>
          <w:trHeight w:val="4944"/>
          <w:jc w:val="center"/>
        </w:trPr>
        <w:tc>
          <w:tcPr>
            <w:tcW w:w="8473" w:type="dxa"/>
          </w:tcPr>
          <w:p w:rsidR="00F83C7D" w:rsidRPr="0014297A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r w:rsidRPr="0014297A">
              <w:rPr>
                <w:rFonts w:ascii="GHEA Grapalat" w:hAnsi="GHEA Grapalat"/>
                <w:sz w:val="24"/>
                <w:szCs w:val="24"/>
              </w:rPr>
              <w:t xml:space="preserve">  1.</w:t>
            </w:r>
            <w:r w:rsidRPr="0014297A">
              <w:rPr>
                <w:rFonts w:ascii="GHEA Grapalat" w:hAnsi="GHEA Grapalat"/>
                <w:sz w:val="24"/>
                <w:szCs w:val="24"/>
              </w:rPr>
              <w:tab/>
              <w:t>Ներկայացված համակարգը բացառում է մրցակցային գնագոյացումը, այն դեպքում, երբ  բանկերի կողմից նշված ծառայությունների մատուցումը անհամեմատ ավելի ցածր գին է ենթադրում: Օպերատորը նշված գործընթացը ըստ նախագծի իրականացնելու է միանձնյա, դա հիմնավորելով միասնական ամբողջական տեղեկատվական համակարգի ստեղծմամբ, այն դեպքում, երբ արդեն իսկ գործող ««Նորք» սոցիալական ծառայությունների տեխնոլոգիական և իրազեկման կենտրոն» հիմնադրամը բավականին դետալացված տեղեկատվական բազա է ստեղծել գործող կենսաթոշակառուների մասին:</w:t>
            </w:r>
          </w:p>
        </w:tc>
        <w:tc>
          <w:tcPr>
            <w:tcW w:w="5350" w:type="dxa"/>
          </w:tcPr>
          <w:p w:rsidR="00F83C7D" w:rsidRPr="0014297A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4297A">
              <w:rPr>
                <w:rFonts w:ascii="GHEA Grapalat" w:hAnsi="GHEA Grapalat"/>
                <w:sz w:val="24"/>
                <w:szCs w:val="24"/>
              </w:rPr>
              <w:t>Առաջարկությունն ընդունվել է ի գիտություն:</w:t>
            </w:r>
          </w:p>
          <w:p w:rsidR="00F83C7D" w:rsidRPr="0014297A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4297A">
              <w:rPr>
                <w:rFonts w:ascii="GHEA Grapalat" w:hAnsi="GHEA Grapalat"/>
                <w:sz w:val="24"/>
                <w:szCs w:val="24"/>
              </w:rPr>
              <w:t>Բանկերը կենսաթոշակները վճարում անկանխիկ եղանակով վճարում են առանց միջնորդավճարի:</w:t>
            </w:r>
          </w:p>
          <w:p w:rsidR="00F83C7D" w:rsidRPr="0014297A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4297A">
              <w:rPr>
                <w:rFonts w:ascii="GHEA Grapalat" w:hAnsi="GHEA Grapalat"/>
                <w:sz w:val="24"/>
                <w:szCs w:val="24"/>
              </w:rPr>
              <w:t>Կենսաթոշակները վճարվում են (վճարման ցուցակները ձևավորվում են) պետական կենսաթոշակային համակարգի տվյալների շտեմարանի միջոցով:</w:t>
            </w:r>
          </w:p>
        </w:tc>
      </w:tr>
      <w:tr w:rsidR="00F83C7D" w:rsidRPr="00CE63AB" w:rsidTr="00020BB0">
        <w:trPr>
          <w:trHeight w:val="1968"/>
          <w:jc w:val="center"/>
        </w:trPr>
        <w:tc>
          <w:tcPr>
            <w:tcW w:w="8473" w:type="dxa"/>
          </w:tcPr>
          <w:p w:rsidR="00F83C7D" w:rsidRPr="0014297A" w:rsidRDefault="00F83C7D" w:rsidP="00481052">
            <w:pPr>
              <w:spacing w:line="360" w:lineRule="auto"/>
              <w:ind w:firstLine="36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Pr="0014297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Առաջարկվող գինը՝ 1% սահմանված էր կանխիկով բաշխման համար, որը հավելյալ աշխատանք է ենթադրում: Դրա պահպանումը անկանխիկ փոխանցումների ժամանակ գտնում ենք ոչ հիմնավոր: Ընդ որում, հաշվի առնելով, որ ներկայացված սակագները հաստատվել են դեռևս 2011թ., </w:t>
            </w:r>
            <w:r w:rsidRPr="0014297A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առաջարկում ենք վերանայել գործող սակագները՝ պահանջելով Օպերատորից և բանկերից սակագների համապատասխան հաշվարկ-հիմնավորումներ:</w:t>
            </w:r>
          </w:p>
          <w:p w:rsidR="00F83C7D" w:rsidRPr="0014297A" w:rsidRDefault="00F83C7D" w:rsidP="00481052">
            <w:pPr>
              <w:spacing w:line="360" w:lineRule="auto"/>
              <w:ind w:firstLine="57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429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Ելնելով վերոգրյալից՝ հայտնում ենք, որ Օպերատորի կողմից ներկայացված առաջարկը նախ և առաջ պետք է դիտարկել ծախս/արդյունավետություն բանաձևի կոնցեպտում, այսինքն պետությունը հանրային ծառայությունների ոլորտում ի՞նչ արդյունքի է նպատակադրված հասնելու, ինչքանո՞վ է բավարարված լինելու հանրության պահանջմունքը, ի՞նչ որակական և գնային փոփոխությունների կենթարկվեն մատուցման ենթակա ծառայությունները: </w:t>
            </w:r>
          </w:p>
          <w:p w:rsidR="00F83C7D" w:rsidRPr="0014297A" w:rsidRDefault="00F83C7D" w:rsidP="00481052">
            <w:pPr>
              <w:spacing w:line="360" w:lineRule="auto"/>
              <w:ind w:firstLine="576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429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Ուստի գտնում ենք, որ ներկայացված ոլորտում արդեն իսկ գործող ենթակառուցվածքների վերափոխումները պետք է հիմնվեն առավել հիմնավոր վերլուծությունների և հաշվարկների վրա, գնահատելով նաև կանխատեսվող համակարգային և այլ ռիսկերի կառավարելիությունը, սպառողների գնողունակ պահանջարկը, գործող համակարգի ազդեցության գնահատականը, ինչպես նաև պետական գերատեսչությունների կողմից իրականացվող նմանօրինակ ծառայությունների տրասֆորմացիայի անհրաժեշտությունը՝ համապատասխան վերլուծությամբ:</w:t>
            </w:r>
          </w:p>
          <w:p w:rsidR="00F83C7D" w:rsidRPr="0014297A" w:rsidRDefault="00F83C7D" w:rsidP="00481052">
            <w:pPr>
              <w:spacing w:line="360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Ելնելով վերոգրյալից՝ նշենք, որ առաջարկվող մոդելի ներդրման ժամանակ նախընտրելի է փուլային տարբերակը՝ հնարավորություն տալով Օպերատորին մատուցելու նշված ծառայությունները զուգահեռ պետական մարմինների հետ, մինչ համապատասխան կարողությունների ձևավորումը և յուրաքանչյուր ծառայության մասով համապատասխան հաշվարկ-հիմնավորումների ներկայացումը, որը թույլ կտա գնահատել պետության կողմից հանրային ծառայությունների ոլորտում առկա պարտավորությունների արդյունավետ իրականացումը: Ընդ որում հետագայում չսահմանափակելով նշված ծառայությունների մատուցումը միայն Օպերատորի կողմից:</w:t>
            </w:r>
          </w:p>
        </w:tc>
        <w:tc>
          <w:tcPr>
            <w:tcW w:w="5350" w:type="dxa"/>
          </w:tcPr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Առաջարկն ընդունվում է: </w:t>
            </w:r>
          </w:p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Նպատակահրամար է Ազգային օպերատորի կողմից կենսաթոշակների վճարման ծառայությունների գնագոյացման հարցը </w:t>
            </w: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քննարկել Առաջարկվում է հարցը քննարկել Վարչապետի աշխատակազմում՝ շահագրգիռ կողմերի մասնակցությամբ: </w:t>
            </w:r>
          </w:p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>Վերը նշվածը հաշվի առնելով՝ նախատեսվում է պայմանագիրը կնքել որոշակի ժամկետով՝ 2-3 ամսով: Ժամկետների հարցը կքննարկվի Կառավարությունում:</w:t>
            </w:r>
          </w:p>
        </w:tc>
      </w:tr>
      <w:tr w:rsidR="00F83C7D" w:rsidRPr="00CE63AB" w:rsidTr="00020BB0">
        <w:trPr>
          <w:trHeight w:val="1968"/>
          <w:jc w:val="center"/>
        </w:trPr>
        <w:tc>
          <w:tcPr>
            <w:tcW w:w="8473" w:type="dxa"/>
          </w:tcPr>
          <w:p w:rsidR="00F83C7D" w:rsidRPr="0014297A" w:rsidRDefault="00F83C7D" w:rsidP="00481052">
            <w:pPr>
              <w:spacing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Միաժամանակ, Նախագծի հավելվածով ներկայացված պայմանագրի նախագիծը հանդիսանում է մեկ անձից ծառայությունների գնման պայմանագիր, առաջարկում ենք պայմանագրի նախագծում ներառել ՀՀ կառավարության 04.05.2017թ. N 526-Ն որոշմամբ հաստատված կարգի 33-րդ կետի 4-րդ, 5-րդ, 8-րդ, 9-րդ, 16-րդ, 17-րդ և 18-րդ ենթակետերով սահմանված՝ պայմանագրրին ներկայացվող հիմնական պայմանները:</w:t>
            </w:r>
          </w:p>
        </w:tc>
        <w:tc>
          <w:tcPr>
            <w:tcW w:w="5350" w:type="dxa"/>
          </w:tcPr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չի ընդունվել:</w:t>
            </w:r>
          </w:p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Նույն իրավական հիմքով մշակվել և ընդունվել են կենսաթոշակների վճարման ծառայությունների մատուցման պայմանագրերի օրինակելի ձևեր հաստատող բոլոր իրավական ակտերը (ՀՀ կառավարության 2011 թվականի մայիսի 5-ի 670-Ն, 2015 թվականի դեկտեմբերի 29-ի N 1566-Ն, ՀՀ կառավարության 2020 թվականի </w:t>
            </w: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մարտի 12-ի թիվ 284-Ն և 2087-Ն որոշումներ և այլն):</w:t>
            </w:r>
          </w:p>
        </w:tc>
      </w:tr>
      <w:tr w:rsidR="00F83C7D" w:rsidRPr="0014297A" w:rsidTr="00020BB0">
        <w:trPr>
          <w:trHeight w:val="480"/>
          <w:jc w:val="center"/>
        </w:trPr>
        <w:tc>
          <w:tcPr>
            <w:tcW w:w="8473" w:type="dxa"/>
          </w:tcPr>
          <w:p w:rsidR="00F83C7D" w:rsidRPr="0014297A" w:rsidRDefault="00F83C7D" w:rsidP="00481052">
            <w:pPr>
              <w:pStyle w:val="ListParagraph"/>
              <w:numPr>
                <w:ilvl w:val="0"/>
                <w:numId w:val="2"/>
              </w:numPr>
              <w:tabs>
                <w:tab w:val="left" w:pos="370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Բարձր տեխնոլոգիական արդյունաբերության   նախարարություն</w:t>
            </w:r>
          </w:p>
        </w:tc>
        <w:tc>
          <w:tcPr>
            <w:tcW w:w="5350" w:type="dxa"/>
          </w:tcPr>
          <w:p w:rsidR="00F83C7D" w:rsidRPr="0014297A" w:rsidRDefault="00F83C7D" w:rsidP="004810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sz w:val="24"/>
                <w:szCs w:val="24"/>
                <w:lang w:val="hy-AM"/>
              </w:rPr>
              <w:t xml:space="preserve">07.06.2021  </w:t>
            </w:r>
          </w:p>
          <w:p w:rsidR="00F83C7D" w:rsidRPr="0014297A" w:rsidRDefault="00F83C7D" w:rsidP="0048105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sz w:val="24"/>
                <w:szCs w:val="24"/>
                <w:lang w:val="hy-AM"/>
              </w:rPr>
              <w:t>N 01/17</w:t>
            </w:r>
            <w:r w:rsidRPr="0014297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14297A">
              <w:rPr>
                <w:rFonts w:ascii="GHEA Grapalat" w:hAnsi="GHEA Grapalat"/>
                <w:sz w:val="24"/>
                <w:szCs w:val="24"/>
                <w:lang w:val="hy-AM"/>
              </w:rPr>
              <w:t>1/3422-2021</w:t>
            </w:r>
          </w:p>
        </w:tc>
      </w:tr>
      <w:tr w:rsidR="00F83C7D" w:rsidRPr="00CE63AB" w:rsidTr="00020BB0">
        <w:trPr>
          <w:trHeight w:val="480"/>
          <w:jc w:val="center"/>
        </w:trPr>
        <w:tc>
          <w:tcPr>
            <w:tcW w:w="8473" w:type="dxa"/>
          </w:tcPr>
          <w:p w:rsidR="00F83C7D" w:rsidRPr="0014297A" w:rsidRDefault="00F83C7D" w:rsidP="00481052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429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</w:t>
            </w:r>
            <w:r w:rsidRPr="0014297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 կատարումն ՀՀ վարչապետի պաշտոնակատարի 2021 թվականի հունիսի 4-ի թիվ 02/11.8/18524-2021 հանձնարարականի՝ առաջարկում եմ «Հայաստանի Հանրապետության կառավարության 2015 թվականի դեկտեմբերի 29-ի N 1566-Ն որոշման մեջ փոփոխություն կատարելու մասին» Հայաստանի Հանրապետության կառավարության որոշման նախագծի 5-րդ կետում «հոկտեմբերի 1-ը» բառերը փոխարինել «դեկտեմբերի 31-ը» բառերով:</w:t>
            </w:r>
          </w:p>
        </w:tc>
        <w:tc>
          <w:tcPr>
            <w:tcW w:w="5350" w:type="dxa"/>
          </w:tcPr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Առաջարկությունը չի ընդունվել:</w:t>
            </w:r>
          </w:p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Տես՝ Ֆինանսների նախարարության առաջարկությունների 1-ին և 2-րդ կետերը և դրանց վերաբերյալ դիրքորոշումը: </w:t>
            </w:r>
          </w:p>
          <w:p w:rsidR="00F83C7D" w:rsidRPr="00251862" w:rsidRDefault="00F83C7D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1862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հարցը քննարկել Վարչապետի աշխատակազմում՝ շահագրգիռ կողմերի մասնակցությամբ:</w:t>
            </w: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14297A" w:rsidRDefault="00CE63AB" w:rsidP="00481052">
            <w:pPr>
              <w:tabs>
                <w:tab w:val="left" w:pos="177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Արդարադատության նախարարություն</w:t>
            </w:r>
          </w:p>
        </w:tc>
        <w:tc>
          <w:tcPr>
            <w:tcW w:w="5350" w:type="dxa"/>
          </w:tcPr>
          <w:p w:rsidR="00CE63AB" w:rsidRP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>07.06.2021</w:t>
            </w:r>
          </w:p>
          <w:p w:rsidR="00CE63AB" w:rsidRPr="00251862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>N 01/27.0.01/15763-2021</w:t>
            </w: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CE63AB" w:rsidRDefault="00CE63AB" w:rsidP="00481052">
            <w:pPr>
              <w:tabs>
                <w:tab w:val="left" w:pos="4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«Հայաստանի Հանրապետության կառավարության 2011 թվականի մայիսի 5-ի N 670-Ն որոշման մեջ լրացումներ և փոփոխություններ կատարելու մասին» Հայաստանի Հանրապետության կառավարության որոշման նախագծի (այսուհետ՝ Նախագիծ) 1-ին կետի 2-րդ ենթակետի «ա» 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պարբերությունում «բառերով» բառն անհրաժեշտ է փոխարինել «բառերով և նախադասություններով» բառերով՝ նկատի ունենալով «Նորմատիվ իրավական ակտերի մասին» օրենքի 33-րդ հոդվածի 3-րդ մասի դրույթները:</w:t>
            </w:r>
          </w:p>
        </w:tc>
        <w:tc>
          <w:tcPr>
            <w:tcW w:w="5350" w:type="dxa"/>
          </w:tcPr>
          <w:p w:rsid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2-րդ ենթակետի «ա» պարբերությունում «բառերով» բառն 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անհրաժեշտ է փոխարինել «բառերով և նախադասություններով»</w:t>
            </w:r>
          </w:p>
          <w:p w:rsidR="00CE63AB" w:rsidRP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CE63AB" w:rsidRDefault="00CE63AB" w:rsidP="00481052">
            <w:pPr>
              <w:tabs>
                <w:tab w:val="left" w:pos="51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կետի 2-րդ ենթակետի «բ» պարբերությունում «6-րդ» բառն անհրաժեշտ է փոխարինել «6.1-ին» բառով:</w:t>
            </w:r>
          </w:p>
        </w:tc>
        <w:tc>
          <w:tcPr>
            <w:tcW w:w="5350" w:type="dxa"/>
          </w:tcPr>
          <w:p w:rsid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CE63AB" w:rsidRDefault="000609C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Լրամշակված </w:t>
            </w:r>
            <w:r w:rsidR="00CE63AB"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="00720622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-րդ</w:t>
            </w:r>
            <w:r w:rsidR="00CE63AB"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E63AB" w:rsidRPr="00CE63AB">
              <w:rPr>
                <w:rFonts w:ascii="GHEA Grapalat" w:hAnsi="GHEA Grapalat"/>
                <w:sz w:val="24"/>
                <w:szCs w:val="24"/>
                <w:lang w:val="hy-AM"/>
              </w:rPr>
              <w:t>-րդ ենթակետ</w:t>
            </w:r>
            <w:r w:rsidR="00720622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="00CE63AB"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«6-րդ» բառն փոխարին</w:t>
            </w:r>
            <w:r w:rsidR="00CE63AB">
              <w:rPr>
                <w:rFonts w:ascii="GHEA Grapalat" w:hAnsi="GHEA Grapalat"/>
                <w:sz w:val="24"/>
                <w:szCs w:val="24"/>
                <w:lang w:val="hy-AM"/>
              </w:rPr>
              <w:t>վել է</w:t>
            </w:r>
            <w:r w:rsidR="00CE63AB"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«6.1-ին» բառով</w:t>
            </w:r>
            <w:r w:rsidR="00CE63A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CE63AB" w:rsidRP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CE63AB" w:rsidRDefault="00CE63AB" w:rsidP="00481052">
            <w:pPr>
              <w:tabs>
                <w:tab w:val="left" w:pos="6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այն կարգավորումը, որով նախատեսվում է Հայաստանի Հանրապետության կառավարության 2011 թվականի մայիսի 5-ի N 670-Ն որոշումը լրացնել նոր N 4 հավելվածով, անհրաժեշտ է նախատեսել որպես նախագծի առանձին կետ:</w:t>
            </w:r>
          </w:p>
        </w:tc>
        <w:tc>
          <w:tcPr>
            <w:tcW w:w="5350" w:type="dxa"/>
          </w:tcPr>
          <w:p w:rsidR="000609CB" w:rsidRDefault="000609C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CE63AB" w:rsidRPr="00CE63AB" w:rsidRDefault="000609C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N 4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հավելվածի վերաբերյալ առաջարկությունը նախատեսվել է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նախագծի առանձին 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CE63AB" w:rsidRDefault="00CE63AB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Հաշվի առնելով այն հանգամանքը, որ Նախագծի 5-րդ կետով նախատեսվող կարգավորումները չեն ինկորպորացվելու, այլ կերպ ասած՝ չեն արտացոլվելու հիմնական իրավական ակտում՝ գտնում ենք, որ Նախագծի 5-րդ կետով առաջարկվող կարգավորումներն անհրաժեշտ է նախատեսել հիմնական իրավական ակտի, այն է՝ Հայաստանի 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2011 թվականի մայիսի 5-ի N 670-Ն որոշման անցումային դրույթներով:</w:t>
            </w:r>
          </w:p>
        </w:tc>
        <w:tc>
          <w:tcPr>
            <w:tcW w:w="5350" w:type="dxa"/>
          </w:tcPr>
          <w:p w:rsidR="00F269C5" w:rsidRDefault="00F269C5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CE63AB" w:rsidRPr="00CE63AB" w:rsidRDefault="00B246A3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Որոշումը </w:t>
            </w:r>
            <w:r w:rsidRPr="00B246A3">
              <w:rPr>
                <w:rFonts w:ascii="GHEA Grapalat" w:hAnsi="GHEA Grapalat"/>
                <w:sz w:val="24"/>
                <w:szCs w:val="24"/>
                <w:lang w:val="hy-AM"/>
              </w:rPr>
              <w:t>լրաց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B246A3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B2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նույն</w:t>
            </w:r>
            <w:r w:rsidRPr="00B2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բովանդակությամբ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B246A3">
              <w:rPr>
                <w:rFonts w:ascii="GHEA Grapalat" w:hAnsi="GHEA Grapalat"/>
                <w:sz w:val="24"/>
                <w:szCs w:val="24"/>
                <w:lang w:val="hy-AM"/>
              </w:rPr>
              <w:t xml:space="preserve"> 6-րդ 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CE63AB" w:rsidRDefault="00CE63AB" w:rsidP="00481052">
            <w:pPr>
              <w:tabs>
                <w:tab w:val="left" w:pos="7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Նախագծով լրացվող նոր 4-րդ հավելվածի (այսուհետ՝ Հավելված) 3-րդ կետի 1-ին ենթակետի համաձայն՝ կողմերն անվերապահորեն ընդունում են, որ՝ կենսաթոշակառուին իր Էլեկտրոնային փողի հաշվառման հաշվին առկա միջոցները մարում է՝ կանխիկ կամ անկանխիկ եղանակով վճարելու միջոցով կամ կենսաթոշակառուն իրականացնում է Էլեկտրոնային փողով վճարում:  Այս առումով գտնում ենք, որ Հավելվածի 3-րդ կետի նշյալ ենթակետով նախատեսվող կարգավորումերն անհրաժեշտ է խմբագրել, քանի որ նման ձևակերպման պարագայում առաջանում է բովանդակային անհամապատասխանություն:</w:t>
            </w:r>
          </w:p>
        </w:tc>
        <w:tc>
          <w:tcPr>
            <w:tcW w:w="5350" w:type="dxa"/>
          </w:tcPr>
          <w:p w:rsidR="0064679A" w:rsidRPr="0064679A" w:rsidRDefault="0064679A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79A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 գիտություն։</w:t>
            </w:r>
          </w:p>
          <w:p w:rsidR="00CE63AB" w:rsidRPr="00CE63AB" w:rsidRDefault="0064679A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79A">
              <w:rPr>
                <w:rFonts w:ascii="GHEA Grapalat" w:hAnsi="GHEA Grapalat"/>
                <w:sz w:val="24"/>
                <w:szCs w:val="24"/>
                <w:lang w:val="hy-AM"/>
              </w:rPr>
              <w:t>Խնդրո առարկա ենթակետի խմբագրությունը համապատասխանում է Հայաստանի Հանրապետության կենտրոնական բանկի խորհրդի 2015 թվականի հունվարի 13-ի թիվ 2-Ն որոշմամբ հաստատված՝ Կանոնակարգ 16.02-ի 7-րդ կետի 4-րդ և 5-րդ ենթակետերին։</w:t>
            </w:r>
          </w:p>
        </w:tc>
      </w:tr>
      <w:tr w:rsidR="00CE63AB" w:rsidRPr="00CE63AB" w:rsidTr="00020BB0">
        <w:trPr>
          <w:trHeight w:val="480"/>
          <w:jc w:val="center"/>
        </w:trPr>
        <w:tc>
          <w:tcPr>
            <w:tcW w:w="8473" w:type="dxa"/>
          </w:tcPr>
          <w:p w:rsidR="00CE63AB" w:rsidRPr="00CE63AB" w:rsidRDefault="00CE63AB" w:rsidP="00481052">
            <w:pPr>
              <w:tabs>
                <w:tab w:val="left" w:pos="51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Ելնելով «Նորմատիվ իրավական ակտերի մասին» օրենքի 9-րդ հոդվածի 1-ին մասի պահանջներից՝ Հավելվածի մի շարք կետերով (Հավելվածի 4-րդ և 22-րդ կետեր) առաջարկվող կարգավորումներն անհրաժեշտ է նախատեսել, ոչ թե կենսաթոշակներն Ազգային օպերատորի կողմից անկանխիկ եղանակով վճարման ծառայությունների մատուցման պայմանագրի օրինակելի ձևում, այլ Հայաստանի Հանրապետության կառավարության 2011 թվականի մայիսի 5-ի N 670-Ն որոշման մեջ, քանի որ հիշյալ կետերը դուրս են Հայաստանի Հանրապետության աշխատանքի </w:t>
            </w:r>
            <w:r w:rsidRPr="00CE63A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և սոցիալական հարցերի նախարարության միասնական սոցիալական ծառայության և Հայաստանի Հանրապետության փոստային կապի ազգային օպերատոր «Հայփոստ» ՓԲԸ-ի միջև կնքվող ծառայությունների մատուցման պայմանագրի կարգավորման առարկայի շրջանակներից:</w:t>
            </w:r>
          </w:p>
        </w:tc>
        <w:tc>
          <w:tcPr>
            <w:tcW w:w="5350" w:type="dxa"/>
          </w:tcPr>
          <w:p w:rsidR="00481052" w:rsidRPr="00481052" w:rsidRDefault="00481052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5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Առաջարկությունը չի ընդունվել։</w:t>
            </w:r>
          </w:p>
          <w:p w:rsidR="00CE63AB" w:rsidRPr="00CE63AB" w:rsidRDefault="00481052" w:rsidP="0048105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105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քննարկվող </w:t>
            </w:r>
            <w:r w:rsidRPr="00481052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երը</w:t>
            </w:r>
            <w:r w:rsidRPr="004810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բացառապես վերաբերում է պայմանագրի կատարմանը (պայմանագիրը կատարելու համար ըստ անհրաժեշտության՝ ծրագրային ապահովման ներդրմանը՝ պայմանագրի անբաժանելի մասը կազմող լրացուցիչ համաձայնագրի համաձայն)։</w:t>
            </w:r>
          </w:p>
        </w:tc>
      </w:tr>
      <w:bookmarkEnd w:id="0"/>
    </w:tbl>
    <w:p w:rsidR="00F83C7D" w:rsidRPr="0014297A" w:rsidRDefault="00F83C7D" w:rsidP="00F83C7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D7479" w:rsidRPr="00251862" w:rsidRDefault="00AD7479" w:rsidP="00F83C7D">
      <w:pPr>
        <w:rPr>
          <w:lang w:val="hy-AM"/>
        </w:rPr>
      </w:pPr>
    </w:p>
    <w:sectPr w:rsidR="00AD7479" w:rsidRPr="00251862" w:rsidSect="003335D1">
      <w:pgSz w:w="15840" w:h="12240" w:orient="landscape"/>
      <w:pgMar w:top="1080" w:right="706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2A8" w:rsidRDefault="003512A8" w:rsidP="003D30E3">
      <w:pPr>
        <w:spacing w:after="0" w:line="240" w:lineRule="auto"/>
      </w:pPr>
      <w:r>
        <w:separator/>
      </w:r>
    </w:p>
  </w:endnote>
  <w:endnote w:type="continuationSeparator" w:id="0">
    <w:p w:rsidR="003512A8" w:rsidRDefault="003512A8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2A8" w:rsidRDefault="003512A8" w:rsidP="003D30E3">
      <w:pPr>
        <w:spacing w:after="0" w:line="240" w:lineRule="auto"/>
      </w:pPr>
      <w:r>
        <w:separator/>
      </w:r>
    </w:p>
  </w:footnote>
  <w:footnote w:type="continuationSeparator" w:id="0">
    <w:p w:rsidR="003512A8" w:rsidRDefault="003512A8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00D0B"/>
    <w:multiLevelType w:val="hybridMultilevel"/>
    <w:tmpl w:val="79CE4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17F89"/>
    <w:multiLevelType w:val="hybridMultilevel"/>
    <w:tmpl w:val="B3880DCE"/>
    <w:lvl w:ilvl="0" w:tplc="22E4CBC4">
      <w:start w:val="2020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B3E81"/>
    <w:multiLevelType w:val="hybridMultilevel"/>
    <w:tmpl w:val="09E600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F70160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3"/>
  </w:num>
  <w:num w:numId="5">
    <w:abstractNumId w:val="1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"/>
  </w:num>
  <w:num w:numId="10">
    <w:abstractNumId w:val="10"/>
  </w:num>
  <w:num w:numId="11">
    <w:abstractNumId w:val="4"/>
  </w:num>
  <w:num w:numId="12">
    <w:abstractNumId w:val="11"/>
  </w:num>
  <w:num w:numId="13">
    <w:abstractNumId w:val="7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609CB"/>
    <w:rsid w:val="00061345"/>
    <w:rsid w:val="00077908"/>
    <w:rsid w:val="000A0FC6"/>
    <w:rsid w:val="000B122B"/>
    <w:rsid w:val="000C06EB"/>
    <w:rsid w:val="000D05BF"/>
    <w:rsid w:val="000E6ADE"/>
    <w:rsid w:val="000F00A2"/>
    <w:rsid w:val="0010178B"/>
    <w:rsid w:val="00103B6C"/>
    <w:rsid w:val="00104C7E"/>
    <w:rsid w:val="00120559"/>
    <w:rsid w:val="00136CFA"/>
    <w:rsid w:val="00146A3B"/>
    <w:rsid w:val="0019521D"/>
    <w:rsid w:val="00201ADC"/>
    <w:rsid w:val="00215BA0"/>
    <w:rsid w:val="00217D8E"/>
    <w:rsid w:val="002372DA"/>
    <w:rsid w:val="00237BEC"/>
    <w:rsid w:val="00242597"/>
    <w:rsid w:val="002472FA"/>
    <w:rsid w:val="00250C8A"/>
    <w:rsid w:val="00251862"/>
    <w:rsid w:val="0027714A"/>
    <w:rsid w:val="002E31B7"/>
    <w:rsid w:val="003335D1"/>
    <w:rsid w:val="003512A8"/>
    <w:rsid w:val="0035130F"/>
    <w:rsid w:val="003571C1"/>
    <w:rsid w:val="003A1BA1"/>
    <w:rsid w:val="003B3E4F"/>
    <w:rsid w:val="003C04CE"/>
    <w:rsid w:val="003D05DC"/>
    <w:rsid w:val="003D0A3C"/>
    <w:rsid w:val="003D30E3"/>
    <w:rsid w:val="003D5092"/>
    <w:rsid w:val="00436D58"/>
    <w:rsid w:val="004411FA"/>
    <w:rsid w:val="00446CAF"/>
    <w:rsid w:val="00446EBD"/>
    <w:rsid w:val="00450C3A"/>
    <w:rsid w:val="00461134"/>
    <w:rsid w:val="00461A17"/>
    <w:rsid w:val="00465B5C"/>
    <w:rsid w:val="00481052"/>
    <w:rsid w:val="004B61D5"/>
    <w:rsid w:val="004C1568"/>
    <w:rsid w:val="004D0B27"/>
    <w:rsid w:val="004F17DA"/>
    <w:rsid w:val="004F474C"/>
    <w:rsid w:val="00535FDC"/>
    <w:rsid w:val="005379FD"/>
    <w:rsid w:val="005754CC"/>
    <w:rsid w:val="00581510"/>
    <w:rsid w:val="00590B8A"/>
    <w:rsid w:val="005E0EF0"/>
    <w:rsid w:val="005F0E1D"/>
    <w:rsid w:val="005F19D8"/>
    <w:rsid w:val="00607627"/>
    <w:rsid w:val="0064679A"/>
    <w:rsid w:val="00665811"/>
    <w:rsid w:val="006A5FC5"/>
    <w:rsid w:val="006C08D4"/>
    <w:rsid w:val="006C22A6"/>
    <w:rsid w:val="006D2633"/>
    <w:rsid w:val="006D510F"/>
    <w:rsid w:val="00720622"/>
    <w:rsid w:val="0072113A"/>
    <w:rsid w:val="00726485"/>
    <w:rsid w:val="00740547"/>
    <w:rsid w:val="0075161F"/>
    <w:rsid w:val="00761CE0"/>
    <w:rsid w:val="00764B3B"/>
    <w:rsid w:val="00776CF9"/>
    <w:rsid w:val="00777C6A"/>
    <w:rsid w:val="007834D6"/>
    <w:rsid w:val="007C690E"/>
    <w:rsid w:val="00804AA6"/>
    <w:rsid w:val="00806660"/>
    <w:rsid w:val="00813FC4"/>
    <w:rsid w:val="00844D55"/>
    <w:rsid w:val="00886404"/>
    <w:rsid w:val="008A3D68"/>
    <w:rsid w:val="008B068D"/>
    <w:rsid w:val="008B30D0"/>
    <w:rsid w:val="008D2B23"/>
    <w:rsid w:val="008E01EF"/>
    <w:rsid w:val="008E6F97"/>
    <w:rsid w:val="0090403B"/>
    <w:rsid w:val="00924492"/>
    <w:rsid w:val="00924ACA"/>
    <w:rsid w:val="00940AEB"/>
    <w:rsid w:val="0095260D"/>
    <w:rsid w:val="00954ED1"/>
    <w:rsid w:val="0096329A"/>
    <w:rsid w:val="009A1C27"/>
    <w:rsid w:val="009C2673"/>
    <w:rsid w:val="009D0E37"/>
    <w:rsid w:val="009D6417"/>
    <w:rsid w:val="009F6480"/>
    <w:rsid w:val="00A24C3A"/>
    <w:rsid w:val="00A43777"/>
    <w:rsid w:val="00A7165E"/>
    <w:rsid w:val="00A83A0E"/>
    <w:rsid w:val="00A95F1C"/>
    <w:rsid w:val="00AA286D"/>
    <w:rsid w:val="00AA2BAB"/>
    <w:rsid w:val="00AA5BB5"/>
    <w:rsid w:val="00AB4AC3"/>
    <w:rsid w:val="00AC5E7F"/>
    <w:rsid w:val="00AC7883"/>
    <w:rsid w:val="00AD6CCE"/>
    <w:rsid w:val="00AD7479"/>
    <w:rsid w:val="00B1104A"/>
    <w:rsid w:val="00B246A3"/>
    <w:rsid w:val="00B92AD6"/>
    <w:rsid w:val="00B94B84"/>
    <w:rsid w:val="00BA077B"/>
    <w:rsid w:val="00BD5A29"/>
    <w:rsid w:val="00BD61A6"/>
    <w:rsid w:val="00BD7DDA"/>
    <w:rsid w:val="00BF3294"/>
    <w:rsid w:val="00C071BD"/>
    <w:rsid w:val="00C345F1"/>
    <w:rsid w:val="00C723BB"/>
    <w:rsid w:val="00CA0609"/>
    <w:rsid w:val="00CD6389"/>
    <w:rsid w:val="00CE63AB"/>
    <w:rsid w:val="00D0078B"/>
    <w:rsid w:val="00D240C9"/>
    <w:rsid w:val="00D41943"/>
    <w:rsid w:val="00D43DCD"/>
    <w:rsid w:val="00D62DB7"/>
    <w:rsid w:val="00D74F31"/>
    <w:rsid w:val="00DA22A7"/>
    <w:rsid w:val="00DD133F"/>
    <w:rsid w:val="00DE1014"/>
    <w:rsid w:val="00DE39E5"/>
    <w:rsid w:val="00E0558E"/>
    <w:rsid w:val="00E174FD"/>
    <w:rsid w:val="00E54D93"/>
    <w:rsid w:val="00E70A7B"/>
    <w:rsid w:val="00EB2251"/>
    <w:rsid w:val="00EC73E6"/>
    <w:rsid w:val="00ED43EE"/>
    <w:rsid w:val="00EE1A77"/>
    <w:rsid w:val="00EE4FD8"/>
    <w:rsid w:val="00F10190"/>
    <w:rsid w:val="00F21472"/>
    <w:rsid w:val="00F269C5"/>
    <w:rsid w:val="00F30C68"/>
    <w:rsid w:val="00F33EF8"/>
    <w:rsid w:val="00F40AEB"/>
    <w:rsid w:val="00F514D5"/>
    <w:rsid w:val="00F7280E"/>
    <w:rsid w:val="00F83C7D"/>
    <w:rsid w:val="00F90175"/>
    <w:rsid w:val="00FB1570"/>
    <w:rsid w:val="00FB62E5"/>
    <w:rsid w:val="00FD77C9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44AD"/>
  <w15:docId w15:val="{DCF66955-0A73-49EC-B8C3-67028702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  <w:style w:type="paragraph" w:styleId="CommentText">
    <w:name w:val="annotation text"/>
    <w:basedOn w:val="Normal"/>
    <w:link w:val="CommentTextChar"/>
    <w:uiPriority w:val="99"/>
    <w:unhideWhenUsed/>
    <w:rsid w:val="00D74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4F3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9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https:/mul2-mss.gov.am/tasks/472539/oneclick/ampopatert (6).docx?token=56ec5e3a7ae54e3de8a544d149472c36</cp:keywords>
  <dc:description/>
  <cp:lastModifiedBy>Tatevik.Mikayelyan</cp:lastModifiedBy>
  <cp:revision>7</cp:revision>
  <dcterms:created xsi:type="dcterms:W3CDTF">2021-06-07T12:43:00Z</dcterms:created>
  <dcterms:modified xsi:type="dcterms:W3CDTF">2021-06-07T13:56:00Z</dcterms:modified>
</cp:coreProperties>
</file>