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238" w:rsidRPr="00F72238" w:rsidRDefault="00F72238" w:rsidP="00F7223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F7223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ՀԻՄՆԱՎՈՐՈՒՄ</w:t>
      </w:r>
    </w:p>
    <w:p w:rsidR="00F72238" w:rsidRPr="00F72238" w:rsidRDefault="00F72238" w:rsidP="00F72238">
      <w:pPr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F722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Pr="00F72238">
        <w:rPr>
          <w:rFonts w:ascii="GHEA Grapalat" w:hAnsi="GHEA Grapalat"/>
          <w:b/>
          <w:sz w:val="24"/>
          <w:szCs w:val="24"/>
          <w:lang w:val="hy-AM"/>
        </w:rPr>
        <w:t>ՀԱՅԱՍՏԱՆԻ ՀԱՆՐԱՊԵՏՈՒԹՅԱՆ ՊԵՏՈՒԹՅՈՒՆ-ՄԱՍՆԱՎՈՐ ԳՈՐԾԸՆԿԵՐՈՒԹՅԱՆ ՊԱՐՏԱՎՈՐՈՒԹՅՈՒՆՆԵՐԻ ԹՈՒՅԼԱՏՐԵԼԻ ԱՌԱՎԵԼԱԳՈՒՅՆ ՍԱՀՄԱՆԱՉԱՓ ՍԱՀՄԱՆԵԼՈՒ ՄԱՍԻՆ</w:t>
      </w:r>
      <w:r w:rsidRPr="00F722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Pr="00F7223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ԿԱՌԱՎԱՐՈՒԹՅԱՆ ՈՐՈՇՄԱՆ ՆԱԽԱԳԾԻ ԸՆԴՈՒՆՄԱՆ</w:t>
      </w:r>
    </w:p>
    <w:p w:rsidR="00F72238" w:rsidRPr="00F72238" w:rsidRDefault="00F72238" w:rsidP="00F72238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F72238" w:rsidRPr="00F72238" w:rsidRDefault="00F72238" w:rsidP="00F72238">
      <w:pPr>
        <w:spacing w:after="0" w:line="360" w:lineRule="auto"/>
        <w:ind w:left="1287" w:firstLine="153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F7223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 Իրավական ակտի ընդունման անհրաժեշտությունը (նպատակը)</w:t>
      </w:r>
    </w:p>
    <w:p w:rsidR="00F72238" w:rsidRPr="00F72238" w:rsidRDefault="00F72238" w:rsidP="00F72238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F72238">
        <w:rPr>
          <w:rFonts w:ascii="GHEA Grapalat" w:eastAsia="Calibri" w:hAnsi="GHEA Grapalat" w:cs="Sylfaen"/>
          <w:sz w:val="24"/>
          <w:szCs w:val="24"/>
          <w:lang w:val="hy-AM" w:eastAsia="ru-RU"/>
        </w:rPr>
        <w:t>2019 թվականի</w:t>
      </w:r>
      <w:r w:rsidRPr="00F72238">
        <w:rPr>
          <w:rFonts w:ascii="GHEA Grapalat" w:eastAsia="Calibri" w:hAnsi="GHEA Grapalat" w:cs="Arial Armenian"/>
          <w:sz w:val="24"/>
          <w:szCs w:val="24"/>
          <w:lang w:val="hy-AM" w:eastAsia="ru-RU"/>
        </w:rPr>
        <w:t xml:space="preserve"> հունիսի 28</w:t>
      </w:r>
      <w:r w:rsidRPr="00F72238">
        <w:rPr>
          <w:rFonts w:ascii="GHEA Grapalat" w:eastAsia="Calibri" w:hAnsi="GHEA Grapalat" w:cs="Sylfaen"/>
          <w:sz w:val="24"/>
          <w:szCs w:val="24"/>
          <w:lang w:val="hy-AM" w:eastAsia="ru-RU"/>
        </w:rPr>
        <w:t>-ին ընդունվել է</w:t>
      </w:r>
      <w:r w:rsidRPr="00F72238">
        <w:rPr>
          <w:rFonts w:ascii="Calibri" w:eastAsia="Calibri" w:hAnsi="Calibri" w:cs="Calibri"/>
          <w:color w:val="000000"/>
          <w:sz w:val="24"/>
          <w:szCs w:val="24"/>
          <w:lang w:val="hy-AM" w:eastAsia="ru-RU"/>
        </w:rPr>
        <w:t> </w:t>
      </w:r>
      <w:r w:rsidRPr="00F72238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«Պետություն-մասնավոր գործընկերության մասին» ՀՕ-113-Ն օրենքը (այսուհետ` Օրենք), որով նախատեսված է սահմանել </w:t>
      </w:r>
      <w:r w:rsidRPr="00F7223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պետություն-մասնավոր գործընկերության հարաբերությունները, իրականացման չափանիշները, ընթացակարգերը, կառավարման ինստիտուցիոնալ շրջանակը և կիրառելի սկզբունքները: Օրենքի նպատակն է հաջողակ </w:t>
      </w:r>
      <w:r w:rsidRPr="00F72238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պետություն-մասնավոր գործընկերության (</w:t>
      </w:r>
      <w:r w:rsidRPr="00F7223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ՊՄԳ) ծրագրի ստեղծման, խթանման և կառավարման նպատակով սահմանել անհրաժեշտ օրենսդրական և ինստիտուցիոնալ հիմքեր: </w:t>
      </w:r>
    </w:p>
    <w:p w:rsidR="00F72238" w:rsidRPr="00F72238" w:rsidRDefault="00F72238" w:rsidP="00F72238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F7223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Համաձայն Օրենքի` Հայաստանի Հանրապետության կառավարությունը սահմանում է` </w:t>
      </w:r>
      <w:r w:rsidR="009447AF">
        <w:rPr>
          <w:rFonts w:ascii="GHEA Grapalat" w:eastAsia="Calibri" w:hAnsi="GHEA Grapalat" w:cs="Times New Roman"/>
          <w:sz w:val="24"/>
          <w:szCs w:val="24"/>
          <w:lang w:eastAsia="ru-RU"/>
        </w:rPr>
        <w:t>Օ</w:t>
      </w:r>
      <w:r w:rsidRPr="00F72238">
        <w:rPr>
          <w:rFonts w:ascii="GHEA Grapalat" w:eastAsia="Calibri" w:hAnsi="GHEA Grapalat" w:cs="Times New Roman"/>
          <w:sz w:val="24"/>
          <w:szCs w:val="24"/>
          <w:lang w:val="hy-AM" w:eastAsia="ru-RU"/>
        </w:rPr>
        <w:t>րենքն ուժի մեջ մտնելուց հետո կնքված ՊՄԳ պայմանագրերի գծով Հայաստանի Հանրապետության պայմանական պարտավորությունների թույլատրելի սահմանաչափ (Հոդված 2, մաս 1, կետ 16):</w:t>
      </w:r>
    </w:p>
    <w:p w:rsidR="00F72238" w:rsidRPr="00F72238" w:rsidRDefault="00F72238" w:rsidP="004E6F7D">
      <w:pPr>
        <w:spacing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:rsidR="004E6F7D" w:rsidRPr="000B138A" w:rsidRDefault="00F72238" w:rsidP="000B138A">
      <w:pPr>
        <w:numPr>
          <w:ilvl w:val="0"/>
          <w:numId w:val="2"/>
        </w:numPr>
        <w:tabs>
          <w:tab w:val="left" w:pos="1260"/>
          <w:tab w:val="left" w:pos="1350"/>
        </w:tabs>
        <w:spacing w:after="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F72238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Կարգավորման հարաբերությունների առկա վիճակը </w:t>
      </w:r>
    </w:p>
    <w:p w:rsidR="004E6F7D" w:rsidRPr="004E6F7D" w:rsidRDefault="004E6F7D" w:rsidP="004E6F7D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4E6F7D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Հայաստանի Հանրապետությունում ՊՄԳ-ներից բխող իրավահարաբերությունների օրենսդրական կարգավորման  նպատակն է խթանել երկրում հանրային ենթակառուցվածքների  բարելավումը, ստեղծել պետություն-մասնավոր գործընկերության  բարեհաջող ծրագրերի իրագործման, խթանման և կառավարման բարենպաստ օրենսդրական և ինստիտուցիոնալ միջավայր, համարժեք՝ պետություն-մասնավոր գործընկերության միջազգային լավագույն փորձին, միաժամանակ պահպանելով ՊՄԳ պայմանագրերից ծագող ֆիսկալ ազդեցությունների սահմանափակումը:</w:t>
      </w:r>
    </w:p>
    <w:p w:rsidR="004E6F7D" w:rsidRPr="004E6F7D" w:rsidRDefault="004E6F7D" w:rsidP="004E6F7D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4E6F7D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Հարկ է նշել, որ  Օրենքի կիրարկման և հետևաբար հանրային ենթակառուցվածքներում մասնավոր հատվածի ֆինանսական և կառավարման կարողությունների ներգրավմանն ուղղված  ենթաօրենսդրական շրջանակը դեռևս ամբողջական չէ: Մասնավորապես</w:t>
      </w:r>
      <w:r>
        <w:rPr>
          <w:rFonts w:ascii="GHEA Grapalat" w:eastAsia="Calibri" w:hAnsi="GHEA Grapalat" w:cs="Times New Roman"/>
          <w:sz w:val="24"/>
          <w:szCs w:val="24"/>
          <w:lang w:eastAsia="ru-RU"/>
        </w:rPr>
        <w:t>,</w:t>
      </w:r>
      <w:r w:rsidRPr="004E6F7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ՊՄԳ </w:t>
      </w:r>
      <w:r w:rsidRPr="004E6F7D">
        <w:rPr>
          <w:rFonts w:ascii="GHEA Grapalat" w:eastAsia="Calibri" w:hAnsi="GHEA Grapalat" w:cs="Times New Roman"/>
          <w:sz w:val="24"/>
          <w:szCs w:val="24"/>
          <w:lang w:val="hy-AM" w:eastAsia="ru-RU"/>
        </w:rPr>
        <w:lastRenderedPageBreak/>
        <w:t>իրավահարաբերությունների կարգավորման շրջանակներում, հարկաբյուջետային ռիսկերի կառավարման ու ֆիսկալ կայունության ապահովման նպատակով, Օրենքը ամրագրում է  ՊՄԳ պարտավորությունների թույլատրելի առավելագույն չափի սահմանումը՝ ՀՀ կառավարության կողմից։ Այս սահմանումը կար</w:t>
      </w:r>
      <w:r>
        <w:rPr>
          <w:rFonts w:ascii="GHEA Grapalat" w:eastAsia="Calibri" w:hAnsi="GHEA Grapalat" w:cs="Times New Roman"/>
          <w:sz w:val="24"/>
          <w:szCs w:val="24"/>
          <w:lang w:eastAsia="ru-RU"/>
        </w:rPr>
        <w:t>և</w:t>
      </w:r>
      <w:r w:rsidRPr="004E6F7D">
        <w:rPr>
          <w:rFonts w:ascii="GHEA Grapalat" w:eastAsia="Calibri" w:hAnsi="GHEA Grapalat" w:cs="Times New Roman"/>
          <w:sz w:val="24"/>
          <w:szCs w:val="24"/>
          <w:lang w:val="hy-AM" w:eastAsia="ru-RU"/>
        </w:rPr>
        <w:t>որվում է նա</w:t>
      </w:r>
      <w:r>
        <w:rPr>
          <w:rFonts w:ascii="GHEA Grapalat" w:eastAsia="Calibri" w:hAnsi="GHEA Grapalat" w:cs="Times New Roman"/>
          <w:sz w:val="24"/>
          <w:szCs w:val="24"/>
          <w:lang w:eastAsia="ru-RU"/>
        </w:rPr>
        <w:t>և</w:t>
      </w:r>
      <w:r w:rsidRPr="004E6F7D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ՊՄԳ-ներից ծագող ֆիսկալ ռիսկերի զսպման անհրաժեշտության տեսանկյունից՝ նկատի առնելով դրանց կարճաժամկետ, միջնաժամկետ և երկարաժամկետ ազդեցությունները ընդհանուր հարկաբյուջետային իրավիճակի վրա։ Օրենսդրական շրջանակը ներկայում  չի սահմանափակում ՊՄԳ-ների գործունեության համախառն ազդեցությունը հանրային  ֆինանսների վրա,</w:t>
      </w:r>
      <w:r>
        <w:rPr>
          <w:rFonts w:ascii="GHEA Grapalat" w:eastAsia="Calibri" w:hAnsi="GHEA Grapalat" w:cs="Times New Roman"/>
          <w:sz w:val="24"/>
          <w:szCs w:val="24"/>
          <w:lang w:eastAsia="ru-RU"/>
        </w:rPr>
        <w:t xml:space="preserve"> </w:t>
      </w:r>
      <w:r w:rsidRPr="004E6F7D">
        <w:rPr>
          <w:rFonts w:ascii="GHEA Grapalat" w:eastAsia="Calibri" w:hAnsi="GHEA Grapalat" w:cs="Times New Roman"/>
          <w:sz w:val="24"/>
          <w:szCs w:val="24"/>
          <w:lang w:val="hy-AM" w:eastAsia="ru-RU"/>
        </w:rPr>
        <w:t>ինչը հաճախ դժվար չափելի է և պահանջում է կառավարման հատուկ  ընթացակարգ։</w:t>
      </w:r>
    </w:p>
    <w:p w:rsidR="00F72238" w:rsidRPr="00F72238" w:rsidRDefault="00F72238" w:rsidP="004E6F7D">
      <w:pPr>
        <w:spacing w:after="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</w:p>
    <w:p w:rsidR="00084B9E" w:rsidRPr="000B138A" w:rsidRDefault="00F72238" w:rsidP="000B138A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F72238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Առաջարկվող կարգավորման բնույթը</w:t>
      </w:r>
    </w:p>
    <w:p w:rsidR="00084B9E" w:rsidRPr="004E6F7D" w:rsidRDefault="00084B9E" w:rsidP="00084B9E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</w:pPr>
      <w:r w:rsidRPr="004E6F7D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Նախագծով առաջարկվում է ՊՄԳ ծրագրերի գծով Հայաստանի Հանրապետության պայմանական պարտավորությունների թույլատրելի սահմանաչափը սահմանել 3 տոկոս՝ հաշվարկի իրականացման տարվա Հայաստանի Հանրապետության համախառն ներքին արդյունքի ծրագրային ցուցանիշի նկատմամբ:</w:t>
      </w:r>
    </w:p>
    <w:p w:rsidR="00084B9E" w:rsidRPr="004E6F7D" w:rsidRDefault="00084B9E" w:rsidP="00084B9E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</w:pPr>
      <w:r w:rsidRPr="004E6F7D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ՀՀ կառավարության 06.11.2020թ. «Պետություն-մասնավոր գործընկերության ծրագրերի գծով Հայաստանի Հանրապետության պայմանական պարտավորությունների հաշվարկման և գնահատման մեթոդաբանությունը սահմանելու մասին» N1785-Լ որոշման դրույթներին համապատասխան՝ իրականացվել է ՊՄԳ ծրագրերից ծագող պայմանական պարտավորությունների ֆիսկալ հետևանքների համակողմանի գնահատում (գնահատվել են գործող ՊՄԳ ծրագրերը և Էլեկտրաէներգիայի գնման պայմանագրերը</w:t>
      </w:r>
      <w:r>
        <w:rPr>
          <w:rStyle w:val="FootnoteReference"/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footnoteReference w:id="1"/>
      </w:r>
      <w:r w:rsidRPr="004E6F7D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։ Արդյունքում, պարզվել է, որ</w:t>
      </w:r>
      <w:r w:rsidRPr="004E6F7D">
        <w:rPr>
          <w:rFonts w:ascii="Calibri" w:eastAsia="Calibri" w:hAnsi="Calibri" w:cs="Calibri"/>
          <w:color w:val="000000"/>
          <w:sz w:val="24"/>
          <w:szCs w:val="24"/>
          <w:lang w:val="hy-AM" w:eastAsia="ru-RU"/>
        </w:rPr>
        <w:t> </w:t>
      </w:r>
      <w:r w:rsidRPr="004E6F7D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 ռիսկի ենթակա գումարի ընդհանուր չափը համարժեք է 2020թ. ՀՆԱ 8.8 տոկոսին):</w:t>
      </w:r>
    </w:p>
    <w:p w:rsidR="00084B9E" w:rsidRPr="004E6F7D" w:rsidRDefault="00084B9E" w:rsidP="00084B9E">
      <w:pPr>
        <w:spacing w:after="0" w:line="36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</w:pPr>
      <w:r w:rsidRPr="004E6F7D">
        <w:rPr>
          <w:rFonts w:ascii="Calibri" w:eastAsia="Calibri" w:hAnsi="Calibri" w:cs="Calibri"/>
          <w:color w:val="000000"/>
          <w:sz w:val="24"/>
          <w:szCs w:val="24"/>
          <w:lang w:val="hy-AM" w:eastAsia="ru-RU"/>
        </w:rPr>
        <w:t>      </w:t>
      </w:r>
      <w:r w:rsidRPr="004E6F7D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 Օրենքի համաձայն, ՊՄԳ պարտավորությունների թույլատրելի սահմանաչափն անհրաժեշտ է կիրառել այն</w:t>
      </w:r>
      <w:r w:rsidRPr="004E6F7D">
        <w:rPr>
          <w:rFonts w:ascii="Calibri" w:eastAsia="Calibri" w:hAnsi="Calibri" w:cs="Calibri"/>
          <w:color w:val="000000"/>
          <w:sz w:val="24"/>
          <w:szCs w:val="24"/>
          <w:lang w:val="hy-AM" w:eastAsia="ru-RU"/>
        </w:rPr>
        <w:t> </w:t>
      </w:r>
      <w:r w:rsidRPr="004E6F7D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ՊՄԳ պայմանագրերի</w:t>
      </w:r>
      <w:r w:rsidRPr="004E6F7D">
        <w:rPr>
          <w:rFonts w:ascii="Calibri" w:eastAsia="Calibri" w:hAnsi="Calibri" w:cs="Calibri"/>
          <w:color w:val="000000"/>
          <w:sz w:val="24"/>
          <w:szCs w:val="24"/>
          <w:lang w:val="hy-AM" w:eastAsia="ru-RU"/>
        </w:rPr>
        <w:t> </w:t>
      </w:r>
      <w:r w:rsidRPr="004E6F7D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 համար, որոնք կնքվել են</w:t>
      </w:r>
      <w:r w:rsidRPr="004E6F7D">
        <w:rPr>
          <w:rFonts w:ascii="Calibri" w:eastAsia="Calibri" w:hAnsi="Calibri" w:cs="Calibri"/>
          <w:color w:val="000000"/>
          <w:sz w:val="24"/>
          <w:szCs w:val="24"/>
          <w:lang w:val="hy-AM" w:eastAsia="ru-RU"/>
        </w:rPr>
        <w:t>  </w:t>
      </w:r>
      <w:r w:rsidRPr="004E6F7D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Օրենքն ուժի մեջ մտնելուց (այսինքն 2020 թվականի հունվարի 1) հետո: Այս սահմանափակումը Հարկաբյուջետային պատասխանատվության տեսանկյունից</w:t>
      </w:r>
      <w:r w:rsidRPr="004E6F7D">
        <w:rPr>
          <w:rFonts w:ascii="Calibri" w:eastAsia="Calibri" w:hAnsi="Calibri" w:cs="Calibri"/>
          <w:color w:val="000000"/>
          <w:sz w:val="24"/>
          <w:szCs w:val="24"/>
          <w:lang w:val="hy-AM" w:eastAsia="ru-RU"/>
        </w:rPr>
        <w:t> </w:t>
      </w:r>
      <w:r w:rsidRPr="004E6F7D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 անցանկալի հետևանքներ </w:t>
      </w:r>
      <w:r w:rsidRPr="004E6F7D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կարող է ունենալ, քանի որ գործող ՊՄԳ և </w:t>
      </w:r>
      <w:r w:rsidR="00693374">
        <w:rPr>
          <w:rFonts w:ascii="GHEA Grapalat" w:eastAsia="Calibri" w:hAnsi="GHEA Grapalat" w:cs="Times New Roman"/>
          <w:color w:val="000000"/>
          <w:sz w:val="24"/>
          <w:szCs w:val="24"/>
          <w:lang w:eastAsia="ru-RU"/>
        </w:rPr>
        <w:t>է</w:t>
      </w:r>
      <w:r w:rsidRPr="004E6F7D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լեկտրաէներգիայի գնման պայմանագրերը (ԷԳՊ) էական տեսակարար կշիռ ունեն 2020թ. ՀՆԱ-ի նկատմամբ։ Այդ պատճառով ՊՄԳ պարտավորությունների թույլատրելի սահմանաչափը որոշելիս կարևոր է հաշվի առնել նաև գործող</w:t>
      </w:r>
      <w:r w:rsidRPr="004E6F7D">
        <w:rPr>
          <w:rFonts w:ascii="Calibri" w:eastAsia="Calibri" w:hAnsi="Calibri" w:cs="Calibri"/>
          <w:color w:val="000000"/>
          <w:sz w:val="24"/>
          <w:szCs w:val="24"/>
          <w:lang w:val="hy-AM" w:eastAsia="ru-RU"/>
        </w:rPr>
        <w:t> </w:t>
      </w:r>
      <w:r w:rsidRPr="004E6F7D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պայմանագրերով ստանձնած պայմանական պարտավորությունների վերլուծության արդյունքները` ընդհանուր ֆիսկալ ռիսկը կառավարելի մակարդակում պահելու նպատակով։</w:t>
      </w:r>
    </w:p>
    <w:p w:rsidR="00084B9E" w:rsidRPr="004E6F7D" w:rsidRDefault="00084B9E" w:rsidP="00084B9E">
      <w:pPr>
        <w:spacing w:after="0" w:line="36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</w:pPr>
      <w:r w:rsidRPr="004E6F7D">
        <w:rPr>
          <w:rFonts w:ascii="Calibri" w:eastAsia="Calibri" w:hAnsi="Calibri" w:cs="Calibri"/>
          <w:color w:val="000000"/>
          <w:sz w:val="24"/>
          <w:szCs w:val="24"/>
          <w:lang w:val="hy-AM" w:eastAsia="ru-RU"/>
        </w:rPr>
        <w:t>       </w:t>
      </w:r>
      <w:r w:rsidRPr="004E6F7D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4E6F7D">
        <w:rPr>
          <w:rFonts w:ascii="Calibri" w:eastAsia="Calibri" w:hAnsi="Calibri" w:cs="Calibri"/>
          <w:color w:val="000000"/>
          <w:sz w:val="24"/>
          <w:szCs w:val="24"/>
          <w:lang w:val="hy-AM" w:eastAsia="ru-RU"/>
        </w:rPr>
        <w:t> </w:t>
      </w:r>
      <w:r w:rsidRPr="004E6F7D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 xml:space="preserve"> Պայմանական պարտավորությունների թույլատրելի առավելագույն սահամանաչափը</w:t>
      </w:r>
      <w:r w:rsidRPr="004E6F7D">
        <w:rPr>
          <w:rFonts w:ascii="Calibri" w:eastAsia="Calibri" w:hAnsi="Calibri" w:cs="Calibri"/>
          <w:color w:val="000000"/>
          <w:sz w:val="24"/>
          <w:szCs w:val="24"/>
          <w:lang w:val="hy-AM" w:eastAsia="ru-RU"/>
        </w:rPr>
        <w:t> </w:t>
      </w:r>
      <w:r w:rsidRPr="004E6F7D">
        <w:rPr>
          <w:rFonts w:ascii="GHEA Grapalat" w:eastAsia="Calibri" w:hAnsi="GHEA Grapalat" w:cs="Times New Roman"/>
          <w:color w:val="000000"/>
          <w:sz w:val="24"/>
          <w:szCs w:val="24"/>
          <w:lang w:val="hy-AM" w:eastAsia="ru-RU"/>
        </w:rPr>
        <w:t>3 տոկոս սահմանելու դեպքում կպահպանվի ֆիսկալ առումով մատչելի ՊՄԳ նախագծերի իրականացման հնարավորությունը` պահպանելով միջնաժամկետ և երկարաժամկետ ֆիսկալ կայունությունը, հընթացս մշտադիտարկելով գործող պայմանագրերը։</w:t>
      </w:r>
    </w:p>
    <w:p w:rsidR="00F72238" w:rsidRPr="00F72238" w:rsidRDefault="00F72238" w:rsidP="00F72238">
      <w:pPr>
        <w:tabs>
          <w:tab w:val="left" w:pos="540"/>
        </w:tabs>
        <w:spacing w:after="0" w:line="360" w:lineRule="auto"/>
        <w:contextualSpacing/>
        <w:jc w:val="both"/>
        <w:rPr>
          <w:rFonts w:ascii="GHEA Grapalat" w:eastAsia="Calibri" w:hAnsi="GHEA Grapalat" w:cs="Times New Roman"/>
          <w:strike/>
          <w:sz w:val="24"/>
          <w:szCs w:val="24"/>
          <w:lang w:val="hy-AM" w:eastAsia="ru-RU"/>
        </w:rPr>
      </w:pPr>
      <w:r w:rsidRPr="00F72238">
        <w:rPr>
          <w:rFonts w:ascii="GHEA Grapalat" w:eastAsia="Calibri" w:hAnsi="GHEA Grapalat" w:cs="Times New Roman"/>
          <w:sz w:val="24"/>
          <w:szCs w:val="24"/>
          <w:lang w:val="hy-AM" w:eastAsia="ru-RU"/>
        </w:rPr>
        <w:tab/>
      </w:r>
    </w:p>
    <w:p w:rsidR="00F72238" w:rsidRPr="00F72238" w:rsidRDefault="00F72238" w:rsidP="00F72238">
      <w:pPr>
        <w:tabs>
          <w:tab w:val="left" w:pos="900"/>
        </w:tabs>
        <w:spacing w:after="0" w:line="360" w:lineRule="auto"/>
        <w:ind w:left="900"/>
        <w:jc w:val="both"/>
        <w:rPr>
          <w:rFonts w:ascii="GHEA Grapalat" w:eastAsia="Calibri" w:hAnsi="GHEA Grapalat" w:cs="Sylfaen"/>
          <w:b/>
          <w:sz w:val="24"/>
          <w:szCs w:val="24"/>
          <w:lang w:val="hy-AM" w:eastAsia="ru-RU"/>
        </w:rPr>
      </w:pPr>
      <w:r w:rsidRPr="00F72238">
        <w:rPr>
          <w:rFonts w:ascii="GHEA Grapalat" w:eastAsia="Calibri" w:hAnsi="GHEA Grapalat" w:cs="Sylfaen"/>
          <w:b/>
          <w:sz w:val="24"/>
          <w:szCs w:val="24"/>
          <w:lang w:val="hy-AM" w:eastAsia="ru-RU"/>
        </w:rPr>
        <w:t>4. Նախագծի մշակման գործընթացում ներգրավված ինստիտուտները և անձինք</w:t>
      </w:r>
    </w:p>
    <w:p w:rsidR="00F72238" w:rsidRPr="00F72238" w:rsidRDefault="00F72238" w:rsidP="00F72238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722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Նախագիծը մշակվել է Հայաստանի Հանրապետության </w:t>
      </w:r>
      <w:r w:rsidRPr="00F72238">
        <w:rPr>
          <w:rFonts w:ascii="GHEA Grapalat" w:eastAsia="Calibri" w:hAnsi="GHEA Grapalat" w:cs="Arial"/>
          <w:sz w:val="24"/>
          <w:szCs w:val="24"/>
          <w:lang w:val="hy-AM"/>
        </w:rPr>
        <w:t>ֆինանսների</w:t>
      </w:r>
      <w:r w:rsidRPr="00F722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նախարարության կողմից:</w:t>
      </w:r>
    </w:p>
    <w:p w:rsidR="00F72238" w:rsidRPr="00F72238" w:rsidRDefault="00F72238" w:rsidP="00F7223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F72238">
        <w:rPr>
          <w:rFonts w:ascii="GHEA Grapalat" w:eastAsia="Calibri" w:hAnsi="GHEA Grapalat" w:cs="Sylfaen"/>
          <w:b/>
          <w:sz w:val="24"/>
          <w:szCs w:val="24"/>
          <w:lang w:val="hy-AM" w:eastAsia="ru-RU"/>
        </w:rPr>
        <w:t>Իրավական ակտի կիրառման դեպքում ակնկալվող</w:t>
      </w:r>
      <w:r w:rsidRPr="00F72238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արդյունքը</w:t>
      </w:r>
    </w:p>
    <w:p w:rsidR="00693374" w:rsidRDefault="00693374" w:rsidP="00F72238">
      <w:pPr>
        <w:spacing w:after="0" w:line="360" w:lineRule="auto"/>
        <w:ind w:firstLine="540"/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</w:p>
    <w:p w:rsidR="00693374" w:rsidRPr="00693374" w:rsidRDefault="00693374" w:rsidP="00693374">
      <w:pPr>
        <w:spacing w:after="0" w:line="360" w:lineRule="auto"/>
        <w:ind w:firstLine="540"/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693374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Նախագիծը կնպաստի ՊՄԳ ծրագրերի իրականացման դեպքում հանրային ֆինանսների վրա ֆիսկալ ազդեցությունների սահմանափակմանը, ինչպես նաև  ֆինանսական կայունության ապահովմանը: Պայմանական պարտավորությունների առավելագույն չափի սահմանումը կօգնի զսպել ֆիսկալ ծախսերը և պահպանել պետական երկարաժամկետ պարտավորությունների ֆիսկալ մատչելիությունը։ Նախագծի ընդունումը նաև կարող է  նպաստել հանրային ներդրումային նախագծերի առաջնահերթությունների որոշմանը: </w:t>
      </w:r>
    </w:p>
    <w:p w:rsidR="00693374" w:rsidRDefault="00693374" w:rsidP="00693374">
      <w:pPr>
        <w:spacing w:after="0" w:line="360" w:lineRule="auto"/>
        <w:ind w:firstLine="540"/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693374">
        <w:rPr>
          <w:rFonts w:ascii="GHEA Grapalat" w:eastAsia="MS Mincho" w:hAnsi="GHEA Grapalat" w:cs="MS Mincho"/>
          <w:sz w:val="24"/>
          <w:szCs w:val="24"/>
          <w:lang w:val="hy-AM" w:eastAsia="ru-RU"/>
        </w:rPr>
        <w:t>Լավագույն փորձը ցույց է տալիս, որ բոլոր ՊՄԳ ծրագրերի նախգծերը պետք է անցնեն «հաջորդ փուլին անցնելու» գործընթացով, որը թույլ է տալիս լիազոր մարմնին կասեցնել կամ ժամանակավորապես դադարեցնել ՊՄԳ ծրագրի նախագիծը ցանկացած փուլում: Հաջորդ փուլին անցնելու գործընթացի նպատակն է, լիազոր մարմնին թույլ տալ կառավարել և վերահսկել ՊՄԳ-ների ֆիսկալ ծախսերը և ռիսկերը, ինչպես նաև դադարեցնել ՊՄԳ-ների նախագծերը, եթե դրանք հանգեցնում են ՊՄԳ պարտավորությունների թույլատրելի սահմանաչափի գերազանցմանը։</w:t>
      </w:r>
    </w:p>
    <w:p w:rsidR="00693374" w:rsidRDefault="00693374" w:rsidP="00693374">
      <w:pPr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</w:p>
    <w:p w:rsidR="00691D74" w:rsidRDefault="00691D74" w:rsidP="00693374">
      <w:pPr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bookmarkStart w:id="0" w:name="_GoBack"/>
      <w:bookmarkEnd w:id="0"/>
    </w:p>
    <w:p w:rsidR="00F72238" w:rsidRPr="00F72238" w:rsidRDefault="00F72238" w:rsidP="00F72238">
      <w:pPr>
        <w:numPr>
          <w:ilvl w:val="0"/>
          <w:numId w:val="1"/>
        </w:numPr>
        <w:tabs>
          <w:tab w:val="left" w:pos="540"/>
        </w:tabs>
        <w:spacing w:after="0" w:line="360" w:lineRule="auto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F72238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lastRenderedPageBreak/>
        <w:t>Այլ տեղեկություններ</w:t>
      </w:r>
    </w:p>
    <w:p w:rsidR="00F72238" w:rsidRPr="00F72238" w:rsidRDefault="00F72238" w:rsidP="00F7223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F72238">
        <w:rPr>
          <w:rFonts w:ascii="GHEA Grapalat" w:eastAsia="MS Mincho" w:hAnsi="GHEA Grapalat" w:cs="MS Mincho"/>
          <w:sz w:val="24"/>
          <w:szCs w:val="24"/>
          <w:lang w:val="hy-AM" w:eastAsia="ru-RU"/>
        </w:rPr>
        <w:t>Նախագիծը համաձայնեցվել է Արժույթի միջազգային հիմնադրամի և Ասիական զարգացման բանկի հետ:</w:t>
      </w:r>
    </w:p>
    <w:p w:rsidR="00F72238" w:rsidRPr="00F72238" w:rsidRDefault="00F72238" w:rsidP="00F72238">
      <w:pPr>
        <w:autoSpaceDE w:val="0"/>
        <w:autoSpaceDN w:val="0"/>
        <w:adjustRightInd w:val="0"/>
        <w:spacing w:after="0" w:line="360" w:lineRule="auto"/>
        <w:ind w:right="50"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F72238" w:rsidRDefault="00F72238" w:rsidP="0069337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right="5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F72238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Պետական բյուջեում կամ տեղական ինքնակառավարման մարմինների բյուջեների վրա ազդեցությունը</w:t>
      </w:r>
    </w:p>
    <w:p w:rsidR="00693374" w:rsidRPr="00F72238" w:rsidRDefault="00693374" w:rsidP="00693374">
      <w:pPr>
        <w:autoSpaceDE w:val="0"/>
        <w:autoSpaceDN w:val="0"/>
        <w:adjustRightInd w:val="0"/>
        <w:spacing w:after="0" w:line="276" w:lineRule="auto"/>
        <w:ind w:left="1260" w:right="5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</w:p>
    <w:p w:rsidR="00F72238" w:rsidRDefault="00693374" w:rsidP="00F72238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93374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 ընդունման առնչությամբ  պետական կամ տեղական ինքնակառավարման մարմնի բյուջեում  ծախսերի և եկամուտների  էական ավելացում կամ նվազեցում  չի նախատեսվում:</w:t>
      </w:r>
    </w:p>
    <w:p w:rsidR="00691D74" w:rsidRPr="00F72238" w:rsidRDefault="00691D74" w:rsidP="00F72238">
      <w:pPr>
        <w:spacing w:after="0" w:line="360" w:lineRule="auto"/>
        <w:ind w:firstLine="720"/>
        <w:jc w:val="both"/>
        <w:rPr>
          <w:rFonts w:ascii="GHEA Grapalat" w:eastAsia="Times New Roman" w:hAnsi="GHEA Grapalat" w:cs="Times Armenian"/>
          <w:sz w:val="24"/>
          <w:szCs w:val="24"/>
          <w:lang w:val="hy-AM" w:eastAsia="ru-RU"/>
        </w:rPr>
      </w:pPr>
    </w:p>
    <w:p w:rsidR="00F72238" w:rsidRPr="00693374" w:rsidRDefault="00F72238" w:rsidP="00693374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693374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Նախագծի ընդունման առնչությամբ ընդունվելիք այլ իրավական ակտերի կամ դրանց ընդունման անհրաժեշտության բացակայության մասին </w:t>
      </w:r>
    </w:p>
    <w:p w:rsidR="00693374" w:rsidRPr="00693374" w:rsidRDefault="00693374" w:rsidP="00693374">
      <w:pPr>
        <w:pStyle w:val="ListParagraph"/>
        <w:spacing w:after="0" w:line="276" w:lineRule="auto"/>
        <w:ind w:left="126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</w:p>
    <w:p w:rsidR="00F72238" w:rsidRPr="00F72238" w:rsidRDefault="00693374" w:rsidP="00F72238">
      <w:pPr>
        <w:tabs>
          <w:tab w:val="left" w:pos="54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6933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Նախագծի ընդունման առնչությամբ  այլ իրավական ակտերում փոփոխություններ և լրացումներ կատարելու անհրաժեշտություն չի առաջանում:</w:t>
      </w:r>
    </w:p>
    <w:p w:rsidR="00F72238" w:rsidRPr="00F72238" w:rsidRDefault="00F72238" w:rsidP="00F72238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72238" w:rsidRPr="00F72238" w:rsidRDefault="00F72238" w:rsidP="00F72238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F72238" w:rsidRDefault="00F72238" w:rsidP="00F72238">
      <w:pPr>
        <w:spacing w:after="0" w:line="360" w:lineRule="auto"/>
        <w:jc w:val="right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:rsidR="004E6F7D" w:rsidRDefault="004E6F7D" w:rsidP="00F72238">
      <w:pPr>
        <w:spacing w:after="0" w:line="360" w:lineRule="auto"/>
        <w:jc w:val="right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:rsidR="004E6F7D" w:rsidRDefault="004E6F7D" w:rsidP="00F72238">
      <w:pPr>
        <w:spacing w:after="0" w:line="360" w:lineRule="auto"/>
        <w:jc w:val="right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:rsidR="004E6F7D" w:rsidRDefault="004E6F7D" w:rsidP="00F72238">
      <w:pPr>
        <w:spacing w:after="0" w:line="360" w:lineRule="auto"/>
        <w:jc w:val="right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sectPr w:rsidR="004E6F7D" w:rsidSect="007C59C3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7A6" w:rsidRDefault="007847A6" w:rsidP="00F72238">
      <w:pPr>
        <w:spacing w:after="0" w:line="240" w:lineRule="auto"/>
      </w:pPr>
      <w:r>
        <w:separator/>
      </w:r>
    </w:p>
  </w:endnote>
  <w:endnote w:type="continuationSeparator" w:id="0">
    <w:p w:rsidR="007847A6" w:rsidRDefault="007847A6" w:rsidP="00F72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7A6" w:rsidRDefault="007847A6" w:rsidP="00F72238">
      <w:pPr>
        <w:spacing w:after="0" w:line="240" w:lineRule="auto"/>
      </w:pPr>
      <w:r>
        <w:separator/>
      </w:r>
    </w:p>
  </w:footnote>
  <w:footnote w:type="continuationSeparator" w:id="0">
    <w:p w:rsidR="007847A6" w:rsidRDefault="007847A6" w:rsidP="00F72238">
      <w:pPr>
        <w:spacing w:after="0" w:line="240" w:lineRule="auto"/>
      </w:pPr>
      <w:r>
        <w:continuationSeparator/>
      </w:r>
    </w:p>
  </w:footnote>
  <w:footnote w:id="1">
    <w:p w:rsidR="00084B9E" w:rsidRPr="00084B9E" w:rsidRDefault="00084B9E">
      <w:pPr>
        <w:pStyle w:val="FootnoteText"/>
        <w:rPr>
          <w:sz w:val="16"/>
          <w:szCs w:val="16"/>
        </w:rPr>
      </w:pPr>
      <w:r w:rsidRPr="00084B9E">
        <w:rPr>
          <w:rStyle w:val="FootnoteReference"/>
          <w:sz w:val="16"/>
          <w:szCs w:val="16"/>
        </w:rPr>
        <w:footnoteRef/>
      </w:r>
      <w:r w:rsidRPr="00084B9E">
        <w:rPr>
          <w:sz w:val="16"/>
          <w:szCs w:val="16"/>
        </w:rPr>
        <w:t xml:space="preserve">     </w:t>
      </w:r>
      <w:proofErr w:type="spellStart"/>
      <w:r w:rsidRPr="00084B9E">
        <w:rPr>
          <w:sz w:val="16"/>
          <w:szCs w:val="16"/>
        </w:rPr>
        <w:t>Գնահատումներն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իրականացվել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են</w:t>
      </w:r>
      <w:proofErr w:type="spellEnd"/>
      <w:r w:rsidRPr="00084B9E">
        <w:rPr>
          <w:sz w:val="16"/>
          <w:szCs w:val="16"/>
        </w:rPr>
        <w:t xml:space="preserve"> «</w:t>
      </w:r>
      <w:proofErr w:type="spellStart"/>
      <w:r w:rsidRPr="00084B9E">
        <w:rPr>
          <w:sz w:val="16"/>
          <w:szCs w:val="16"/>
        </w:rPr>
        <w:t>Հարավկովկասյան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երկաթուղի</w:t>
      </w:r>
      <w:proofErr w:type="spellEnd"/>
      <w:r w:rsidRPr="00084B9E">
        <w:rPr>
          <w:sz w:val="16"/>
          <w:szCs w:val="16"/>
        </w:rPr>
        <w:t>», «</w:t>
      </w:r>
      <w:proofErr w:type="spellStart"/>
      <w:r w:rsidRPr="00084B9E">
        <w:rPr>
          <w:sz w:val="16"/>
          <w:szCs w:val="16"/>
        </w:rPr>
        <w:t>Վեոլիա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ջուր</w:t>
      </w:r>
      <w:proofErr w:type="spellEnd"/>
      <w:r w:rsidRPr="00084B9E">
        <w:rPr>
          <w:sz w:val="16"/>
          <w:szCs w:val="16"/>
        </w:rPr>
        <w:t>» և «</w:t>
      </w:r>
      <w:proofErr w:type="spellStart"/>
      <w:r w:rsidRPr="00084B9E">
        <w:rPr>
          <w:sz w:val="16"/>
          <w:szCs w:val="16"/>
        </w:rPr>
        <w:t>Արմենիա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Միջազգային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օդանավակայաններ</w:t>
      </w:r>
      <w:proofErr w:type="spellEnd"/>
      <w:r w:rsidRPr="00084B9E">
        <w:rPr>
          <w:sz w:val="16"/>
          <w:szCs w:val="16"/>
        </w:rPr>
        <w:t>» ՓԲԸ-</w:t>
      </w:r>
      <w:proofErr w:type="spellStart"/>
      <w:r w:rsidRPr="00084B9E">
        <w:rPr>
          <w:sz w:val="16"/>
          <w:szCs w:val="16"/>
        </w:rPr>
        <w:t>ների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պայմանագրերի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մասով</w:t>
      </w:r>
      <w:proofErr w:type="spellEnd"/>
      <w:r w:rsidRPr="00084B9E">
        <w:rPr>
          <w:sz w:val="16"/>
          <w:szCs w:val="16"/>
        </w:rPr>
        <w:t xml:space="preserve">, </w:t>
      </w:r>
      <w:proofErr w:type="spellStart"/>
      <w:r w:rsidRPr="00084B9E">
        <w:rPr>
          <w:sz w:val="16"/>
          <w:szCs w:val="16"/>
        </w:rPr>
        <w:t>իսկ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էլեկտրաէներգիայի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գնման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համաձայնագրերից</w:t>
      </w:r>
      <w:proofErr w:type="spellEnd"/>
      <w:r>
        <w:rPr>
          <w:sz w:val="16"/>
          <w:szCs w:val="16"/>
        </w:rPr>
        <w:t xml:space="preserve"> </w:t>
      </w:r>
      <w:r w:rsidRPr="00084B9E">
        <w:rPr>
          <w:sz w:val="16"/>
          <w:szCs w:val="16"/>
        </w:rPr>
        <w:t>«</w:t>
      </w:r>
      <w:proofErr w:type="spellStart"/>
      <w:r w:rsidRPr="00084B9E">
        <w:rPr>
          <w:sz w:val="16"/>
          <w:szCs w:val="16"/>
        </w:rPr>
        <w:t>Քոնթուր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գլոբալ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հիդրո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կասկադ</w:t>
      </w:r>
      <w:proofErr w:type="spellEnd"/>
      <w:r w:rsidRPr="00084B9E">
        <w:rPr>
          <w:sz w:val="16"/>
          <w:szCs w:val="16"/>
        </w:rPr>
        <w:t xml:space="preserve">», «Մասրիկ-1» </w:t>
      </w:r>
      <w:proofErr w:type="spellStart"/>
      <w:r w:rsidRPr="00084B9E">
        <w:rPr>
          <w:sz w:val="16"/>
          <w:szCs w:val="16"/>
        </w:rPr>
        <w:t>արևային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ֆոտովոլտային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էլեկտրակայան</w:t>
      </w:r>
      <w:proofErr w:type="spellEnd"/>
      <w:r w:rsidRPr="00084B9E">
        <w:rPr>
          <w:sz w:val="16"/>
          <w:szCs w:val="16"/>
        </w:rPr>
        <w:t xml:space="preserve"> և «</w:t>
      </w:r>
      <w:proofErr w:type="spellStart"/>
      <w:r w:rsidRPr="00084B9E">
        <w:rPr>
          <w:sz w:val="16"/>
          <w:szCs w:val="16"/>
        </w:rPr>
        <w:t>Ռենկո</w:t>
      </w:r>
      <w:proofErr w:type="spellEnd"/>
      <w:r w:rsidRPr="00084B9E">
        <w:rPr>
          <w:sz w:val="16"/>
          <w:szCs w:val="16"/>
        </w:rPr>
        <w:t xml:space="preserve"> U </w:t>
      </w:r>
      <w:proofErr w:type="spellStart"/>
      <w:r w:rsidRPr="00084B9E">
        <w:rPr>
          <w:sz w:val="16"/>
          <w:szCs w:val="16"/>
        </w:rPr>
        <w:t>SpA</w:t>
      </w:r>
      <w:proofErr w:type="spellEnd"/>
      <w:r w:rsidRPr="00084B9E">
        <w:rPr>
          <w:sz w:val="16"/>
          <w:szCs w:val="16"/>
        </w:rPr>
        <w:t xml:space="preserve"> և </w:t>
      </w:r>
      <w:proofErr w:type="spellStart"/>
      <w:r w:rsidRPr="00084B9E">
        <w:rPr>
          <w:sz w:val="16"/>
          <w:szCs w:val="16"/>
        </w:rPr>
        <w:t>Արմփաուեր</w:t>
      </w:r>
      <w:proofErr w:type="spellEnd"/>
      <w:r w:rsidRPr="00084B9E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Pr="00084B9E">
        <w:rPr>
          <w:sz w:val="16"/>
          <w:szCs w:val="16"/>
        </w:rPr>
        <w:t>ՓԲԸ-</w:t>
      </w:r>
      <w:proofErr w:type="spellStart"/>
      <w:r w:rsidRPr="00084B9E">
        <w:rPr>
          <w:sz w:val="16"/>
          <w:szCs w:val="16"/>
        </w:rPr>
        <w:t>ների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պայմանագրերի</w:t>
      </w:r>
      <w:proofErr w:type="spellEnd"/>
      <w:r w:rsidRPr="00084B9E">
        <w:rPr>
          <w:sz w:val="16"/>
          <w:szCs w:val="16"/>
        </w:rPr>
        <w:t xml:space="preserve"> </w:t>
      </w:r>
      <w:proofErr w:type="spellStart"/>
      <w:r w:rsidRPr="00084B9E">
        <w:rPr>
          <w:sz w:val="16"/>
          <w:szCs w:val="16"/>
        </w:rPr>
        <w:t>մասով</w:t>
      </w:r>
      <w:proofErr w:type="spellEnd"/>
      <w:r w:rsidRPr="00084B9E">
        <w:rPr>
          <w:sz w:val="16"/>
          <w:szCs w:val="16"/>
        </w:rPr>
        <w:t>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82D3F"/>
    <w:multiLevelType w:val="hybridMultilevel"/>
    <w:tmpl w:val="F6FA8AE0"/>
    <w:lvl w:ilvl="0" w:tplc="039842FA">
      <w:start w:val="5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240D4156"/>
    <w:multiLevelType w:val="multilevel"/>
    <w:tmpl w:val="8AF2EC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B268D1"/>
    <w:multiLevelType w:val="multilevel"/>
    <w:tmpl w:val="BD48EC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EA5337"/>
    <w:multiLevelType w:val="multilevel"/>
    <w:tmpl w:val="7278094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961EE8"/>
    <w:multiLevelType w:val="hybridMultilevel"/>
    <w:tmpl w:val="9628045A"/>
    <w:lvl w:ilvl="0" w:tplc="7A9AF8A0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5E3F6E6B"/>
    <w:multiLevelType w:val="multilevel"/>
    <w:tmpl w:val="8E028BD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906B38"/>
    <w:multiLevelType w:val="multilevel"/>
    <w:tmpl w:val="23EEB0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B27AF0"/>
    <w:multiLevelType w:val="multilevel"/>
    <w:tmpl w:val="5156DD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D70A91"/>
    <w:multiLevelType w:val="multilevel"/>
    <w:tmpl w:val="26B65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804A79"/>
    <w:multiLevelType w:val="multilevel"/>
    <w:tmpl w:val="871CDEE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7"/>
  </w:num>
  <w:num w:numId="5">
    <w:abstractNumId w:val="2"/>
  </w:num>
  <w:num w:numId="6">
    <w:abstractNumId w:val="1"/>
  </w:num>
  <w:num w:numId="7">
    <w:abstractNumId w:val="6"/>
  </w:num>
  <w:num w:numId="8">
    <w:abstractNumId w:val="9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7CF"/>
    <w:rsid w:val="000000DE"/>
    <w:rsid w:val="00030125"/>
    <w:rsid w:val="00084B9E"/>
    <w:rsid w:val="000A316A"/>
    <w:rsid w:val="000B138A"/>
    <w:rsid w:val="000F7F8A"/>
    <w:rsid w:val="001367CF"/>
    <w:rsid w:val="00171619"/>
    <w:rsid w:val="001F4BEF"/>
    <w:rsid w:val="00214E21"/>
    <w:rsid w:val="0038212C"/>
    <w:rsid w:val="00485827"/>
    <w:rsid w:val="004E6F7D"/>
    <w:rsid w:val="005B765C"/>
    <w:rsid w:val="00691D74"/>
    <w:rsid w:val="00693374"/>
    <w:rsid w:val="007847A6"/>
    <w:rsid w:val="008D0B1A"/>
    <w:rsid w:val="009447AF"/>
    <w:rsid w:val="00950078"/>
    <w:rsid w:val="00A9207F"/>
    <w:rsid w:val="00B30C32"/>
    <w:rsid w:val="00F72238"/>
    <w:rsid w:val="00F9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FE534"/>
  <w15:chartTrackingRefBased/>
  <w15:docId w15:val="{3309ED7A-4FE0-4547-95EB-46F1D1075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F7223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7223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72238"/>
    <w:rPr>
      <w:vertAlign w:val="superscript"/>
    </w:rPr>
  </w:style>
  <w:style w:type="paragraph" w:styleId="ListParagraph">
    <w:name w:val="List Paragraph"/>
    <w:basedOn w:val="Normal"/>
    <w:uiPriority w:val="34"/>
    <w:qFormat/>
    <w:rsid w:val="004E6F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48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96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7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9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0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07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4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2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0A9717-3C66-4D29-A1EC-057AD96A4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Loris Muradyan</dc:creator>
  <cp:keywords/>
  <dc:description/>
  <cp:lastModifiedBy>Loris Muradyan</cp:lastModifiedBy>
  <cp:revision>2</cp:revision>
  <dcterms:created xsi:type="dcterms:W3CDTF">2021-06-07T15:43:00Z</dcterms:created>
  <dcterms:modified xsi:type="dcterms:W3CDTF">2021-06-07T15:43:00Z</dcterms:modified>
</cp:coreProperties>
</file>