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8" w:rsidRPr="00CE2E16" w:rsidRDefault="00C84188" w:rsidP="001F4F4B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color w:val="000000"/>
          <w:sz w:val="24"/>
          <w:szCs w:val="24"/>
        </w:rPr>
      </w:pPr>
      <w:r w:rsidRPr="00CE2E16">
        <w:rPr>
          <w:rFonts w:ascii="GHEA Grapalat" w:hAnsi="GHEA Grapalat" w:cs="GHEA Grapalat"/>
          <w:color w:val="000000"/>
          <w:sz w:val="24"/>
          <w:szCs w:val="24"/>
        </w:rPr>
        <w:t>ԱՄՓՈՓԱԹԵՐԹ</w:t>
      </w:r>
    </w:p>
    <w:p w:rsidR="00C84188" w:rsidRPr="00CE2E16" w:rsidRDefault="00C84188" w:rsidP="00922F1C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 w:cs="GHEA Grapalat"/>
          <w:color w:val="000000"/>
          <w:sz w:val="24"/>
          <w:szCs w:val="24"/>
        </w:rPr>
      </w:pPr>
      <w:r w:rsidRPr="00CE2E16">
        <w:rPr>
          <w:color w:val="000000"/>
          <w:sz w:val="24"/>
          <w:szCs w:val="24"/>
        </w:rPr>
        <w:t>  </w:t>
      </w:r>
      <w:r>
        <w:rPr>
          <w:rFonts w:ascii="GHEA Grapalat" w:hAnsi="GHEA Grapalat" w:cs="GHEA Grapalat"/>
          <w:b/>
          <w:bCs/>
          <w:sz w:val="24"/>
          <w:szCs w:val="24"/>
          <w:lang w:val="fr-FR"/>
        </w:rPr>
        <w:t>«</w:t>
      </w:r>
      <w:r w:rsidRPr="00CE2E16">
        <w:rPr>
          <w:rFonts w:ascii="GHEA Grapalat" w:hAnsi="GHEA Grapalat" w:cs="GHEA Grapalat"/>
          <w:b/>
          <w:bCs/>
          <w:sz w:val="24"/>
          <w:szCs w:val="24"/>
        </w:rPr>
        <w:t>Պետական սահմանի մասին</w:t>
      </w:r>
      <w:r>
        <w:rPr>
          <w:rFonts w:ascii="GHEA Grapalat" w:hAnsi="GHEA Grapalat" w:cs="GHEA Grapalat"/>
          <w:b/>
          <w:bCs/>
          <w:sz w:val="24"/>
          <w:szCs w:val="24"/>
        </w:rPr>
        <w:t>»</w:t>
      </w:r>
      <w:r w:rsidRPr="00CE2E1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Հայաստանի Հանրապետության օրենքում լրացում կատարելու մասին</w:t>
      </w:r>
      <w:r>
        <w:rPr>
          <w:rFonts w:ascii="GHEA Grapalat" w:hAnsi="GHEA Grapalat" w:cs="GHEA Grapalat"/>
          <w:b/>
          <w:bCs/>
          <w:sz w:val="24"/>
          <w:szCs w:val="24"/>
        </w:rPr>
        <w:t>»</w:t>
      </w:r>
      <w:r w:rsidRPr="00CE2E16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ՀՀ օրենքի նախագծի</w:t>
      </w:r>
    </w:p>
    <w:tbl>
      <w:tblPr>
        <w:tblW w:w="109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04"/>
        <w:gridCol w:w="4216"/>
      </w:tblGrid>
      <w:tr w:rsidR="00C84188" w:rsidRPr="00CE2E16">
        <w:trPr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0D0D0"/>
          </w:tcPr>
          <w:p w:rsidR="00C84188" w:rsidRPr="00462425" w:rsidRDefault="00C84188" w:rsidP="00CE2E16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1. Վարչապետի աշխատակազմի պետաիրավական վարչություն</w:t>
            </w:r>
          </w:p>
        </w:tc>
        <w:tc>
          <w:tcPr>
            <w:tcW w:w="4216" w:type="dxa"/>
            <w:shd w:val="clear" w:color="auto" w:fill="D0D0D0"/>
          </w:tcPr>
          <w:p w:rsidR="00C84188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08.10.2021թ.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/>
            <w:shd w:val="clear" w:color="auto" w:fill="D0D0D0"/>
          </w:tcPr>
          <w:p w:rsidR="00C84188" w:rsidRPr="00CE2E16" w:rsidRDefault="00C84188" w:rsidP="00CE2E16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216" w:type="dxa"/>
            <w:shd w:val="clear" w:color="auto" w:fill="D0D0D0"/>
          </w:tcPr>
          <w:p w:rsidR="00C84188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N 02/10.3/27170-2021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</w:tcPr>
          <w:p w:rsidR="00C84188" w:rsidRDefault="00C84188" w:rsidP="005A0F82">
            <w:pPr>
              <w:spacing w:after="0" w:line="360" w:lineRule="auto"/>
              <w:ind w:left="50" w:right="154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3A3450">
              <w:rPr>
                <w:rFonts w:ascii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Ներկայացված նախագծով սահմանվում է, որ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fr-FR"/>
              </w:rPr>
              <w:t>պետական սահմանի օդային տարածքի պաշտպանության ժամանակ հակաօդային պաշտպանության զորքերի կողմից հակաօդային պաշտպանության միջոցների</w:t>
            </w:r>
            <w:r w:rsidRPr="003A3450">
              <w:rPr>
                <w:rFonts w:ascii="GHEA Grapalat" w:hAnsi="GHEA Grapalat" w:cs="GHEA Grapalat"/>
                <w:b/>
                <w:bCs/>
                <w:sz w:val="24"/>
                <w:szCs w:val="24"/>
                <w:lang w:val="fr-FR"/>
              </w:rPr>
              <w:t xml:space="preserve"> կիրառման կարգը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սահմանում է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Կ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fr-FR"/>
              </w:rPr>
              <w:t>առավարությունը: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C84188" w:rsidRDefault="00C84188" w:rsidP="005A0F82">
            <w:pPr>
              <w:spacing w:after="0" w:line="360" w:lineRule="auto"/>
              <w:ind w:left="50" w:right="154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Հաշվի առնելով այն հանգամանքը, որ նախագծի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ընդունման հիմնավորմամբ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նշված կարգը սահմանելու լիազորության վերապահումը փոխկապակցվում է նաև </w:t>
            </w:r>
            <w:r w:rsidRPr="003A3450">
              <w:rPr>
                <w:rFonts w:ascii="Times Armenian" w:hAnsi="Times Armenian" w:cs="Times Armenian"/>
                <w:sz w:val="24"/>
                <w:szCs w:val="24"/>
                <w:lang w:val="fr-FR"/>
              </w:rPr>
              <w:t>§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Պաշտպանության մասին</w:t>
            </w:r>
            <w:r w:rsidRPr="003A3450">
              <w:rPr>
                <w:rFonts w:ascii="Times Armenian" w:hAnsi="Times Armenian" w:cs="Times Armenian"/>
                <w:sz w:val="24"/>
                <w:szCs w:val="24"/>
                <w:lang w:val="fr-FR"/>
              </w:rPr>
              <w:t>¦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fr-FR"/>
              </w:rPr>
              <w:t xml:space="preserve"> ՀՀ </w:t>
            </w:r>
            <w:r>
              <w:rPr>
                <w:rFonts w:ascii="GHEA Grapalat" w:hAnsi="GHEA Grapalat" w:cs="GHEA Grapalat"/>
                <w:sz w:val="24"/>
                <w:szCs w:val="24"/>
                <w:lang w:val="fr-FR"/>
              </w:rPr>
              <w:t>օրենքով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Կառավարությանը</w:t>
            </w:r>
            <w:r w:rsidRPr="008C289E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վերապահված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՝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զինված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ուժերի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կիրառման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մասին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որոշում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կայացնելու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լիազորության հետ՝ հայտնում ենք հետևյալը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. </w:t>
            </w:r>
          </w:p>
          <w:p w:rsidR="00C84188" w:rsidRPr="00462425" w:rsidRDefault="00C84188" w:rsidP="005A0F82">
            <w:pPr>
              <w:spacing w:after="0" w:line="360" w:lineRule="auto"/>
              <w:ind w:left="50" w:right="154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Կառավարության կողմից զինված ուժերի կիրառման մասին որոշում ընդունելը միանգամայն այլ իրավասություն է կիրառման կարգի համեմատությամբ: Զինված ուժերի կիրառման մասին որոշմամբ Կառավարությունը գործողության մեջ է դնում զինված ուժերի կիրառման պլանը, իսկ այդ պլանը </w:t>
            </w:r>
            <w:r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հաստատելն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A3450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Անվտանգության խորհրդի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լիազորությունն է, որն ածանցվում է վերջինիս սահմանադրական՝ բացառիկ և միակ գործառույթից, այն է՝ պաշտպանության ոլորտի քաղաքականության հիմնական ուղղությունները սահմանում է Անվտանգության խորհուրդը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: Հետևաբար, նախագծով առաջարկվող կարգավորումը սկզբունքորեն ընդունելի կարող է համարվել այն պարագայում, երբ ծանրակշիռ փաստարկներ կներկայացվեն առ այն, որ Կառավարության կողմից ընդունվելիք կարգը չի ենթադրելու </w:t>
            </w:r>
            <w:r w:rsidRPr="003A3450">
              <w:rPr>
                <w:rFonts w:ascii="GHEA Grapalat" w:hAnsi="GHEA Grapalat" w:cs="GHEA Grapalat"/>
                <w:sz w:val="24"/>
                <w:szCs w:val="24"/>
                <w:lang w:val="hy-AM"/>
              </w:rPr>
              <w:t>զինված ուժերի կիրառման պլանին բնորոշ կարգավորումներ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՝ դրանով իսկ միջամտելով Անվտանգության խորհրդի՝ Սահմանադրությամբ կանխորոշված գործառույթի իրականացմանը և լիազորող նորմը կվերաձևակերպվի այնպես, որպեսզի չեզոքացվի հիշյալ մտավախությունը:</w:t>
            </w:r>
          </w:p>
        </w:tc>
        <w:tc>
          <w:tcPr>
            <w:tcW w:w="4216" w:type="dxa"/>
          </w:tcPr>
          <w:p w:rsidR="00C84188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Ընդունվել է:</w:t>
            </w:r>
          </w:p>
          <w:p w:rsidR="00C84188" w:rsidRDefault="00C84188" w:rsidP="001C4525">
            <w:pPr>
              <w:spacing w:after="0" w:line="360" w:lineRule="auto"/>
              <w:ind w:left="186" w:right="50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</w:rPr>
              <w:t>Օրենքի նախագծի հիմնավորման տեղեկանքում &lt;&lt;Պաշտպանության մասին&gt;&gt; ՀՀ օրենքին կատարված հղումը փոխվել է:</w:t>
            </w:r>
          </w:p>
          <w:p w:rsidR="00C84188" w:rsidRPr="00F44EB8" w:rsidRDefault="00C84188" w:rsidP="001C4525">
            <w:pPr>
              <w:spacing w:after="0" w:line="360" w:lineRule="auto"/>
              <w:ind w:left="186" w:right="50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color w:val="000000"/>
                <w:sz w:val="24"/>
                <w:szCs w:val="24"/>
              </w:rPr>
              <w:t>Միաժամանակ, նախագծով ներկայացված կարգը որևէ ձևով չի առնչվում Անվտանգության խորհրդի կողմից հաստատվող զինված ուժերի կիրառման պլանի հետ և չունի այդ պլանին բնորոշ կարգավորումներ: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0D0D0"/>
          </w:tcPr>
          <w:p w:rsidR="00C84188" w:rsidRPr="00CE2E16" w:rsidRDefault="00C84188" w:rsidP="00CE2E16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2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.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Արդարադատության նախարարություն</w:t>
            </w:r>
          </w:p>
        </w:tc>
        <w:tc>
          <w:tcPr>
            <w:tcW w:w="4216" w:type="dxa"/>
            <w:shd w:val="clear" w:color="auto" w:fill="D0D0D0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29.07.2021թ.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/>
            <w:shd w:val="clear" w:color="auto" w:fill="FFFFFF"/>
            <w:vAlign w:val="center"/>
          </w:tcPr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01/27.1/22899-2021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641209" w:rsidRDefault="00C84188" w:rsidP="00462425">
            <w:pPr>
              <w:spacing w:after="0" w:line="360" w:lineRule="auto"/>
              <w:ind w:right="154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33">
              <w:rPr>
                <w:rFonts w:ascii="GHEA Grapalat" w:hAnsi="GHEA Grapalat" w:cs="GHEA Grapalat"/>
                <w:sz w:val="24"/>
                <w:szCs w:val="24"/>
                <w:lang w:val="hy-AM"/>
              </w:rPr>
              <w:t>1. «Պետական սահմանի մասին» Հայաստանի Հանրապետության օրենքում լրացում կատարելու մասին»</w:t>
            </w:r>
            <w:r w:rsidRPr="00B03133">
              <w:rPr>
                <w:rFonts w:ascii="GHEA Grapalat" w:hAnsi="GHEA Grapalat" w:cs="GHEA Grapalat"/>
                <w:noProof/>
                <w:sz w:val="24"/>
                <w:szCs w:val="24"/>
                <w:lang w:val="hy-AM"/>
              </w:rPr>
              <w:t xml:space="preserve"> </w:t>
            </w:r>
            <w:r w:rsidRPr="00B03133">
              <w:rPr>
                <w:rFonts w:ascii="GHEA Grapalat" w:hAnsi="GHEA Grapalat" w:cs="GHEA Grapalat"/>
                <w:sz w:val="24"/>
                <w:szCs w:val="24"/>
                <w:lang w:val="hy-AM"/>
              </w:rPr>
              <w:t>Հայաստանի Հանրապետության օրենքի նախագծի  (այսուհետ՝ Նախագիծ)  1-ին հոդվածում անհրաժեշտ է ճիշտ նշել «Պետական սահմանի մասին» Հայաստանի Հանրապետության օրենքի ընդունման հերթական համարը, մասնավորապես՝ «ՀՕ-265-Ն» թիվը փոխարինել «ՀՕ-265» թվով՝ համաձայն սույն օրենքի և «Նորմատիվ իրավական ակտերի մասին» Հայաստանի Հանրապետության օրենքի 18-րդ հոդվածի 3-րդ մասի պահանջների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: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641209" w:rsidRDefault="00C84188" w:rsidP="00462425">
            <w:pPr>
              <w:autoSpaceDE w:val="0"/>
              <w:autoSpaceDN w:val="0"/>
              <w:adjustRightInd w:val="0"/>
              <w:spacing w:after="0" w:line="360" w:lineRule="auto"/>
              <w:ind w:right="154" w:firstLine="50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B03133">
              <w:rPr>
                <w:rStyle w:val="Strong"/>
                <w:rFonts w:ascii="GHEA Grapalat" w:hAnsi="GHEA Grapalat" w:cs="GHEA Grapalat"/>
                <w:b w:val="0"/>
                <w:bCs w:val="0"/>
                <w:sz w:val="24"/>
                <w:szCs w:val="24"/>
                <w:lang w:val="hy-AM"/>
              </w:rPr>
              <w:t xml:space="preserve">2. Նախագծի 2-րդ հոդվածի 2-րդ մասի համաձայն՝  </w:t>
            </w:r>
            <w:r w:rsidRPr="00B03133">
              <w:rPr>
                <w:rFonts w:ascii="GHEA Grapalat" w:hAnsi="GHEA Grapalat" w:cs="GHEA Grapalat"/>
                <w:sz w:val="24"/>
                <w:szCs w:val="24"/>
                <w:lang w:val="hy-AM"/>
              </w:rPr>
              <w:t>«</w:t>
            </w:r>
            <w:r w:rsidRPr="00B03133">
              <w:rPr>
                <w:rFonts w:ascii="GHEA Grapalat" w:hAnsi="GHEA Grapalat" w:cs="GHEA Grapalat"/>
                <w:i/>
                <w:iCs/>
                <w:sz w:val="24"/>
                <w:szCs w:val="24"/>
                <w:lang w:val="hy-AM"/>
              </w:rPr>
              <w:t>Սույն օրենքի</w:t>
            </w:r>
            <w:r w:rsidRPr="00B03133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B03133">
              <w:rPr>
                <w:rFonts w:ascii="GHEA Grapalat" w:hAnsi="GHEA Grapalat" w:cs="GHEA Grapalat"/>
                <w:i/>
                <w:iCs/>
                <w:sz w:val="24"/>
                <w:szCs w:val="24"/>
                <w:lang w:val="hy-AM"/>
              </w:rPr>
              <w:t>1-ին հոդվածով</w:t>
            </w:r>
            <w:r w:rsidRPr="00B03133">
              <w:rPr>
                <w:rFonts w:ascii="GHEA Grapalat" w:hAnsi="GHEA Grapalat" w:cs="GHEA Grapalat"/>
                <w:b/>
                <w:bCs/>
                <w:i/>
                <w:iCs/>
                <w:sz w:val="24"/>
                <w:szCs w:val="24"/>
                <w:lang w:val="hy-AM"/>
              </w:rPr>
              <w:t xml:space="preserve"> սահմանված կարգավորումն ընդունվում է </w:t>
            </w:r>
            <w:r w:rsidRPr="00B03133">
              <w:rPr>
                <w:rFonts w:ascii="GHEA Grapalat" w:hAnsi="GHEA Grapalat" w:cs="GHEA Grapalat"/>
                <w:i/>
                <w:iCs/>
                <w:sz w:val="24"/>
                <w:szCs w:val="24"/>
                <w:lang w:val="hy-AM"/>
              </w:rPr>
              <w:t>սույն օրենքն ուժի մեջ մտնելուց հետո` 90 օրացուցային օրվա ընթացքում</w:t>
            </w:r>
            <w:r w:rsidRPr="00B03133">
              <w:rPr>
                <w:rFonts w:ascii="GHEA Grapalat" w:hAnsi="GHEA Grapalat" w:cs="GHEA Grapalat"/>
                <w:sz w:val="24"/>
                <w:szCs w:val="24"/>
                <w:lang w:val="hy-AM"/>
              </w:rPr>
              <w:t>»</w:t>
            </w:r>
            <w:r w:rsidRPr="00B03133">
              <w:rPr>
                <w:rFonts w:ascii="GHEA Grapalat" w:hAnsi="GHEA Grapalat" w:cs="GHEA Grapalat"/>
                <w:i/>
                <w:iCs/>
                <w:sz w:val="24"/>
                <w:szCs w:val="24"/>
                <w:lang w:val="hy-AM"/>
              </w:rPr>
              <w:t>:</w:t>
            </w:r>
            <w:r w:rsidRPr="00B03133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Այդ առումով,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03133">
              <w:rPr>
                <w:rFonts w:ascii="GHEA Grapalat" w:hAnsi="GHEA Grapalat" w:cs="GHEA Grapalat"/>
                <w:sz w:val="24"/>
                <w:szCs w:val="24"/>
                <w:lang w:val="hy-AM"/>
              </w:rPr>
              <w:t>հիշյալ դրույթը հստակեցնելու նպատակով, նախագծի 2-րդ հոդվածի 2-րդ մասն առաջարկում ենք շարադրել հետևյալ խմբագրությամբ. «Սույն օրենքի 1-ին հոդվածով նախատեսված կարգը Հայաստանի Հանրապետության կառավարությունը սահմանում է օրենքն ուժի մեջ մտնելուց հետո` 90 օրացուցային օրվա ընթացքում»: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</w:t>
            </w: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: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9D9D9"/>
          </w:tcPr>
          <w:p w:rsidR="00C84188" w:rsidRPr="00CE2E16" w:rsidRDefault="00C84188" w:rsidP="00CE2E16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3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. Ֆինանսների նախար</w:t>
            </w:r>
            <w:bookmarkStart w:id="0" w:name="_GoBack"/>
            <w:bookmarkEnd w:id="0"/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արություն</w:t>
            </w:r>
          </w:p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>19.07.2021թ.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/>
            <w:shd w:val="clear" w:color="auto" w:fill="D9D9D9"/>
            <w:vAlign w:val="center"/>
          </w:tcPr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shd w:val="clear" w:color="auto" w:fill="D9D9D9"/>
              </w:rPr>
              <w:t>01/11-1/11475-2021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sz w:val="24"/>
                <w:szCs w:val="24"/>
              </w:rPr>
              <w:t>Դիտողություններ և առաջարկություններ չկան: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 ի գիտություն:</w:t>
            </w:r>
          </w:p>
        </w:tc>
      </w:tr>
      <w:tr w:rsidR="00C84188" w:rsidRPr="00CE2E16">
        <w:trPr>
          <w:trHeight w:val="412"/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9D9D9"/>
          </w:tcPr>
          <w:p w:rsidR="00C84188" w:rsidRPr="00CE2E16" w:rsidRDefault="00C84188" w:rsidP="00CE2E16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4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. Արտակարգ իրավիճակների նախարարություն</w:t>
            </w:r>
          </w:p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color w:val="000000"/>
                <w:sz w:val="24"/>
                <w:szCs w:val="24"/>
              </w:rPr>
              <w:t>19.07.2021թ.</w:t>
            </w:r>
          </w:p>
        </w:tc>
      </w:tr>
      <w:tr w:rsidR="00C84188" w:rsidRPr="00CE2E16">
        <w:trPr>
          <w:trHeight w:val="411"/>
          <w:tblCellSpacing w:w="0" w:type="dxa"/>
          <w:jc w:val="center"/>
        </w:trPr>
        <w:tc>
          <w:tcPr>
            <w:tcW w:w="6704" w:type="dxa"/>
            <w:vMerge/>
            <w:shd w:val="clear" w:color="auto" w:fill="D9D9D9"/>
          </w:tcPr>
          <w:p w:rsidR="00C84188" w:rsidRPr="00CE2E16" w:rsidRDefault="00C84188" w:rsidP="00CE2E16">
            <w:pPr>
              <w:spacing w:line="360" w:lineRule="auto"/>
              <w:ind w:left="161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1F4F4B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CE2E16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01/01.1/3665-21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sz w:val="24"/>
                <w:szCs w:val="24"/>
              </w:rPr>
              <w:t>Դիտողություններ և առաջարկություններ չկան: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 ի գիտություն: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5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. Արտաքին գործերի նախարարություն</w:t>
            </w: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color w:val="000000"/>
                <w:sz w:val="24"/>
                <w:szCs w:val="24"/>
              </w:rPr>
              <w:t>20.07.2021թ.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color w:val="000000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CE2E16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1111/29640-21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sz w:val="24"/>
                <w:szCs w:val="24"/>
              </w:rPr>
              <w:t>Դիտողություններ և առաջարկություններ չկան: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 ի գիտություն: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6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. Քաղաքացիական ավիացիայի կոմիտե</w:t>
            </w: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22.07.2021թ.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AA5862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CE2E16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1.1/5.2/2609-21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sz w:val="24"/>
                <w:szCs w:val="24"/>
              </w:rPr>
              <w:t>Դիտողություններ և առաջարկություններ չկան: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 ի գիտություն: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 w:val="restart"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ind w:left="161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7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. Ազգային անվտանգության ծառայություն</w:t>
            </w: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22.07.2021թ.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vMerge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D9D9D9"/>
          </w:tcPr>
          <w:p w:rsidR="00C84188" w:rsidRPr="00CE2E16" w:rsidRDefault="00C84188" w:rsidP="00CE2E16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color w:val="000000"/>
                <w:sz w:val="24"/>
                <w:szCs w:val="24"/>
              </w:rPr>
              <w:t xml:space="preserve">N </w:t>
            </w:r>
            <w:r w:rsidRPr="00CE2E16">
              <w:rPr>
                <w:rFonts w:ascii="GHEA Grapalat" w:hAnsi="GHEA Grapalat" w:cs="GHEA Grapalat"/>
                <w:sz w:val="24"/>
                <w:szCs w:val="24"/>
                <w:shd w:val="clear" w:color="auto" w:fill="D9D9D9"/>
              </w:rPr>
              <w:t>11/556</w:t>
            </w:r>
          </w:p>
        </w:tc>
      </w:tr>
      <w:tr w:rsidR="00C84188" w:rsidRPr="00CE2E16">
        <w:trPr>
          <w:tblCellSpacing w:w="0" w:type="dxa"/>
          <w:jc w:val="center"/>
        </w:trPr>
        <w:tc>
          <w:tcPr>
            <w:tcW w:w="6704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ind w:left="161" w:firstLine="57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sz w:val="24"/>
                <w:szCs w:val="24"/>
              </w:rPr>
              <w:t>Դիտողություններ և առաջարկություններ չկան:</w:t>
            </w:r>
          </w:p>
        </w:tc>
        <w:tc>
          <w:tcPr>
            <w:tcW w:w="4216" w:type="dxa"/>
            <w:shd w:val="clear" w:color="auto" w:fill="FFFFFF"/>
          </w:tcPr>
          <w:p w:rsidR="00C84188" w:rsidRPr="00CE2E16" w:rsidRDefault="00C84188" w:rsidP="00CE2E16">
            <w:pPr>
              <w:spacing w:after="0" w:line="36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Ը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նդունվել</w:t>
            </w:r>
            <w:r w:rsidRPr="00CE2E16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է ի գիտություն:</w:t>
            </w:r>
          </w:p>
        </w:tc>
      </w:tr>
    </w:tbl>
    <w:p w:rsidR="00C84188" w:rsidRPr="00CE2E16" w:rsidRDefault="00C84188" w:rsidP="001F4F4B">
      <w:pPr>
        <w:shd w:val="clear" w:color="auto" w:fill="FFFFFF"/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</w:p>
    <w:sectPr w:rsidR="00C84188" w:rsidRPr="00CE2E16" w:rsidSect="00561E07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9D5"/>
    <w:multiLevelType w:val="hybridMultilevel"/>
    <w:tmpl w:val="64962C18"/>
    <w:lvl w:ilvl="0" w:tplc="54B2913E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484A39"/>
    <w:multiLevelType w:val="hybridMultilevel"/>
    <w:tmpl w:val="6A280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E2F56"/>
    <w:multiLevelType w:val="hybridMultilevel"/>
    <w:tmpl w:val="93547E1E"/>
    <w:lvl w:ilvl="0" w:tplc="EFFE9AF0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81B67C2"/>
    <w:multiLevelType w:val="hybridMultilevel"/>
    <w:tmpl w:val="36B641B4"/>
    <w:lvl w:ilvl="0" w:tplc="91841022">
      <w:start w:val="3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B37BE"/>
    <w:multiLevelType w:val="hybridMultilevel"/>
    <w:tmpl w:val="905A4A3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C8"/>
    <w:multiLevelType w:val="hybridMultilevel"/>
    <w:tmpl w:val="E5907F1A"/>
    <w:lvl w:ilvl="0" w:tplc="87BC9AA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D1EBF"/>
    <w:multiLevelType w:val="hybridMultilevel"/>
    <w:tmpl w:val="9D86B7C4"/>
    <w:lvl w:ilvl="0" w:tplc="91841022">
      <w:start w:val="39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CD0DC2"/>
    <w:multiLevelType w:val="hybridMultilevel"/>
    <w:tmpl w:val="8CBEC1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56F72"/>
    <w:multiLevelType w:val="hybridMultilevel"/>
    <w:tmpl w:val="6610E8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D187B08"/>
    <w:multiLevelType w:val="hybridMultilevel"/>
    <w:tmpl w:val="EB4448CC"/>
    <w:lvl w:ilvl="0" w:tplc="8E305E38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>
    <w:nsid w:val="3FEC0199"/>
    <w:multiLevelType w:val="hybridMultilevel"/>
    <w:tmpl w:val="F308297E"/>
    <w:lvl w:ilvl="0" w:tplc="56AC6E08">
      <w:start w:val="1"/>
      <w:numFmt w:val="bullet"/>
      <w:lvlText w:val=""/>
      <w:lvlJc w:val="left"/>
      <w:pPr>
        <w:ind w:left="98" w:hanging="360"/>
      </w:pPr>
      <w:rPr>
        <w:rFonts w:ascii="Symbol" w:hAnsi="Symbol" w:cs="Symbol"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7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3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92" w:hanging="360"/>
      </w:pPr>
      <w:rPr>
        <w:rFonts w:ascii="Wingdings" w:hAnsi="Wingdings" w:cs="Wingdings" w:hint="default"/>
      </w:rPr>
    </w:lvl>
  </w:abstractNum>
  <w:abstractNum w:abstractNumId="11">
    <w:nsid w:val="46C37713"/>
    <w:multiLevelType w:val="hybridMultilevel"/>
    <w:tmpl w:val="C5C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2F624A"/>
    <w:multiLevelType w:val="hybridMultilevel"/>
    <w:tmpl w:val="136688CC"/>
    <w:lvl w:ilvl="0" w:tplc="DF8484C6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172102D"/>
    <w:multiLevelType w:val="hybridMultilevel"/>
    <w:tmpl w:val="F990B3AE"/>
    <w:lvl w:ilvl="0" w:tplc="87287A08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>
      <w:start w:val="1"/>
      <w:numFmt w:val="lowerRoman"/>
      <w:lvlText w:val="%3."/>
      <w:lvlJc w:val="right"/>
      <w:pPr>
        <w:ind w:left="8100" w:hanging="180"/>
      </w:pPr>
    </w:lvl>
    <w:lvl w:ilvl="3" w:tplc="0409000F">
      <w:start w:val="1"/>
      <w:numFmt w:val="decimal"/>
      <w:lvlText w:val="%4."/>
      <w:lvlJc w:val="left"/>
      <w:pPr>
        <w:ind w:left="8820" w:hanging="360"/>
      </w:pPr>
    </w:lvl>
    <w:lvl w:ilvl="4" w:tplc="04090019">
      <w:start w:val="1"/>
      <w:numFmt w:val="lowerLetter"/>
      <w:lvlText w:val="%5."/>
      <w:lvlJc w:val="left"/>
      <w:pPr>
        <w:ind w:left="9540" w:hanging="360"/>
      </w:pPr>
    </w:lvl>
    <w:lvl w:ilvl="5" w:tplc="0409001B">
      <w:start w:val="1"/>
      <w:numFmt w:val="lowerRoman"/>
      <w:lvlText w:val="%6."/>
      <w:lvlJc w:val="right"/>
      <w:pPr>
        <w:ind w:left="10260" w:hanging="180"/>
      </w:pPr>
    </w:lvl>
    <w:lvl w:ilvl="6" w:tplc="0409000F">
      <w:start w:val="1"/>
      <w:numFmt w:val="decimal"/>
      <w:lvlText w:val="%7."/>
      <w:lvlJc w:val="left"/>
      <w:pPr>
        <w:ind w:left="10980" w:hanging="360"/>
      </w:pPr>
    </w:lvl>
    <w:lvl w:ilvl="7" w:tplc="04090019">
      <w:start w:val="1"/>
      <w:numFmt w:val="lowerLetter"/>
      <w:lvlText w:val="%8."/>
      <w:lvlJc w:val="left"/>
      <w:pPr>
        <w:ind w:left="11700" w:hanging="360"/>
      </w:pPr>
    </w:lvl>
    <w:lvl w:ilvl="8" w:tplc="0409001B">
      <w:start w:val="1"/>
      <w:numFmt w:val="lowerRoman"/>
      <w:lvlText w:val="%9."/>
      <w:lvlJc w:val="right"/>
      <w:pPr>
        <w:ind w:left="12420" w:hanging="180"/>
      </w:pPr>
    </w:lvl>
  </w:abstractNum>
  <w:abstractNum w:abstractNumId="14">
    <w:nsid w:val="7045656D"/>
    <w:multiLevelType w:val="hybridMultilevel"/>
    <w:tmpl w:val="874AB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EC2A93"/>
    <w:multiLevelType w:val="hybridMultilevel"/>
    <w:tmpl w:val="95DA4AAC"/>
    <w:lvl w:ilvl="0" w:tplc="6818D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B760C2"/>
    <w:multiLevelType w:val="hybridMultilevel"/>
    <w:tmpl w:val="341C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816D2"/>
    <w:multiLevelType w:val="multilevel"/>
    <w:tmpl w:val="739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E04B2AB"/>
    <w:multiLevelType w:val="hybridMultilevel"/>
    <w:tmpl w:val="D8E44020"/>
    <w:lvl w:ilvl="0" w:tplc="61DA4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AED5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E25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F041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8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6D61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C27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C8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18"/>
  </w:num>
  <w:num w:numId="6">
    <w:abstractNumId w:val="14"/>
  </w:num>
  <w:num w:numId="7">
    <w:abstractNumId w:val="2"/>
  </w:num>
  <w:num w:numId="8">
    <w:abstractNumId w:val="3"/>
  </w:num>
  <w:num w:numId="9">
    <w:abstractNumId w:val="16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  <w:num w:numId="17">
    <w:abstractNumId w:val="8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9F"/>
    <w:rsid w:val="00037AFD"/>
    <w:rsid w:val="00051F7F"/>
    <w:rsid w:val="000A3E53"/>
    <w:rsid w:val="000A539E"/>
    <w:rsid w:val="000D7642"/>
    <w:rsid w:val="00162BE9"/>
    <w:rsid w:val="001C4525"/>
    <w:rsid w:val="001F4F4B"/>
    <w:rsid w:val="00230D3F"/>
    <w:rsid w:val="00246F0B"/>
    <w:rsid w:val="0025138A"/>
    <w:rsid w:val="002A66A4"/>
    <w:rsid w:val="002D0EE8"/>
    <w:rsid w:val="003A3450"/>
    <w:rsid w:val="003B761E"/>
    <w:rsid w:val="00462425"/>
    <w:rsid w:val="00522D5B"/>
    <w:rsid w:val="005419AA"/>
    <w:rsid w:val="0054577A"/>
    <w:rsid w:val="00553F90"/>
    <w:rsid w:val="00561E07"/>
    <w:rsid w:val="005A0F82"/>
    <w:rsid w:val="00641209"/>
    <w:rsid w:val="006613F4"/>
    <w:rsid w:val="006760D7"/>
    <w:rsid w:val="00695CA7"/>
    <w:rsid w:val="006B5C8C"/>
    <w:rsid w:val="006C5446"/>
    <w:rsid w:val="006C7049"/>
    <w:rsid w:val="00726309"/>
    <w:rsid w:val="00727CC8"/>
    <w:rsid w:val="00760543"/>
    <w:rsid w:val="0077006E"/>
    <w:rsid w:val="007862BC"/>
    <w:rsid w:val="007911A5"/>
    <w:rsid w:val="007F7CC9"/>
    <w:rsid w:val="008A457C"/>
    <w:rsid w:val="008C289E"/>
    <w:rsid w:val="008E5E9F"/>
    <w:rsid w:val="00901728"/>
    <w:rsid w:val="00922F1C"/>
    <w:rsid w:val="009B6037"/>
    <w:rsid w:val="00A37A9D"/>
    <w:rsid w:val="00A46E71"/>
    <w:rsid w:val="00A6654E"/>
    <w:rsid w:val="00AA5862"/>
    <w:rsid w:val="00AD554A"/>
    <w:rsid w:val="00B03133"/>
    <w:rsid w:val="00B36863"/>
    <w:rsid w:val="00BA5FFD"/>
    <w:rsid w:val="00BB7D0A"/>
    <w:rsid w:val="00BC0861"/>
    <w:rsid w:val="00BF09DE"/>
    <w:rsid w:val="00C00BDC"/>
    <w:rsid w:val="00C224F2"/>
    <w:rsid w:val="00C84188"/>
    <w:rsid w:val="00C94E06"/>
    <w:rsid w:val="00CA2755"/>
    <w:rsid w:val="00CE2E16"/>
    <w:rsid w:val="00D1520E"/>
    <w:rsid w:val="00D44340"/>
    <w:rsid w:val="00D46B2F"/>
    <w:rsid w:val="00E2275C"/>
    <w:rsid w:val="00ED4440"/>
    <w:rsid w:val="00EE761B"/>
    <w:rsid w:val="00F36C76"/>
    <w:rsid w:val="00F44EB8"/>
    <w:rsid w:val="00F565C2"/>
    <w:rsid w:val="00FA1A29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07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4F4B"/>
    <w:pPr>
      <w:keepNext/>
      <w:keepLines/>
      <w:spacing w:before="240" w:after="0" w:line="276" w:lineRule="auto"/>
      <w:outlineLvl w:val="0"/>
    </w:pPr>
    <w:rPr>
      <w:rFonts w:ascii="Cambria" w:eastAsia="Times New Roman" w:hAnsi="Cambria" w:cs="Cambria"/>
      <w:color w:val="365F91"/>
      <w:spacing w:val="1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1F4F4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F4F4B"/>
    <w:pPr>
      <w:keepNext/>
      <w:keepLines/>
      <w:spacing w:before="40" w:after="0" w:line="276" w:lineRule="auto"/>
      <w:outlineLvl w:val="3"/>
    </w:pPr>
    <w:rPr>
      <w:rFonts w:ascii="Cambria" w:eastAsia="Times New Roman" w:hAnsi="Cambria" w:cs="Cambria"/>
      <w:i/>
      <w:iCs/>
      <w:color w:val="365F91"/>
      <w:spacing w:val="15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F4B"/>
    <w:rPr>
      <w:rFonts w:ascii="Cambria" w:hAnsi="Cambria" w:cs="Cambria"/>
      <w:color w:val="365F91"/>
      <w:spacing w:val="15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F4B"/>
    <w:rPr>
      <w:rFonts w:eastAsia="Times New Roman"/>
      <w:b/>
      <w:bCs/>
      <w:sz w:val="27"/>
      <w:szCs w:val="27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F4B"/>
    <w:rPr>
      <w:rFonts w:ascii="Cambria" w:hAnsi="Cambria" w:cs="Cambria"/>
      <w:i/>
      <w:iCs/>
      <w:color w:val="365F91"/>
      <w:spacing w:val="15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7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27CC8"/>
    <w:rPr>
      <w:b/>
      <w:bCs/>
    </w:rPr>
  </w:style>
  <w:style w:type="paragraph" w:styleId="ListParagraph">
    <w:name w:val="List Paragraph"/>
    <w:aliases w:val="References,Дэд гарчиг,IBL List Paragraph,List Paragraph1,Paragraph,BULLET Liste,Numbered List Paragraph,Bullet paras,Liste 1,Table no. List Paragraph,Colorful List - Accent 11,List Paragraph (numbered (a)),Normal 1,List Paragraph 1,lp1"/>
    <w:basedOn w:val="Normal"/>
    <w:link w:val="ListParagraphChar"/>
    <w:uiPriority w:val="99"/>
    <w:qFormat/>
    <w:rsid w:val="00C224F2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References Char,Дэд гарчиг Char,IBL List Paragraph Char,List Paragraph1 Char,Paragraph Char,BULLET Liste Char,Numbered List Paragraph Char,Bullet paras Char,Liste 1 Char,Table no. List Paragraph Char,Colorful List - Accent 11 Char"/>
    <w:link w:val="ListParagraph"/>
    <w:uiPriority w:val="99"/>
    <w:locked/>
    <w:rsid w:val="001F4F4B"/>
    <w:rPr>
      <w:rFonts w:eastAsia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F4F4B"/>
    <w:pPr>
      <w:tabs>
        <w:tab w:val="center" w:pos="4844"/>
        <w:tab w:val="right" w:pos="9689"/>
      </w:tabs>
      <w:spacing w:after="0" w:line="240" w:lineRule="auto"/>
    </w:pPr>
    <w:rPr>
      <w:rFonts w:ascii="Sylfaen" w:hAnsi="Sylfaen" w:cs="Sylfaen"/>
      <w:color w:val="000000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F4B"/>
    <w:rPr>
      <w:rFonts w:ascii="Sylfaen" w:hAnsi="Sylfaen" w:cs="Sylfaen"/>
      <w:color w:val="000000"/>
      <w:spacing w:val="15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4F4B"/>
    <w:pPr>
      <w:tabs>
        <w:tab w:val="center" w:pos="4844"/>
        <w:tab w:val="right" w:pos="9689"/>
      </w:tabs>
      <w:spacing w:after="0" w:line="240" w:lineRule="auto"/>
    </w:pPr>
    <w:rPr>
      <w:rFonts w:ascii="Sylfaen" w:hAnsi="Sylfaen" w:cs="Sylfaen"/>
      <w:color w:val="000000"/>
      <w:spacing w:val="15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4F4B"/>
    <w:rPr>
      <w:rFonts w:ascii="Sylfaen" w:hAnsi="Sylfaen" w:cs="Sylfaen"/>
      <w:color w:val="000000"/>
      <w:spacing w:val="15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4F4B"/>
    <w:pPr>
      <w:spacing w:after="0" w:line="240" w:lineRule="auto"/>
    </w:pPr>
    <w:rPr>
      <w:rFonts w:ascii="Tahoma" w:hAnsi="Tahoma" w:cs="Tahoma"/>
      <w:color w:val="000000"/>
      <w:spacing w:val="1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F4B"/>
    <w:rPr>
      <w:rFonts w:ascii="Tahoma" w:hAnsi="Tahoma" w:cs="Tahoma"/>
      <w:color w:val="000000"/>
      <w:spacing w:val="15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1F4F4B"/>
    <w:rPr>
      <w:color w:val="0000FF"/>
      <w:u w:val="single"/>
    </w:rPr>
  </w:style>
  <w:style w:type="paragraph" w:customStyle="1" w:styleId="arial12fett">
    <w:name w:val="arial12fett"/>
    <w:basedOn w:val="Normal"/>
    <w:uiPriority w:val="99"/>
    <w:rsid w:val="001F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link w:val="70"/>
    <w:uiPriority w:val="99"/>
    <w:locked/>
    <w:rsid w:val="001F4F4B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1F4F4B"/>
    <w:pPr>
      <w:widowControl w:val="0"/>
      <w:shd w:val="clear" w:color="auto" w:fill="FFFFFF"/>
      <w:spacing w:after="480" w:line="317" w:lineRule="exact"/>
      <w:jc w:val="right"/>
    </w:pPr>
    <w:rPr>
      <w:rFonts w:ascii="Tahoma" w:hAnsi="Tahoma" w:cs="Tahoma"/>
      <w:b/>
      <w:bCs/>
      <w:sz w:val="19"/>
      <w:szCs w:val="19"/>
      <w:shd w:val="clear" w:color="auto" w:fill="FFFFFF"/>
      <w:lang w:eastAsia="ru-RU"/>
    </w:rPr>
  </w:style>
  <w:style w:type="paragraph" w:styleId="BodyText">
    <w:name w:val="Body Text"/>
    <w:basedOn w:val="Normal"/>
    <w:link w:val="BodyTextChar"/>
    <w:uiPriority w:val="99"/>
    <w:rsid w:val="001F4F4B"/>
    <w:pPr>
      <w:spacing w:after="0" w:line="240" w:lineRule="auto"/>
      <w:jc w:val="both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4F4B"/>
    <w:rPr>
      <w:rFonts w:ascii="Times Armenian" w:hAnsi="Times Armenian" w:cs="Times Armeni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F4F4B"/>
    <w:pPr>
      <w:spacing w:after="120" w:line="276" w:lineRule="auto"/>
      <w:ind w:left="360"/>
    </w:pPr>
    <w:rPr>
      <w:rFonts w:ascii="GHEA Grapalat" w:hAnsi="GHEA Grapalat" w:cs="GHEA Grapala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4F4B"/>
    <w:rPr>
      <w:rFonts w:ascii="GHEA Grapalat" w:hAnsi="GHEA Grapalat" w:cs="GHEA Grapalat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1F4F4B"/>
    <w:pPr>
      <w:spacing w:after="120" w:line="480" w:lineRule="auto"/>
      <w:ind w:left="360"/>
    </w:pPr>
    <w:rPr>
      <w:rFonts w:ascii="Sylfaen" w:hAnsi="Sylfaen" w:cs="Sylfaen"/>
      <w:color w:val="000000"/>
      <w:spacing w:val="15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F4F4B"/>
    <w:rPr>
      <w:rFonts w:ascii="Sylfaen" w:hAnsi="Sylfaen" w:cs="Sylfaen"/>
      <w:color w:val="000000"/>
      <w:spacing w:val="15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1F4F4B"/>
    <w:rPr>
      <w:rFonts w:ascii="GHEA Grapalat" w:hAnsi="GHEA Grapalat" w:cs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537</Words>
  <Characters>3061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 Ulikhanyan</dc:creator>
  <cp:keywords/>
  <dc:description/>
  <cp:lastModifiedBy>name</cp:lastModifiedBy>
  <cp:revision>24</cp:revision>
  <cp:lastPrinted>2021-08-12T11:36:00Z</cp:lastPrinted>
  <dcterms:created xsi:type="dcterms:W3CDTF">2021-03-05T10:45:00Z</dcterms:created>
  <dcterms:modified xsi:type="dcterms:W3CDTF">2021-08-12T11:36:00Z</dcterms:modified>
</cp:coreProperties>
</file>