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F4" w:rsidRPr="00E474F4" w:rsidRDefault="00E474F4" w:rsidP="00CF009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en-US" w:eastAsia="en-US"/>
        </w:rPr>
      </w:pPr>
      <w:r w:rsidRPr="00E009A2">
        <w:rPr>
          <w:rFonts w:ascii="GHEA Grapalat" w:hAnsi="GHEA Grapalat"/>
          <w:b/>
          <w:bCs/>
          <w:color w:val="000000"/>
          <w:lang w:val="en-US" w:eastAsia="en-US"/>
        </w:rPr>
        <w:t>ԱՄՓՈՓԱԹԵՐԹ</w:t>
      </w:r>
    </w:p>
    <w:p w:rsidR="008517A4" w:rsidRPr="002968A3" w:rsidRDefault="008517A4" w:rsidP="00CF0094">
      <w:pPr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517A4">
        <w:rPr>
          <w:rFonts w:ascii="GHEA Grapalat" w:hAnsi="GHEA Grapalat"/>
          <w:b/>
          <w:color w:val="000000"/>
          <w:shd w:val="clear" w:color="auto" w:fill="FFFFFF"/>
          <w:lang w:val="hy-AM"/>
        </w:rPr>
        <w:t>«ՀԱՅԱՍՏԱՆԻ ԷԼԵԿՏՐԱԿԱՆ ՑԱՆՑԵՐ» ՓԱԿ ԲԱԺՆԵՏԻՐԱԿԱՆ ԸՆԿԵՐՈՒԹՅԱՆ 100 ՏՈԿՈՍ ԲԱԺՆԵՏՈՄՍԵՐԻ ԳՐԱՎԱԴՐՄԱՆ ԳՈՐԾԱՐՔՆԵՐԻՆ ՀԱՄԱՁԱՅՆՈՒԹՅՈՒՆ ՏԱԼՈՒ ՄԱՍԻՆ» ՀՀ ԿԱՌԱՎԱՐՈՒԹՅԱՆ ՈՐՈՇՄԱՆ ՆԱԽԱԳԾԻ</w:t>
      </w:r>
    </w:p>
    <w:tbl>
      <w:tblPr>
        <w:tblpPr w:leftFromText="180" w:rightFromText="180" w:vertAnchor="text" w:tblpXSpec="center" w:tblpY="1"/>
        <w:tblOverlap w:val="never"/>
        <w:tblW w:w="13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  <w:gridCol w:w="3151"/>
      </w:tblGrid>
      <w:tr w:rsidR="007A6CD8" w:rsidRPr="00E474F4" w:rsidTr="00CF0094">
        <w:trPr>
          <w:tblCellSpacing w:w="0" w:type="dxa"/>
        </w:trPr>
        <w:tc>
          <w:tcPr>
            <w:tcW w:w="10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8F7EB9" w:rsidRPr="00E474F4" w:rsidRDefault="008F7EB9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E474F4">
              <w:rPr>
                <w:rFonts w:ascii="GHEA Grapalat" w:hAnsi="GHEA Grapalat"/>
                <w:color w:val="000000"/>
                <w:lang w:val="en-US" w:eastAsia="en-US"/>
              </w:rPr>
              <w:t xml:space="preserve">1. </w:t>
            </w:r>
            <w:r w:rsidRPr="00E009A2">
              <w:rPr>
                <w:rFonts w:ascii="GHEA Grapalat" w:hAnsi="GHEA Grapalat" w:cs="Sylfaen"/>
                <w:lang w:val="hy-AM"/>
              </w:rPr>
              <w:t>ՀՀ ֆինանսների նախարարություն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F7EB9" w:rsidRPr="00E474F4" w:rsidRDefault="008517A4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 w:cs="Sylfaen"/>
              </w:rPr>
              <w:t>16.0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="008F7EB9" w:rsidRPr="00E009A2">
              <w:rPr>
                <w:rFonts w:ascii="GHEA Grapalat" w:hAnsi="GHEA Grapalat" w:cs="Sylfaen"/>
                <w:lang w:val="hy-AM"/>
              </w:rPr>
              <w:t>.202</w:t>
            </w:r>
            <w:r w:rsidR="008F7EB9" w:rsidRPr="00E009A2">
              <w:rPr>
                <w:rFonts w:ascii="GHEA Grapalat" w:hAnsi="GHEA Grapalat" w:cs="Sylfaen"/>
                <w:lang w:val="en-US"/>
              </w:rPr>
              <w:t>1</w:t>
            </w:r>
            <w:r w:rsidR="008F7EB9"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8517A4" w:rsidTr="00CF0094">
        <w:trPr>
          <w:tblCellSpacing w:w="0" w:type="dxa"/>
        </w:trPr>
        <w:tc>
          <w:tcPr>
            <w:tcW w:w="10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EB9" w:rsidRPr="00E474F4" w:rsidRDefault="008F7EB9" w:rsidP="00CF0094">
            <w:pPr>
              <w:spacing w:line="360" w:lineRule="auto"/>
              <w:rPr>
                <w:rFonts w:ascii="GHEA Grapalat" w:hAnsi="GHEA Grapalat"/>
                <w:color w:val="000000"/>
                <w:lang w:val="en-US" w:eastAsia="en-US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F7EB9" w:rsidRPr="00D97D60" w:rsidRDefault="00DD4B2E" w:rsidP="00CF0094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D4B2E">
              <w:rPr>
                <w:rFonts w:ascii="GHEA Grapalat" w:hAnsi="GHEA Grapalat" w:cs="Sylfaen"/>
              </w:rPr>
              <w:t xml:space="preserve">№ </w:t>
            </w:r>
            <w:r w:rsidR="00D97D60" w:rsidRPr="00D97D60">
              <w:rPr>
                <w:rFonts w:ascii="GHEA Grapalat" w:hAnsi="GHEA Grapalat" w:cs="Sylfaen"/>
              </w:rPr>
              <w:t>01/11-1/13023-2021</w:t>
            </w:r>
          </w:p>
        </w:tc>
      </w:tr>
      <w:tr w:rsidR="007A6CD8" w:rsidRPr="008517A4" w:rsidTr="00CF0094">
        <w:trPr>
          <w:trHeight w:val="987"/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D6C" w:rsidRPr="00E474F4" w:rsidRDefault="008517A4" w:rsidP="00344B34">
            <w:pPr>
              <w:shd w:val="clear" w:color="auto" w:fill="FFFFFF"/>
              <w:spacing w:line="360" w:lineRule="auto"/>
              <w:ind w:right="-1051" w:firstLine="720"/>
              <w:jc w:val="both"/>
              <w:rPr>
                <w:rFonts w:ascii="GHEA Grapalat" w:hAnsi="GHEA Grapalat"/>
                <w:lang w:val="hy-AM"/>
              </w:rPr>
            </w:pPr>
            <w:r w:rsidRPr="00E009A2">
              <w:rPr>
                <w:rFonts w:ascii="GHEA Grapalat" w:hAnsi="GHEA Grapalat"/>
                <w:lang w:val="hy-AM"/>
              </w:rPr>
              <w:t>Որոշման նախագծի վերաբերյալ</w:t>
            </w:r>
            <w:r w:rsidRPr="00A64D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դիտողություններ և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առաջարկություններ չունեն: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2D6C" w:rsidRPr="004D4460" w:rsidRDefault="00D97D60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 xml:space="preserve">Ընդունվել է </w:t>
            </w:r>
            <w:r w:rsidR="004D4460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                           </w:t>
            </w: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>ի գիտություն:</w:t>
            </w:r>
          </w:p>
        </w:tc>
      </w:tr>
      <w:tr w:rsidR="007A6CD8" w:rsidRPr="00E009A2" w:rsidTr="00CF0094">
        <w:trPr>
          <w:tblCellSpacing w:w="0" w:type="dxa"/>
        </w:trPr>
        <w:tc>
          <w:tcPr>
            <w:tcW w:w="10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053E09" w:rsidRPr="00E474F4" w:rsidRDefault="00053E09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E474F4">
              <w:rPr>
                <w:rFonts w:ascii="GHEA Grapalat" w:hAnsi="GHEA Grapalat"/>
                <w:color w:val="000000"/>
                <w:lang w:val="hy-AM" w:eastAsia="en-US"/>
              </w:rPr>
              <w:t xml:space="preserve">2. </w:t>
            </w:r>
            <w:r w:rsidR="00533E31" w:rsidRPr="00E009A2">
              <w:rPr>
                <w:rFonts w:ascii="GHEA Grapalat" w:hAnsi="GHEA Grapalat" w:cs="Sylfaen"/>
              </w:rPr>
              <w:t xml:space="preserve"> ՀՀ արդարադատության նախարարություն</w:t>
            </w:r>
            <w:r w:rsidR="00533E31" w:rsidRPr="00533E31">
              <w:rPr>
                <w:rFonts w:ascii="GHEA Grapalat" w:hAnsi="GHEA Grapalat" w:cs="Sylfaen"/>
              </w:rPr>
              <w:t xml:space="preserve"> </w:t>
            </w:r>
            <w:r w:rsidR="00533E31" w:rsidRPr="00E009A2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3E09" w:rsidRPr="00D97D60" w:rsidRDefault="00062588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E009A2">
              <w:rPr>
                <w:rFonts w:ascii="GHEA Grapalat" w:hAnsi="GHEA Grapalat" w:cs="Sylfaen"/>
                <w:lang w:val="hy-AM"/>
              </w:rPr>
              <w:t>.202</w:t>
            </w:r>
            <w:r w:rsidRPr="00E009A2">
              <w:rPr>
                <w:rFonts w:ascii="GHEA Grapalat" w:hAnsi="GHEA Grapalat" w:cs="Sylfaen"/>
                <w:lang w:val="en-US"/>
              </w:rPr>
              <w:t>1</w:t>
            </w:r>
            <w:r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E009A2" w:rsidTr="00CF0094">
        <w:trPr>
          <w:tblCellSpacing w:w="0" w:type="dxa"/>
        </w:trPr>
        <w:tc>
          <w:tcPr>
            <w:tcW w:w="10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E09" w:rsidRPr="00D97D60" w:rsidRDefault="00053E09" w:rsidP="00CF0094">
            <w:pPr>
              <w:spacing w:line="360" w:lineRule="auto"/>
              <w:rPr>
                <w:rFonts w:ascii="GHEA Grapalat" w:hAnsi="GHEA Grapalat"/>
                <w:color w:val="000000"/>
                <w:lang w:eastAsia="en-US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3E09" w:rsidRPr="00062588" w:rsidRDefault="00DD4B2E" w:rsidP="00CF0094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D4B2E">
              <w:rPr>
                <w:rFonts w:ascii="GHEA Grapalat" w:hAnsi="GHEA Grapalat" w:cs="Sylfaen"/>
              </w:rPr>
              <w:t>№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062588" w:rsidRPr="00062588">
              <w:rPr>
                <w:rFonts w:ascii="GHEA Grapalat" w:hAnsi="GHEA Grapalat" w:cs="Sylfaen"/>
              </w:rPr>
              <w:t>/27.3/25303-2021</w:t>
            </w:r>
          </w:p>
        </w:tc>
      </w:tr>
      <w:tr w:rsidR="007A6CD8" w:rsidRPr="002968A3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588" w:rsidRPr="00062588" w:rsidRDefault="00062588" w:rsidP="00CF0094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62588">
              <w:rPr>
                <w:rFonts w:ascii="GHEA Grapalat" w:hAnsi="GHEA Grapalat"/>
                <w:color w:val="000000"/>
                <w:shd w:val="clear" w:color="auto" w:fill="FFFFFF"/>
              </w:rPr>
              <w:t>1.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««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էլեկտրական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ցանցեր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փակ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բաժնետիրական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ընկերության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100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տոկոս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բաժնետոմսերի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գրավադրման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25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գործարք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ներին համաձայնություն տալու մասին» Հայաստանի Հանրապետության կառավարության որոշման նախագծի (այսուհետ՝ Նախագիծ)  </w:t>
            </w:r>
            <w:r w:rsidRPr="00062588">
              <w:rPr>
                <w:rFonts w:ascii="GHEA Grapalat" w:hAnsi="GHEA Grapalat"/>
                <w:color w:val="000000"/>
                <w:lang w:val="hy-AM"/>
              </w:rPr>
              <w:t xml:space="preserve">նախաբանում նախատեսվում է, որ գնորդը չպետք է </w:t>
            </w:r>
            <w:r w:rsidRPr="0006258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«Հայաստանի էլեկտրական ցանցեր» փակ բաժնետիրական ընկերության</w:t>
            </w:r>
            <w:r w:rsidRPr="0006258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62588">
              <w:rPr>
                <w:rFonts w:ascii="GHEA Grapalat" w:hAnsi="GHEA Grapalat"/>
                <w:b/>
                <w:color w:val="000000"/>
                <w:lang w:val="hy-AM"/>
              </w:rPr>
              <w:t>67 տոկոս բաժնետոմսերը</w:t>
            </w:r>
            <w:r w:rsidRPr="00062588">
              <w:rPr>
                <w:rFonts w:ascii="GHEA Grapalat" w:hAnsi="GHEA Grapalat"/>
                <w:color w:val="000000"/>
                <w:lang w:val="hy-AM"/>
              </w:rPr>
              <w:t xml:space="preserve"> ծանրաբեռնի կամ օտարի՝  առանց նախօրոք ստանալու Հայաստանի Հանրապետության կառավարության և Հայաստանի Հանրապետության հանրային ծառայությունները կարգավորող հանձնաժողովի գրավոր համաձայնությունը, մինչդեռ Հավելվածների 1-ին կետերի ա. ենթակետերով նախատեսվում է </w:t>
            </w:r>
            <w:r w:rsidRPr="00062588">
              <w:rPr>
                <w:rFonts w:ascii="GHEA Grapalat" w:hAnsi="GHEA Grapalat"/>
                <w:b/>
                <w:color w:val="000000"/>
                <w:lang w:val="hy-AM"/>
              </w:rPr>
              <w:t>բացառել բաժնետոմսերի</w:t>
            </w:r>
            <w:r w:rsidRPr="00062588">
              <w:rPr>
                <w:rFonts w:ascii="GHEA Grapalat" w:hAnsi="GHEA Grapalat"/>
                <w:color w:val="000000"/>
                <w:lang w:val="hy-AM"/>
              </w:rPr>
              <w:t xml:space="preserve"> նկատմամբ սեփականության իրավունքի փոխանցումը: Հաշվի առնելով նշված անհամապատասխանությունը</w:t>
            </w:r>
            <w:r w:rsidR="00E729FF">
              <w:rPr>
                <w:rFonts w:ascii="GHEA Grapalat" w:hAnsi="GHEA Grapalat"/>
                <w:color w:val="000000"/>
                <w:lang w:val="hy-AM"/>
              </w:rPr>
              <w:t>՝ առաջարկում են</w:t>
            </w:r>
            <w:r w:rsidR="00E729FF" w:rsidRPr="00E729FF">
              <w:rPr>
                <w:rFonts w:ascii="GHEA Grapalat" w:hAnsi="GHEA Grapalat"/>
                <w:color w:val="000000"/>
              </w:rPr>
              <w:t xml:space="preserve"> </w:t>
            </w:r>
            <w:r w:rsidRPr="00062588">
              <w:rPr>
                <w:rFonts w:ascii="GHEA Grapalat" w:hAnsi="GHEA Grapalat"/>
                <w:color w:val="000000"/>
                <w:lang w:val="hy-AM"/>
              </w:rPr>
              <w:t>կարգավորումները համապատասխանեցնել միմյանց:</w:t>
            </w:r>
          </w:p>
          <w:p w:rsidR="006857CC" w:rsidRPr="00D97D60" w:rsidRDefault="006857CC" w:rsidP="00CF0094">
            <w:pPr>
              <w:spacing w:line="360" w:lineRule="auto"/>
              <w:ind w:left="150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800" w:rsidRPr="007A6CD8" w:rsidRDefault="0069670C" w:rsidP="00CF0094">
            <w:pPr>
              <w:spacing w:line="360" w:lineRule="auto"/>
              <w:rPr>
                <w:rFonts w:ascii="GHEA Grapalat" w:hAnsi="GHEA Grapalat"/>
                <w:color w:val="000000"/>
                <w:lang w:val="hy-AM" w:eastAsia="en-US"/>
              </w:rPr>
            </w:pP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>Ը</w:t>
            </w:r>
            <w:r w:rsidR="00D05F54" w:rsidRPr="007A6CD8">
              <w:rPr>
                <w:rFonts w:ascii="GHEA Grapalat" w:hAnsi="GHEA Grapalat"/>
                <w:color w:val="000000"/>
                <w:lang w:val="hy-AM" w:eastAsia="en-US"/>
              </w:rPr>
              <w:t>նդունվել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է</w:t>
            </w:r>
            <w:r w:rsidR="00D05F54" w:rsidRPr="007A6CD8">
              <w:rPr>
                <w:rFonts w:ascii="GHEA Grapalat" w:hAnsi="GHEA Grapalat"/>
                <w:color w:val="000000"/>
                <w:lang w:val="hy-AM" w:eastAsia="en-US"/>
              </w:rPr>
              <w:t>։</w:t>
            </w:r>
            <w:r w:rsidR="001A21E5"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</w:p>
          <w:p w:rsidR="007A6CD8" w:rsidRDefault="007A6CD8" w:rsidP="00CF0094">
            <w:pPr>
              <w:shd w:val="clear" w:color="auto" w:fill="FFFFFF"/>
              <w:spacing w:line="360" w:lineRule="auto"/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</w:pP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2002 թվականի օգոստոսի 26-ին «Միդլենդ Ռեսուրսիս Հոլդինգ Լիմիթեդ» ընկերության և Հայաստանի Հանրապետության կառավարության միջև կնքված` «Հայաստանի էլեկտրական ցանցեր» փակ բաժնետիրական ընկերության 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 xml:space="preserve">բաժնետոմսերի վաճառքի պայմանագրի </w:t>
            </w:r>
            <w:r w:rsidR="0084111A" w:rsidRPr="0084111A">
              <w:rPr>
                <w:rFonts w:ascii="GHEA Grapalat" w:hAnsi="GHEA Grapalat"/>
                <w:color w:val="000000"/>
                <w:lang w:val="hy-AM" w:eastAsia="en-US"/>
              </w:rPr>
              <w:t>(</w:t>
            </w:r>
            <w:r w:rsidR="0084111A">
              <w:rPr>
                <w:rFonts w:ascii="GHEA Grapalat" w:hAnsi="GHEA Grapalat"/>
                <w:color w:val="000000"/>
                <w:lang w:val="hy-AM" w:eastAsia="en-US"/>
              </w:rPr>
              <w:t>այսուհետ՝ Պայմանագիր</w:t>
            </w:r>
            <w:r w:rsidR="0084111A" w:rsidRPr="0084111A">
              <w:rPr>
                <w:rFonts w:ascii="GHEA Grapalat" w:hAnsi="GHEA Grapalat"/>
                <w:color w:val="000000"/>
                <w:lang w:val="hy-AM" w:eastAsia="en-US"/>
              </w:rPr>
              <w:t>)</w:t>
            </w:r>
            <w:r w:rsidR="0084111A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="002968A3">
              <w:rPr>
                <w:rFonts w:ascii="GHEA Grapalat" w:hAnsi="GHEA Grapalat"/>
                <w:color w:val="000000"/>
                <w:lang w:val="hy-AM" w:eastAsia="en-US"/>
              </w:rPr>
              <w:t>6.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2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կետով սահմանվել է, որ Ընկերության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67 տոկոս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բաժնետոմսերի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գրավով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ծանրաբեռնման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դեպքում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նախապես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անհրաժեշտ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է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Courier New" w:hAnsi="Courier New" w:cs="Courier New"/>
                <w:color w:val="000000"/>
                <w:shd w:val="clear" w:color="auto" w:fill="FFFFFF"/>
                <w:lang w:val="hy-AM" w:eastAsia="en-US"/>
              </w:rPr>
              <w:t> </w:t>
            </w:r>
            <w:r w:rsidR="00AA0E44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Կ</w:t>
            </w:r>
            <w:r w:rsidRPr="007A6CD8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 xml:space="preserve">առավարության և </w:t>
            </w:r>
            <w:r w:rsidR="00AA0E44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Հ</w:t>
            </w:r>
            <w:r w:rsidRPr="007A6CD8">
              <w:rPr>
                <w:rFonts w:ascii="GHEA Grapalat" w:hAnsi="GHEA Grapalat"/>
                <w:color w:val="000000"/>
                <w:shd w:val="clear" w:color="auto" w:fill="FFFFFF"/>
                <w:lang w:val="hy-AM" w:eastAsia="en-US"/>
              </w:rPr>
              <w:t>անձնաժողովի համաձայնությունները։</w:t>
            </w:r>
          </w:p>
          <w:p w:rsidR="007A6CD8" w:rsidRPr="007A6CD8" w:rsidRDefault="007A6CD8" w:rsidP="00CF0094">
            <w:pPr>
              <w:shd w:val="clear" w:color="auto" w:fill="FFFFFF"/>
              <w:spacing w:line="360" w:lineRule="auto"/>
              <w:rPr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Այս դեպքում 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առաջանում է Նախագծի ընդունման անհրաժեշտությունը, քանի որ գրավով ծանրաբեռնվում է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100 տոկոս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բաժնետոմսերը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:</w:t>
            </w:r>
          </w:p>
          <w:p w:rsidR="007A6CD8" w:rsidRPr="007A6CD8" w:rsidRDefault="007A6CD8" w:rsidP="00CF0094">
            <w:pPr>
              <w:shd w:val="clear" w:color="auto" w:fill="FFFFFF"/>
              <w:spacing w:line="360" w:lineRule="auto"/>
              <w:rPr>
                <w:color w:val="000000"/>
                <w:lang w:val="hy-AM" w:eastAsia="en-US"/>
              </w:rPr>
            </w:pP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Տարընկալումը կանխելու համար Նախագծի նախաբանում հստակեցվել է վերը նշված 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>կարգավորման աղբյուրը՝ այն է,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="00BE3E5A" w:rsidRPr="00CF0891">
              <w:rPr>
                <w:rFonts w:ascii="GHEA Grapalat" w:hAnsi="GHEA Grapalat" w:cs="Courier New"/>
                <w:color w:val="000000"/>
                <w:lang w:val="hy-AM" w:eastAsia="en-US"/>
              </w:rPr>
              <w:t>Պ</w:t>
            </w:r>
            <w:r w:rsidRPr="00CF0891">
              <w:rPr>
                <w:rFonts w:ascii="GHEA Grapalat" w:hAnsi="GHEA Grapalat" w:cs="GHEA Grapalat"/>
                <w:color w:val="000000"/>
                <w:lang w:val="hy-AM" w:eastAsia="en-US"/>
              </w:rPr>
              <w:t>ա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յմանագրի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6.2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կետ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ը:</w:t>
            </w:r>
          </w:p>
          <w:p w:rsidR="006857CC" w:rsidRPr="004F5CA8" w:rsidRDefault="007A6CD8" w:rsidP="00CF0094">
            <w:pPr>
              <w:shd w:val="clear" w:color="auto" w:fill="FFFFFF"/>
              <w:spacing w:line="360" w:lineRule="auto"/>
              <w:rPr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Մյուս կողմից, 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Նախագծի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հավելվածների «ա» ենթակետերով սահմանվում են այլ բնույթի՝ հետագայում առաջացող հնարավոր հարաբերությունների կարգավորումը, որի համաձայն,</w:t>
            </w:r>
            <w:r w:rsidRPr="007A6CD8">
              <w:rPr>
                <w:rFonts w:ascii="Courier New" w:hAnsi="Courier New" w:cs="Courier New"/>
                <w:color w:val="000000"/>
                <w:lang w:val="hy-AM" w:eastAsia="en-US"/>
              </w:rPr>
              <w:t> 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եթե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գրավադրված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բաժնետոմսերի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նկատմամբ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տարածվի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բռնագանձում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,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ապա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այդ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դեպքում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ևս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անհրաժեշտ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է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լինելու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="00BE3E5A">
              <w:rPr>
                <w:rFonts w:ascii="GHEA Grapalat" w:hAnsi="GHEA Grapalat" w:cs="GHEA Grapalat"/>
                <w:color w:val="000000"/>
                <w:lang w:val="hy-AM" w:eastAsia="en-US"/>
              </w:rPr>
              <w:t>Կ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առավարության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Pr="007A6CD8">
              <w:rPr>
                <w:rFonts w:ascii="GHEA Grapalat" w:hAnsi="GHEA Grapalat" w:cs="GHEA Grapalat"/>
                <w:color w:val="000000"/>
                <w:lang w:val="hy-AM" w:eastAsia="en-US"/>
              </w:rPr>
              <w:t>և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="00BE3E5A">
              <w:rPr>
                <w:rFonts w:ascii="GHEA Grapalat" w:hAnsi="GHEA Grapalat"/>
                <w:color w:val="000000"/>
                <w:lang w:val="hy-AM" w:eastAsia="en-US"/>
              </w:rPr>
              <w:t>Հ</w:t>
            </w:r>
            <w:r w:rsidRPr="007A6CD8">
              <w:rPr>
                <w:rFonts w:ascii="GHEA Grapalat" w:hAnsi="GHEA Grapalat"/>
                <w:color w:val="000000"/>
                <w:lang w:val="hy-AM" w:eastAsia="en-US"/>
              </w:rPr>
              <w:t>անձնաժողովի համաձայնությունները։</w:t>
            </w:r>
          </w:p>
        </w:tc>
      </w:tr>
      <w:tr w:rsidR="007A6CD8" w:rsidRPr="002968A3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588" w:rsidRPr="00CF05F7" w:rsidRDefault="00062588" w:rsidP="00CF009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62588">
              <w:rPr>
                <w:rFonts w:ascii="GHEA Grapalat" w:hAnsi="GHEA Grapalat"/>
                <w:color w:val="000000"/>
                <w:lang w:val="hy-AM"/>
              </w:rPr>
              <w:lastRenderedPageBreak/>
              <w:t>2.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>Նախագծի</w:t>
            </w:r>
            <w:r w:rsidRPr="00696967">
              <w:rPr>
                <w:rFonts w:ascii="GHEA Grapalat" w:hAnsi="GHEA Grapalat"/>
                <w:color w:val="000000"/>
                <w:lang w:val="hy-AM"/>
              </w:rPr>
              <w:t xml:space="preserve"> վերնագիրն է </w:t>
            </w:r>
            <w:r w:rsidRPr="00CF05F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էլեկտրական ցանցեր» փակ բաժնետիրական ընկերության 100 տոկոս բաժնետոմսերի </w:t>
            </w:r>
            <w:r w:rsidRPr="00BA5AD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գրավադրման գործարքներին </w:t>
            </w:r>
            <w:r w:rsidRPr="00BA5ADC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lastRenderedPageBreak/>
              <w:t>համաձայնություն տալու մասին</w:t>
            </w:r>
            <w:r w:rsidRPr="00CF05F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696967">
              <w:rPr>
                <w:rFonts w:ascii="GHEA Grapalat" w:hAnsi="GHEA Grapalat"/>
                <w:color w:val="000000"/>
                <w:lang w:val="hy-AM"/>
              </w:rPr>
              <w:t xml:space="preserve">, Նախագծի 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1-ին և 2-րդ կետերով նախատեսվում է </w:t>
            </w:r>
            <w:r w:rsidRPr="00B14CAA">
              <w:rPr>
                <w:rFonts w:ascii="GHEA Grapalat" w:hAnsi="GHEA Grapalat"/>
                <w:b/>
                <w:color w:val="000000"/>
                <w:lang w:val="hy-AM"/>
              </w:rPr>
              <w:t>հաստատել գրավադրման պայմանների համաձայնությունը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96967">
              <w:rPr>
                <w:rFonts w:ascii="GHEA Grapalat" w:hAnsi="GHEA Grapalat"/>
                <w:color w:val="000000"/>
                <w:lang w:val="hy-AM"/>
              </w:rPr>
              <w:t>իսկ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71442">
              <w:rPr>
                <w:rFonts w:ascii="GHEA Grapalat" w:hAnsi="GHEA Grapalat"/>
                <w:color w:val="000000"/>
                <w:lang w:val="hy-AM"/>
              </w:rPr>
              <w:t xml:space="preserve">Նախագծի 1-ին և 2-րդ կետերով հաստատվող </w:t>
            </w:r>
            <w:r w:rsidRPr="002936C8">
              <w:rPr>
                <w:rFonts w:ascii="GHEA Grapalat" w:hAnsi="GHEA Grapalat"/>
                <w:color w:val="000000"/>
                <w:lang w:val="hy-AM"/>
              </w:rPr>
              <w:t>հ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ավելվածներով </w:t>
            </w:r>
            <w:r w:rsidRPr="00C471D9">
              <w:rPr>
                <w:rFonts w:ascii="GHEA Grapalat" w:hAnsi="GHEA Grapalat"/>
                <w:color w:val="000000"/>
                <w:lang w:val="hy-AM"/>
              </w:rPr>
              <w:t>(այսուհետ՝ Հավելվածներ)</w:t>
            </w:r>
            <w:r w:rsidRPr="00DA7FB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82365">
              <w:rPr>
                <w:rFonts w:ascii="GHEA Grapalat" w:hAnsi="GHEA Grapalat"/>
                <w:b/>
                <w:color w:val="000000"/>
                <w:lang w:val="hy-AM"/>
              </w:rPr>
              <w:t>համաձայնություն է տրվում գրավադրման գործարքին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 և նշվում, թե ինչ պայմաններով: Նշվա</w:t>
            </w:r>
            <w:r w:rsidR="00E729FF">
              <w:rPr>
                <w:rFonts w:ascii="GHEA Grapalat" w:hAnsi="GHEA Grapalat"/>
                <w:color w:val="000000"/>
                <w:lang w:val="hy-AM"/>
              </w:rPr>
              <w:t>ծը հաշվի առնելով՝ առաջարկում են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 կարգավորումները համապատասխանեցնել միմյանց:</w:t>
            </w:r>
          </w:p>
          <w:p w:rsidR="00062588" w:rsidRPr="00D97D60" w:rsidRDefault="00062588" w:rsidP="00CF0094">
            <w:pPr>
              <w:spacing w:line="360" w:lineRule="auto"/>
              <w:ind w:left="150"/>
              <w:rPr>
                <w:rFonts w:ascii="GHEA Grapalat" w:hAnsi="GHEA Grapalat"/>
                <w:color w:val="000000"/>
                <w:lang w:val="hy-AM" w:eastAsia="en-US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F54" w:rsidRDefault="00D05F54" w:rsidP="00CF0094">
            <w:pPr>
              <w:spacing w:line="360" w:lineRule="auto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>Ընդունվել է։</w:t>
            </w:r>
          </w:p>
          <w:p w:rsidR="00F76CE9" w:rsidRPr="00D97D60" w:rsidRDefault="006D2E9F" w:rsidP="00CF0094">
            <w:pPr>
              <w:spacing w:line="360" w:lineRule="auto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Նախագծի 1–ի</w:t>
            </w:r>
            <w:r w:rsidR="009E2138">
              <w:rPr>
                <w:rFonts w:ascii="GHEA Grapalat" w:hAnsi="GHEA Grapalat"/>
                <w:color w:val="000000"/>
                <w:lang w:val="hy-AM" w:eastAsia="en-US"/>
              </w:rPr>
              <w:t>ն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 w:rsidR="00C43B22">
              <w:rPr>
                <w:rFonts w:ascii="GHEA Grapalat" w:hAnsi="GHEA Grapalat"/>
                <w:color w:val="000000"/>
                <w:lang w:val="hy-AM" w:eastAsia="en-US"/>
              </w:rPr>
              <w:t xml:space="preserve">և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2–րդ 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lastRenderedPageBreak/>
              <w:t xml:space="preserve">կետերում </w:t>
            </w:r>
            <w:r w:rsidR="00E6140B">
              <w:rPr>
                <w:rFonts w:ascii="GHEA Grapalat" w:hAnsi="GHEA Grapalat"/>
                <w:color w:val="000000"/>
                <w:lang w:val="hy-AM" w:eastAsia="en-US"/>
              </w:rPr>
              <w:t xml:space="preserve">սահմանվել է «գրավադրման գործարքի համաձայնությունը» հասկացությունը, որն արդեն իսկ համապատասխանում է Նախագծի վերնագրին և Նախագծի հավելվածներով սահմանված հասկացություններին։ </w:t>
            </w:r>
          </w:p>
        </w:tc>
      </w:tr>
      <w:tr w:rsidR="007A6CD8" w:rsidRPr="00062588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588" w:rsidRPr="00062588" w:rsidRDefault="00062588" w:rsidP="00CF009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471D9">
              <w:rPr>
                <w:rFonts w:ascii="GHEA Grapalat" w:hAnsi="GHEA Grapalat"/>
                <w:color w:val="000000"/>
                <w:lang w:val="hy-AM"/>
              </w:rPr>
              <w:lastRenderedPageBreak/>
              <w:t>3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. Հիմք ընդունելով </w:t>
            </w:r>
            <w:r w:rsidRPr="00CF05F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>Նորմատիվ իրավական ակտերի մասին</w:t>
            </w:r>
            <w:r w:rsidRPr="00CF05F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 օրենքի 14-րդ հոդվածի 5-րդ մասը, համաձայն որի՝ </w:t>
            </w:r>
            <w:r w:rsidRPr="00CF05F7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 xml:space="preserve">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</w:t>
            </w:r>
            <w:r w:rsidRPr="00CF05F7">
              <w:rPr>
                <w:rFonts w:ascii="GHEA Grapalat" w:hAnsi="GHEA Grapalat"/>
                <w:b/>
                <w:color w:val="000000"/>
                <w:lang w:val="hy-AM"/>
              </w:rPr>
              <w:t>Կետերը համարակալվում են արաբական 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այբուբենի փոքրատառերով, որոնք տեքստից բաժանվում են միջակետով</w:t>
            </w:r>
            <w:r w:rsidRPr="00CF05F7">
              <w:rPr>
                <w:rFonts w:ascii="GHEA Grapalat" w:hAnsi="GHEA Grapalat"/>
                <w:color w:val="000000"/>
                <w:lang w:val="hy-AM"/>
              </w:rPr>
              <w:t>՝ անհրաժեշտ է Հավելվածների համարակալումը վերանայել: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2588" w:rsidRPr="00D97D60" w:rsidRDefault="00163059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Ընդունվել է։</w:t>
            </w:r>
          </w:p>
        </w:tc>
      </w:tr>
      <w:tr w:rsidR="007A6CD8" w:rsidRPr="00E009A2" w:rsidTr="00CF0094">
        <w:trPr>
          <w:trHeight w:val="1020"/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</w:tcPr>
          <w:p w:rsidR="008F7EB9" w:rsidRPr="00533E31" w:rsidRDefault="008F7EB9" w:rsidP="00CF0094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533E31">
              <w:rPr>
                <w:rFonts w:ascii="GHEA Grapalat" w:hAnsi="GHEA Grapalat"/>
                <w:color w:val="000000"/>
                <w:lang w:eastAsia="en-US"/>
              </w:rPr>
              <w:t>3</w:t>
            </w:r>
            <w:r w:rsidRPr="00E474F4">
              <w:rPr>
                <w:rFonts w:ascii="GHEA Grapalat" w:hAnsi="GHEA Grapalat"/>
                <w:color w:val="000000"/>
                <w:lang w:val="hy-AM" w:eastAsia="en-US"/>
              </w:rPr>
              <w:t xml:space="preserve">. </w:t>
            </w:r>
            <w:r w:rsidR="00533E31" w:rsidRPr="00F95256">
              <w:rPr>
                <w:rFonts w:ascii="GHEA Grapalat" w:hAnsi="GHEA Grapalat" w:cs="Sylfaen"/>
              </w:rPr>
              <w:t xml:space="preserve"> ՀՀ </w:t>
            </w:r>
            <w:r w:rsidR="00533E31" w:rsidRPr="00F95256">
              <w:rPr>
                <w:rFonts w:ascii="GHEA Grapalat" w:hAnsi="GHEA Grapalat" w:cs="Sylfaen"/>
                <w:lang w:val="hy-AM"/>
              </w:rPr>
              <w:t>էկոնոմիկայի</w:t>
            </w:r>
            <w:r w:rsidR="00533E31" w:rsidRPr="00F95256">
              <w:rPr>
                <w:rFonts w:ascii="GHEA Grapalat" w:hAnsi="GHEA Grapalat" w:cs="Sylfaen"/>
              </w:rPr>
              <w:t xml:space="preserve"> նախարարություն</w:t>
            </w:r>
            <w:r w:rsidR="00533E31" w:rsidRPr="00533E31">
              <w:rPr>
                <w:rFonts w:ascii="GHEA Grapalat" w:hAnsi="GHEA Grapalat" w:cs="Sylfaen"/>
              </w:rPr>
              <w:t xml:space="preserve"> </w:t>
            </w:r>
            <w:r w:rsidR="00533E31" w:rsidRPr="00E009A2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tbl>
            <w:tblPr>
              <w:tblpPr w:leftFromText="180" w:rightFromText="180" w:vertAnchor="page" w:horzAnchor="margin" w:tblpY="1"/>
              <w:tblOverlap w:val="never"/>
              <w:tblW w:w="296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8F7EB9" w:rsidRPr="00E009A2" w:rsidTr="005042DF">
              <w:trPr>
                <w:tblCellSpacing w:w="0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</w:tcPr>
                <w:p w:rsidR="008F7EB9" w:rsidRPr="00575C69" w:rsidRDefault="00575C69" w:rsidP="00CF0094">
                  <w:pPr>
                    <w:spacing w:line="360" w:lineRule="auto"/>
                    <w:ind w:left="165"/>
                    <w:jc w:val="center"/>
                    <w:rPr>
                      <w:rFonts w:ascii="MS Mincho" w:eastAsia="MS Mincho" w:hAnsi="MS Mincho" w:cs="MS Mincho"/>
                      <w:color w:val="000000"/>
                      <w:lang w:val="hy-AM" w:eastAsia="en-US"/>
                    </w:rPr>
                  </w:pPr>
                  <w:r w:rsidRPr="00575C69">
                    <w:rPr>
                      <w:rFonts w:ascii="GHEA Grapalat" w:hAnsi="GHEA Grapalat" w:cs="Sylfaen"/>
                    </w:rPr>
                    <w:t>19․08․2021թ․</w:t>
                  </w:r>
                </w:p>
              </w:tc>
            </w:tr>
            <w:tr w:rsidR="008F7EB9" w:rsidRPr="00E009A2" w:rsidTr="005042DF">
              <w:trPr>
                <w:tblCellSpacing w:w="0" w:type="dxa"/>
              </w:trPr>
              <w:tc>
                <w:tcPr>
                  <w:tcW w:w="2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0D0D0"/>
                </w:tcPr>
                <w:p w:rsidR="008F7EB9" w:rsidRPr="00CF0094" w:rsidRDefault="00575C69" w:rsidP="00CF0094">
                  <w:pPr>
                    <w:spacing w:line="360" w:lineRule="auto"/>
                    <w:ind w:left="165"/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  <w:r w:rsidRPr="00575C69">
                    <w:rPr>
                      <w:rFonts w:ascii="GHEA Grapalat" w:hAnsi="GHEA Grapalat" w:cs="Sylfaen"/>
                      <w:lang w:val="hy-AM"/>
                    </w:rPr>
                    <w:t>№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r w:rsidRPr="00575C69">
                    <w:rPr>
                      <w:rFonts w:ascii="GHEA Grapalat" w:hAnsi="GHEA Grapalat" w:cs="Sylfaen"/>
                      <w:lang w:val="hy-AM"/>
                    </w:rPr>
                    <w:t>01/12043-2021</w:t>
                  </w:r>
                </w:p>
              </w:tc>
            </w:tr>
          </w:tbl>
          <w:p w:rsidR="008F7EB9" w:rsidRPr="00533E31" w:rsidRDefault="008F7EB9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en-US"/>
              </w:rPr>
            </w:pPr>
          </w:p>
        </w:tc>
      </w:tr>
      <w:tr w:rsidR="007A6CD8" w:rsidRPr="00E009A2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D8D" w:rsidRPr="00F95256" w:rsidRDefault="00486084" w:rsidP="00344B34">
            <w:pPr>
              <w:autoSpaceDE w:val="0"/>
              <w:autoSpaceDN w:val="0"/>
              <w:adjustRightInd w:val="0"/>
              <w:spacing w:line="360" w:lineRule="auto"/>
              <w:ind w:right="-203" w:firstLine="720"/>
              <w:jc w:val="both"/>
              <w:rPr>
                <w:rFonts w:ascii="GHEA Grapalat" w:hAnsi="GHEA Grapalat"/>
                <w:lang w:val="hy-AM"/>
              </w:rPr>
            </w:pPr>
            <w:r w:rsidRPr="00E009A2">
              <w:rPr>
                <w:rFonts w:ascii="GHEA Grapalat" w:hAnsi="GHEA Grapalat"/>
                <w:lang w:val="hy-AM"/>
              </w:rPr>
              <w:lastRenderedPageBreak/>
              <w:t>Որոշման նախագծի վերաբերյալ</w:t>
            </w:r>
            <w:r w:rsidRPr="00486084">
              <w:rPr>
                <w:rFonts w:ascii="GHEA Grapalat" w:hAnsi="GHEA Grapalat"/>
                <w:lang w:val="hy-AM"/>
              </w:rPr>
              <w:t xml:space="preserve"> դ</w:t>
            </w:r>
            <w:r w:rsidR="00575C69" w:rsidRPr="00486084">
              <w:rPr>
                <w:rFonts w:ascii="GHEA Grapalat" w:hAnsi="GHEA Grapalat"/>
                <w:lang w:val="hy-AM"/>
              </w:rPr>
              <w:t>իտողություններ և առաջարկություններ չուն</w:t>
            </w:r>
            <w:r w:rsidR="00712B80" w:rsidRPr="00486084">
              <w:rPr>
                <w:rFonts w:ascii="GHEA Grapalat" w:hAnsi="GHEA Grapalat"/>
                <w:lang w:val="hy-AM"/>
              </w:rPr>
              <w:t>են</w:t>
            </w:r>
            <w:r w:rsidR="00575C69" w:rsidRPr="00486084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5C69" w:rsidRDefault="00575C69" w:rsidP="00CF0094">
            <w:pPr>
              <w:spacing w:line="360" w:lineRule="auto"/>
              <w:jc w:val="center"/>
              <w:rPr>
                <w:rFonts w:ascii="GHEA Grapalat" w:hAnsi="GHEA Grapalat" w:cs="Calibri"/>
                <w:color w:val="000000"/>
                <w:lang w:val="hy-AM" w:eastAsia="en-US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>Ընդունվել է</w:t>
            </w:r>
          </w:p>
          <w:p w:rsidR="006857CC" w:rsidRPr="00E474F4" w:rsidRDefault="00575C69" w:rsidP="00CF0094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en-US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 xml:space="preserve"> ի գիտություն:</w:t>
            </w:r>
          </w:p>
        </w:tc>
      </w:tr>
      <w:tr w:rsidR="007A6CD8" w:rsidRPr="00E009A2" w:rsidTr="00CF0094">
        <w:trPr>
          <w:trHeight w:val="540"/>
          <w:tblCellSpacing w:w="0" w:type="dxa"/>
        </w:trPr>
        <w:tc>
          <w:tcPr>
            <w:tcW w:w="10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256" w:rsidRPr="00533E31" w:rsidRDefault="003B6D8D" w:rsidP="00CF0094">
            <w:pPr>
              <w:spacing w:line="360" w:lineRule="auto"/>
              <w:ind w:left="150" w:right="22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4. </w:t>
            </w:r>
            <w:r w:rsidR="00533E31" w:rsidRPr="00E009A2">
              <w:rPr>
                <w:rFonts w:ascii="GHEA Grapalat" w:hAnsi="GHEA Grapalat" w:cs="Sylfaen"/>
                <w:lang w:val="hy-AM"/>
              </w:rPr>
              <w:t>ՀՀ հանրային ծառայությունները կարգավորող հանձնաժողով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E009A2" w:rsidRDefault="00062588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E009A2">
              <w:rPr>
                <w:rFonts w:ascii="GHEA Grapalat" w:hAnsi="GHEA Grapalat" w:cs="Sylfaen"/>
                <w:lang w:val="hy-AM"/>
              </w:rPr>
              <w:t>.202</w:t>
            </w:r>
            <w:r w:rsidRPr="00E009A2">
              <w:rPr>
                <w:rFonts w:ascii="GHEA Grapalat" w:hAnsi="GHEA Grapalat" w:cs="Sylfaen"/>
                <w:lang w:val="en-US"/>
              </w:rPr>
              <w:t>1</w:t>
            </w:r>
            <w:r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E009A2" w:rsidTr="00CF0094">
        <w:trPr>
          <w:trHeight w:val="450"/>
          <w:tblCellSpacing w:w="0" w:type="dxa"/>
        </w:trPr>
        <w:tc>
          <w:tcPr>
            <w:tcW w:w="10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95256" w:rsidRDefault="00F95256" w:rsidP="00CF0094">
            <w:pPr>
              <w:spacing w:line="360" w:lineRule="auto"/>
              <w:ind w:right="225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E009A2" w:rsidRDefault="00DD4B2E" w:rsidP="00CF0094">
            <w:pPr>
              <w:spacing w:line="360" w:lineRule="auto"/>
              <w:ind w:left="165"/>
              <w:rPr>
                <w:rFonts w:ascii="GHEA Grapalat" w:hAnsi="GHEA Grapalat"/>
                <w:b/>
                <w:lang w:val="hy-AM"/>
              </w:rPr>
            </w:pPr>
            <w:r w:rsidRPr="00DD4B2E">
              <w:rPr>
                <w:rFonts w:ascii="GHEA Grapalat" w:hAnsi="GHEA Grapalat" w:cs="Sylfaen"/>
              </w:rPr>
              <w:t>№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062588" w:rsidRPr="00062588">
              <w:rPr>
                <w:rFonts w:ascii="GHEA Grapalat" w:hAnsi="GHEA Grapalat" w:cs="Sylfaen"/>
              </w:rPr>
              <w:t>ԳԲ/34.1-Մ2-2/2801-2021</w:t>
            </w:r>
          </w:p>
        </w:tc>
      </w:tr>
      <w:tr w:rsidR="007A6CD8" w:rsidRPr="00E009A2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5256" w:rsidRPr="003B6D8D" w:rsidRDefault="00062588" w:rsidP="00344B34">
            <w:pPr>
              <w:autoSpaceDE w:val="0"/>
              <w:autoSpaceDN w:val="0"/>
              <w:adjustRightInd w:val="0"/>
              <w:spacing w:line="360" w:lineRule="auto"/>
              <w:ind w:right="-203" w:firstLine="720"/>
              <w:jc w:val="both"/>
              <w:rPr>
                <w:rFonts w:ascii="GHEA Grapalat" w:hAnsi="GHEA Grapalat"/>
              </w:rPr>
            </w:pPr>
            <w:r w:rsidRPr="00E009A2">
              <w:rPr>
                <w:rFonts w:ascii="GHEA Grapalat" w:hAnsi="GHEA Grapalat"/>
                <w:lang w:val="hy-AM"/>
              </w:rPr>
              <w:t>Որոշման նախագծի վերաբերյալ</w:t>
            </w:r>
            <w:r w:rsidRPr="00A64D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B72FE">
              <w:rPr>
                <w:rFonts w:ascii="GHEA Grapalat" w:hAnsi="GHEA Grapalat"/>
                <w:color w:val="000000"/>
                <w:lang w:val="hy-AM"/>
              </w:rPr>
              <w:t>առարկություններ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0B72FE">
              <w:rPr>
                <w:rFonts w:ascii="GHEA Grapalat" w:hAnsi="GHEA Grapalat"/>
                <w:color w:val="00000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bookmarkStart w:id="0" w:name="_GoBack"/>
            <w:bookmarkEnd w:id="0"/>
            <w:r w:rsidRPr="000B72FE">
              <w:rPr>
                <w:rFonts w:ascii="GHEA Grapalat" w:hAnsi="GHEA Grapalat"/>
                <w:color w:val="000000"/>
                <w:lang w:val="hy-AM"/>
              </w:rPr>
              <w:t>առաջարկություններ</w:t>
            </w:r>
            <w:r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0B72FE">
              <w:rPr>
                <w:rFonts w:ascii="GHEA Grapalat" w:hAnsi="GHEA Grapalat"/>
                <w:color w:val="000000"/>
                <w:lang w:val="hy-AM"/>
              </w:rPr>
              <w:t>չուն</w:t>
            </w:r>
            <w:r w:rsidR="00712B80">
              <w:rPr>
                <w:rFonts w:ascii="GHEA Grapalat" w:hAnsi="GHEA Grapalat"/>
                <w:color w:val="000000"/>
                <w:lang w:val="hy-AM"/>
              </w:rPr>
              <w:t>են</w:t>
            </w:r>
            <w:r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95256" w:rsidRPr="004D4460" w:rsidRDefault="00062588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>Ընդունվել է ի գիտություն:</w:t>
            </w:r>
          </w:p>
        </w:tc>
      </w:tr>
      <w:tr w:rsidR="007A6CD8" w:rsidRPr="00E009A2" w:rsidTr="00CF0094">
        <w:trPr>
          <w:trHeight w:val="630"/>
          <w:tblCellSpacing w:w="0" w:type="dxa"/>
        </w:trPr>
        <w:tc>
          <w:tcPr>
            <w:tcW w:w="10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256" w:rsidRPr="00F95256" w:rsidRDefault="003B6D8D" w:rsidP="00CF0094">
            <w:pPr>
              <w:spacing w:line="360" w:lineRule="auto"/>
              <w:ind w:left="150" w:right="22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5. </w:t>
            </w:r>
            <w:r w:rsidR="00F95256" w:rsidRPr="00F95256">
              <w:rPr>
                <w:rFonts w:ascii="GHEA Grapalat" w:hAnsi="GHEA Grapalat" w:cs="Sylfaen"/>
              </w:rPr>
              <w:t xml:space="preserve">ՀՀ </w:t>
            </w:r>
            <w:r w:rsidR="00F95256" w:rsidRPr="00F95256">
              <w:rPr>
                <w:rFonts w:ascii="GHEA Grapalat" w:hAnsi="GHEA Grapalat" w:cs="Sylfaen"/>
                <w:lang w:val="hy-AM"/>
              </w:rPr>
              <w:t>կենտրոնական բանկ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E009A2" w:rsidRDefault="009879BD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E009A2">
              <w:rPr>
                <w:rFonts w:ascii="GHEA Grapalat" w:hAnsi="GHEA Grapalat" w:cs="Sylfaen"/>
                <w:lang w:val="hy-AM"/>
              </w:rPr>
              <w:t>.202</w:t>
            </w:r>
            <w:r w:rsidRPr="00E009A2">
              <w:rPr>
                <w:rFonts w:ascii="GHEA Grapalat" w:hAnsi="GHEA Grapalat" w:cs="Sylfaen"/>
                <w:lang w:val="en-US"/>
              </w:rPr>
              <w:t>1</w:t>
            </w:r>
            <w:r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E009A2" w:rsidTr="00CF0094">
        <w:trPr>
          <w:trHeight w:val="360"/>
          <w:tblCellSpacing w:w="0" w:type="dxa"/>
        </w:trPr>
        <w:tc>
          <w:tcPr>
            <w:tcW w:w="10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95256" w:rsidRDefault="00F95256" w:rsidP="00CF0094">
            <w:pPr>
              <w:spacing w:line="360" w:lineRule="auto"/>
              <w:ind w:right="225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9879BD" w:rsidRDefault="00DD4B2E" w:rsidP="00CF0094">
            <w:pPr>
              <w:spacing w:line="360" w:lineRule="auto"/>
              <w:ind w:left="165"/>
              <w:jc w:val="center"/>
              <w:rPr>
                <w:rFonts w:ascii="GHEA Grapalat" w:hAnsi="GHEA Grapalat" w:cs="Sylfaen"/>
              </w:rPr>
            </w:pPr>
            <w:r w:rsidRPr="00DD4B2E">
              <w:rPr>
                <w:rFonts w:ascii="GHEA Grapalat" w:hAnsi="GHEA Grapalat" w:cs="Sylfaen"/>
              </w:rPr>
              <w:t>№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9879BD" w:rsidRPr="009879BD">
              <w:rPr>
                <w:rFonts w:ascii="GHEA Grapalat" w:hAnsi="GHEA Grapalat" w:cs="Sylfaen"/>
              </w:rPr>
              <w:t>15-07/000623-21</w:t>
            </w:r>
          </w:p>
        </w:tc>
      </w:tr>
      <w:tr w:rsidR="007A6CD8" w:rsidRPr="009879BD" w:rsidTr="00CF0094">
        <w:trPr>
          <w:trHeight w:val="633"/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5256" w:rsidRDefault="009879BD" w:rsidP="00CF0094">
            <w:pPr>
              <w:spacing w:line="360" w:lineRule="auto"/>
              <w:ind w:right="225" w:firstLine="720"/>
              <w:jc w:val="both"/>
              <w:rPr>
                <w:rFonts w:ascii="GHEA Grapalat" w:hAnsi="GHEA Grapalat" w:cs="Tahoma"/>
                <w:bCs/>
                <w:lang w:val="hy-AM"/>
              </w:rPr>
            </w:pPr>
            <w:r>
              <w:rPr>
                <w:rFonts w:ascii="GHEA Grapalat" w:hAnsi="GHEA Grapalat" w:cs="Tahoma"/>
                <w:bCs/>
                <w:lang w:val="hy-AM"/>
              </w:rPr>
              <w:t>Նախագծի վերաբերյալ հայտնում են</w:t>
            </w:r>
            <w:r w:rsidRPr="002D5AEC">
              <w:rPr>
                <w:rFonts w:ascii="GHEA Grapalat" w:hAnsi="GHEA Grapalat" w:cs="Tahoma"/>
                <w:bCs/>
                <w:lang w:val="hy-AM"/>
              </w:rPr>
              <w:t xml:space="preserve"> հետևյալը.</w:t>
            </w:r>
          </w:p>
          <w:p w:rsidR="009879BD" w:rsidRPr="004A1724" w:rsidRDefault="009879BD" w:rsidP="00CF0094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9879BD">
              <w:rPr>
                <w:rFonts w:ascii="GHEA Grapalat" w:hAnsi="GHEA Grapalat" w:cs="Tahoma"/>
                <w:lang w:val="hy-AM"/>
              </w:rPr>
              <w:t>Հայաստանի Հանրապետության</w:t>
            </w:r>
            <w:r>
              <w:rPr>
                <w:rFonts w:ascii="GHEA Grapalat" w:hAnsi="GHEA Grapalat" w:cs="Tahoma"/>
                <w:bCs/>
                <w:lang w:val="hy-AM"/>
              </w:rPr>
              <w:t xml:space="preserve"> կենտրոնական բանկը նախկինում հայտնել է իր դիրքորոշումն առ այն, որ </w:t>
            </w:r>
            <w:r>
              <w:rPr>
                <w:rFonts w:ascii="GHEA Grapalat" w:hAnsi="GHEA Grapalat"/>
                <w:lang w:val="hy-AM"/>
              </w:rPr>
              <w:t>«</w:t>
            </w:r>
            <w:r w:rsidRPr="004F7B1E">
              <w:rPr>
                <w:rFonts w:ascii="GHEA Grapalat" w:hAnsi="GHEA Grapalat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էլեկտրական ցանցեր» ՓԲԸ-ն, որպես խոշոր ենթակառուցվածքային ընկերություն, կապիտալի շուկայում պոտենցիալ թողարկողներից մեկն է և ունի իրական հնարավորություններ կապիտալի շուկայում երկարաժամկետ և էժան ռեսուրսների ներգրավման համար: Ֆինանսավորման այդ եղանակը ոչ միայն չի բացառում միջազգային ֆինանսական կառույցների կողմից իրականացվող ներդրումները, այլև ընդլայնում է ներդրողների շրջանակը՝ ներառելով հասարակությանը և այլ ինստիտուցիոնալ ներդրողների, ի դեմս կենսաթոշակային ֆոնդերի: Այս հանգամանքը հաշվի առնելով է ՀՀ կառավարությունը իր 16</w:t>
            </w:r>
            <w:r w:rsidRPr="00C94EA3">
              <w:rPr>
                <w:rFonts w:ascii="GHEA Grapalat" w:hAnsi="GHEA Grapalat"/>
                <w:lang w:val="hy-AM"/>
              </w:rPr>
              <w:t>.07.</w:t>
            </w:r>
            <w:r>
              <w:rPr>
                <w:rFonts w:ascii="GHEA Grapalat" w:hAnsi="GHEA Grapalat"/>
                <w:lang w:val="hy-AM"/>
              </w:rPr>
              <w:t>2020թ</w:t>
            </w:r>
            <w:r w:rsidRPr="00C94EA3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թիվ 1202-Լ որոշմամբ հաստատված «Կապիտալի շուկայի զարգացման ծրագրով» նախատեսել միջոցառումներ խոշոր ենթակառուցվածքային ընկերությունների կողմից կապիտալի շուկայի միջոցով ներդրումների ներգրավման</w:t>
            </w:r>
            <w:r w:rsidRPr="009879BD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աջակց</w:t>
            </w:r>
            <w:r w:rsidRPr="009879BD">
              <w:rPr>
                <w:rFonts w:ascii="GHEA Grapalat" w:hAnsi="GHEA Grapalat"/>
                <w:lang w:val="hy-AM"/>
              </w:rPr>
              <w:t>ելու</w:t>
            </w:r>
            <w:r>
              <w:rPr>
                <w:rFonts w:ascii="GHEA Grapalat" w:hAnsi="GHEA Grapalat"/>
                <w:lang w:val="hy-AM"/>
              </w:rPr>
              <w:t>, օրենսդրական խոչընդոտների վերացն</w:t>
            </w:r>
            <w:r w:rsidRPr="009879BD">
              <w:rPr>
                <w:rFonts w:ascii="GHEA Grapalat" w:hAnsi="GHEA Grapalat"/>
                <w:lang w:val="hy-AM"/>
              </w:rPr>
              <w:t>ելու</w:t>
            </w:r>
            <w:r>
              <w:rPr>
                <w:rFonts w:ascii="GHEA Grapalat" w:hAnsi="GHEA Grapalat"/>
                <w:lang w:val="hy-AM"/>
              </w:rPr>
              <w:t xml:space="preserve"> ուղղությամբ։ Կապիտալի շուկայի զարգացման ուղղությամբ նաև երկարաժամկետ ծրագրեր են իրականացվում միջազգային ֆինանսական կառույցների, այդ թվում՝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Ասիական զարգացման բանկի, Վերակառուցման և Զարգացման Եվրոպական Բանկի հետ: </w:t>
            </w:r>
          </w:p>
          <w:p w:rsidR="009879BD" w:rsidRDefault="009879BD" w:rsidP="00CF0094">
            <w:pPr>
              <w:spacing w:line="360" w:lineRule="auto"/>
              <w:ind w:firstLine="720"/>
              <w:jc w:val="both"/>
              <w:rPr>
                <w:rFonts w:ascii="GHEA Grapalat" w:hAnsi="GHEA Grapalat" w:cs="Tahoma"/>
                <w:bCs/>
                <w:lang w:val="hy-AM"/>
              </w:rPr>
            </w:pPr>
            <w:r>
              <w:rPr>
                <w:rFonts w:ascii="GHEA Grapalat" w:hAnsi="GHEA Grapalat" w:cs="Tahoma"/>
                <w:bCs/>
                <w:lang w:val="hy-AM"/>
              </w:rPr>
              <w:t xml:space="preserve">Այնուամենայնիվ՝ հաշվի առնելով, որ գրությամբ նշված վարկային պայմանագրերն արդեն իսկ կնքվել են և վերջիններիս չեղարկումը կարող է բացասական ազդեցություն ունենալ կազմակերպության ֆինանսական հոսքերի և հաշվեկշռի վրա, առարկություն չեն ներկայացնում ներկայացված որոշման նախագծի վերաբերյալ: </w:t>
            </w:r>
          </w:p>
          <w:p w:rsidR="009879BD" w:rsidRDefault="009879BD" w:rsidP="00CF0094">
            <w:pPr>
              <w:spacing w:line="360" w:lineRule="auto"/>
              <w:ind w:firstLine="720"/>
              <w:jc w:val="both"/>
              <w:rPr>
                <w:rFonts w:ascii="GHEA Grapalat" w:hAnsi="GHEA Grapalat" w:cs="Tahoma"/>
                <w:bCs/>
                <w:lang w:val="hy-AM"/>
              </w:rPr>
            </w:pPr>
            <w:r>
              <w:rPr>
                <w:rFonts w:ascii="GHEA Grapalat" w:hAnsi="GHEA Grapalat" w:cs="Tahoma"/>
                <w:bCs/>
                <w:lang w:val="hy-AM"/>
              </w:rPr>
              <w:t xml:space="preserve">Բացի այդ, կարծում են, որ կազմակերպությունը դեռևս ներուժ ունի ակտիվ վարքագիծ դրսևորել ֆինանսական շուկաներում: Կազմակերպության ղեկավարության հետ քննարկման արդյունքում պայմանավորվածություն են ձեռք բերել և կազմակերպությունը հայտնել է հայաստանյան շուկայում թողարկումներ իրականացնելու և </w:t>
            </w:r>
            <w:r w:rsidRPr="009879BD">
              <w:rPr>
                <w:rFonts w:ascii="GHEA Grapalat" w:hAnsi="GHEA Grapalat" w:cs="Tahoma"/>
                <w:lang w:val="hy-AM"/>
              </w:rPr>
              <w:t>Հայաստանի Հանրապետության</w:t>
            </w:r>
            <w:r>
              <w:rPr>
                <w:rFonts w:ascii="GHEA Grapalat" w:hAnsi="GHEA Grapalat" w:cs="Tahoma"/>
                <w:bCs/>
                <w:lang w:val="hy-AM"/>
              </w:rPr>
              <w:t xml:space="preserve"> կենտրոնական բանկի հետ համագործակցելու պատրաստակամություն: </w:t>
            </w:r>
          </w:p>
          <w:p w:rsidR="009879BD" w:rsidRPr="009879BD" w:rsidRDefault="009879BD" w:rsidP="00CF0094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Tahoma"/>
                <w:bCs/>
                <w:lang w:val="hy-AM"/>
              </w:rPr>
              <w:t xml:space="preserve">Առաջարկում են կազմակերպության և </w:t>
            </w:r>
            <w:r w:rsidRPr="009879BD">
              <w:rPr>
                <w:rFonts w:ascii="GHEA Grapalat" w:hAnsi="GHEA Grapalat" w:cs="Tahoma"/>
                <w:bCs/>
                <w:lang w:val="hy-AM"/>
              </w:rPr>
              <w:t>ՀՀ կ</w:t>
            </w:r>
            <w:r>
              <w:rPr>
                <w:rFonts w:ascii="GHEA Grapalat" w:hAnsi="GHEA Grapalat" w:cs="Tahoma"/>
                <w:bCs/>
                <w:lang w:val="hy-AM"/>
              </w:rPr>
              <w:t xml:space="preserve">առավարության հարաբերություններում և </w:t>
            </w:r>
            <w:r w:rsidRPr="009879BD">
              <w:rPr>
                <w:rFonts w:ascii="GHEA Grapalat" w:hAnsi="GHEA Grapalat" w:cs="Tahoma"/>
                <w:bCs/>
                <w:lang w:val="hy-AM"/>
              </w:rPr>
              <w:t>ՀՀ կ</w:t>
            </w:r>
            <w:r>
              <w:rPr>
                <w:rFonts w:ascii="GHEA Grapalat" w:hAnsi="GHEA Grapalat" w:cs="Tahoma"/>
                <w:bCs/>
                <w:lang w:val="hy-AM"/>
              </w:rPr>
              <w:t xml:space="preserve">առավարության դիրքորոշման մեջ արձանագրել վերը նշված պայմանավորվածությունը: 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95256" w:rsidRPr="004D4460" w:rsidRDefault="009879BD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lastRenderedPageBreak/>
              <w:t>Ընդունվել է ի գիտություն:</w:t>
            </w:r>
          </w:p>
        </w:tc>
      </w:tr>
      <w:tr w:rsidR="007A6CD8" w:rsidRPr="00E009A2" w:rsidTr="00CF0094">
        <w:trPr>
          <w:trHeight w:val="525"/>
          <w:tblCellSpacing w:w="0" w:type="dxa"/>
        </w:trPr>
        <w:tc>
          <w:tcPr>
            <w:tcW w:w="100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5256" w:rsidRPr="00F95256" w:rsidRDefault="003B6D8D" w:rsidP="00CF0094">
            <w:pPr>
              <w:spacing w:line="360" w:lineRule="auto"/>
              <w:ind w:left="150" w:right="22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6. </w:t>
            </w:r>
            <w:r w:rsidR="00F95256" w:rsidRPr="00F95256">
              <w:rPr>
                <w:rFonts w:ascii="GHEA Grapalat" w:hAnsi="GHEA Grapalat" w:cs="Sylfaen"/>
              </w:rPr>
              <w:t xml:space="preserve">ՀՀ </w:t>
            </w:r>
            <w:r w:rsidR="00F95256" w:rsidRPr="00F95256">
              <w:rPr>
                <w:rFonts w:ascii="GHEA Grapalat" w:hAnsi="GHEA Grapalat" w:cs="Sylfaen"/>
                <w:lang w:val="hy-AM"/>
              </w:rPr>
              <w:t>պետական եկամուտների կոմիտե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E009A2" w:rsidRDefault="00601B05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7</w:t>
            </w:r>
            <w:r>
              <w:rPr>
                <w:rFonts w:ascii="GHEA Grapalat" w:hAnsi="GHEA Grapalat" w:cs="Sylfaen"/>
              </w:rPr>
              <w:t>.0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E009A2">
              <w:rPr>
                <w:rFonts w:ascii="GHEA Grapalat" w:hAnsi="GHEA Grapalat" w:cs="Sylfaen"/>
                <w:lang w:val="hy-AM"/>
              </w:rPr>
              <w:t>.202</w:t>
            </w:r>
            <w:r w:rsidRPr="00E009A2">
              <w:rPr>
                <w:rFonts w:ascii="GHEA Grapalat" w:hAnsi="GHEA Grapalat" w:cs="Sylfaen"/>
                <w:lang w:val="en-US"/>
              </w:rPr>
              <w:t>1</w:t>
            </w:r>
            <w:r w:rsidRPr="00E009A2">
              <w:rPr>
                <w:rFonts w:ascii="GHEA Grapalat" w:hAnsi="GHEA Grapalat" w:cs="Sylfaen"/>
                <w:lang w:val="hy-AM"/>
              </w:rPr>
              <w:t>թ.</w:t>
            </w:r>
          </w:p>
        </w:tc>
      </w:tr>
      <w:tr w:rsidR="007A6CD8" w:rsidRPr="00E009A2" w:rsidTr="00CF0094">
        <w:trPr>
          <w:trHeight w:val="375"/>
          <w:tblCellSpacing w:w="0" w:type="dxa"/>
        </w:trPr>
        <w:tc>
          <w:tcPr>
            <w:tcW w:w="100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95256" w:rsidRDefault="00F95256" w:rsidP="00CF0094">
            <w:pPr>
              <w:spacing w:line="360" w:lineRule="auto"/>
              <w:ind w:right="225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95256" w:rsidRPr="00601B05" w:rsidRDefault="00DD4B2E" w:rsidP="00CF0094">
            <w:pPr>
              <w:spacing w:line="360" w:lineRule="auto"/>
              <w:ind w:left="165"/>
              <w:jc w:val="center"/>
              <w:rPr>
                <w:rFonts w:ascii="GHEA Grapalat" w:hAnsi="GHEA Grapalat" w:cs="Sylfaen"/>
              </w:rPr>
            </w:pPr>
            <w:r w:rsidRPr="00DD4B2E">
              <w:rPr>
                <w:rFonts w:ascii="GHEA Grapalat" w:hAnsi="GHEA Grapalat" w:cs="Sylfaen"/>
              </w:rPr>
              <w:t>№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601B05" w:rsidRPr="00601B05">
              <w:rPr>
                <w:rFonts w:ascii="GHEA Grapalat" w:hAnsi="GHEA Grapalat" w:cs="Sylfaen"/>
              </w:rPr>
              <w:t>01/3-3/50809-2021</w:t>
            </w:r>
          </w:p>
        </w:tc>
      </w:tr>
      <w:tr w:rsidR="007A6CD8" w:rsidRPr="00E009A2" w:rsidTr="00CF0094">
        <w:trPr>
          <w:tblCellSpacing w:w="0" w:type="dxa"/>
        </w:trPr>
        <w:tc>
          <w:tcPr>
            <w:tcW w:w="10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95256" w:rsidRPr="00601B05" w:rsidRDefault="00601B05" w:rsidP="00572AB0">
            <w:pPr>
              <w:shd w:val="clear" w:color="auto" w:fill="FFFFFF"/>
              <w:spacing w:line="360" w:lineRule="auto"/>
              <w:ind w:right="-1051" w:firstLine="720"/>
              <w:jc w:val="both"/>
              <w:rPr>
                <w:rFonts w:ascii="GHEA Grapalat" w:hAnsi="GHEA Grapalat"/>
                <w:lang w:val="hy-AM"/>
              </w:rPr>
            </w:pPr>
            <w:r w:rsidRPr="00E009A2">
              <w:rPr>
                <w:rFonts w:ascii="GHEA Grapalat" w:hAnsi="GHEA Grapalat"/>
                <w:lang w:val="hy-AM"/>
              </w:rPr>
              <w:t>Որոշման նախագծի վերաբերյալ</w:t>
            </w:r>
            <w:r w:rsidRPr="00A64D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առաջարկություններ չունեն: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95256" w:rsidRPr="004D4460" w:rsidRDefault="00601B05" w:rsidP="00CF0094">
            <w:pPr>
              <w:spacing w:line="360" w:lineRule="auto"/>
              <w:ind w:left="165"/>
              <w:jc w:val="center"/>
              <w:rPr>
                <w:rFonts w:ascii="GHEA Grapalat" w:hAnsi="GHEA Grapalat"/>
                <w:b/>
                <w:lang w:val="hy-AM"/>
              </w:rPr>
            </w:pPr>
            <w:r w:rsidRPr="004D4460">
              <w:rPr>
                <w:rFonts w:ascii="GHEA Grapalat" w:hAnsi="GHEA Grapalat" w:cs="Calibri"/>
                <w:color w:val="000000"/>
                <w:lang w:val="hy-AM" w:eastAsia="en-US"/>
              </w:rPr>
              <w:t>Ընդունվել է ի գիտություն:</w:t>
            </w:r>
          </w:p>
        </w:tc>
      </w:tr>
    </w:tbl>
    <w:p w:rsidR="008F7EB9" w:rsidRPr="00E009A2" w:rsidRDefault="008F7EB9" w:rsidP="00CF009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8F7EB9" w:rsidRPr="00E009A2" w:rsidRDefault="008F7EB9" w:rsidP="00CF009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lang w:val="hy-AM"/>
        </w:rPr>
      </w:pPr>
    </w:p>
    <w:p w:rsidR="00E474F4" w:rsidRPr="00655FBB" w:rsidRDefault="00E474F4" w:rsidP="00655FBB">
      <w:pPr>
        <w:shd w:val="clear" w:color="auto" w:fill="FFFFFF"/>
        <w:spacing w:line="360" w:lineRule="auto"/>
        <w:rPr>
          <w:rFonts w:ascii="Sylfaen" w:hAnsi="Sylfaen"/>
          <w:color w:val="000000"/>
          <w:lang w:val="en-US" w:eastAsia="en-US"/>
        </w:rPr>
      </w:pPr>
    </w:p>
    <w:sectPr w:rsidR="00E474F4" w:rsidRPr="00655FBB" w:rsidSect="004F5CA8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1E6A"/>
    <w:multiLevelType w:val="hybridMultilevel"/>
    <w:tmpl w:val="122C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40BF2"/>
    <w:multiLevelType w:val="hybridMultilevel"/>
    <w:tmpl w:val="D38ACBB0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ABB2EB0"/>
    <w:multiLevelType w:val="hybridMultilevel"/>
    <w:tmpl w:val="49DAAC60"/>
    <w:lvl w:ilvl="0" w:tplc="307C5F6E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173F"/>
    <w:multiLevelType w:val="hybridMultilevel"/>
    <w:tmpl w:val="E69C74F4"/>
    <w:lvl w:ilvl="0" w:tplc="6A4089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03D02"/>
    <w:multiLevelType w:val="hybridMultilevel"/>
    <w:tmpl w:val="544EB038"/>
    <w:lvl w:ilvl="0" w:tplc="13D89F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50ED4D38"/>
    <w:multiLevelType w:val="hybridMultilevel"/>
    <w:tmpl w:val="3C4468B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3444800"/>
    <w:multiLevelType w:val="hybridMultilevel"/>
    <w:tmpl w:val="4EEC1F92"/>
    <w:lvl w:ilvl="0" w:tplc="80DCF882">
      <w:start w:val="1"/>
      <w:numFmt w:val="decimal"/>
      <w:lvlText w:val="%1."/>
      <w:lvlJc w:val="left"/>
      <w:pPr>
        <w:ind w:left="51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3EF7A35"/>
    <w:multiLevelType w:val="hybridMultilevel"/>
    <w:tmpl w:val="4196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C2D"/>
    <w:rsid w:val="00021FB0"/>
    <w:rsid w:val="00053E09"/>
    <w:rsid w:val="00062588"/>
    <w:rsid w:val="0006685E"/>
    <w:rsid w:val="00080CB5"/>
    <w:rsid w:val="000846EA"/>
    <w:rsid w:val="00091EC9"/>
    <w:rsid w:val="000C4D51"/>
    <w:rsid w:val="000D52B1"/>
    <w:rsid w:val="000D5816"/>
    <w:rsid w:val="00117120"/>
    <w:rsid w:val="00133C31"/>
    <w:rsid w:val="00151484"/>
    <w:rsid w:val="00163059"/>
    <w:rsid w:val="0018373E"/>
    <w:rsid w:val="001858FF"/>
    <w:rsid w:val="001A21E5"/>
    <w:rsid w:val="001B10BA"/>
    <w:rsid w:val="001B3A41"/>
    <w:rsid w:val="001C1903"/>
    <w:rsid w:val="001E3E24"/>
    <w:rsid w:val="001E7FE0"/>
    <w:rsid w:val="001F085C"/>
    <w:rsid w:val="001F3D8A"/>
    <w:rsid w:val="002006E5"/>
    <w:rsid w:val="00206285"/>
    <w:rsid w:val="002127C2"/>
    <w:rsid w:val="00214D3B"/>
    <w:rsid w:val="00217F0E"/>
    <w:rsid w:val="00242CB4"/>
    <w:rsid w:val="00252E74"/>
    <w:rsid w:val="002822EE"/>
    <w:rsid w:val="00287403"/>
    <w:rsid w:val="002931E6"/>
    <w:rsid w:val="00295DF4"/>
    <w:rsid w:val="002968A3"/>
    <w:rsid w:val="002B1A81"/>
    <w:rsid w:val="002B4EB5"/>
    <w:rsid w:val="002B50D6"/>
    <w:rsid w:val="002B6490"/>
    <w:rsid w:val="002D6989"/>
    <w:rsid w:val="002E3961"/>
    <w:rsid w:val="002E46AE"/>
    <w:rsid w:val="002E4B39"/>
    <w:rsid w:val="002E6294"/>
    <w:rsid w:val="00334833"/>
    <w:rsid w:val="00336C2D"/>
    <w:rsid w:val="003443A5"/>
    <w:rsid w:val="00344B34"/>
    <w:rsid w:val="0035051C"/>
    <w:rsid w:val="00355268"/>
    <w:rsid w:val="00364760"/>
    <w:rsid w:val="0038274D"/>
    <w:rsid w:val="003866FD"/>
    <w:rsid w:val="0039563D"/>
    <w:rsid w:val="003A2D6C"/>
    <w:rsid w:val="003A7312"/>
    <w:rsid w:val="003B6D8D"/>
    <w:rsid w:val="004027E7"/>
    <w:rsid w:val="00403B4D"/>
    <w:rsid w:val="004046EC"/>
    <w:rsid w:val="00412AC5"/>
    <w:rsid w:val="00416190"/>
    <w:rsid w:val="00426F92"/>
    <w:rsid w:val="004474FD"/>
    <w:rsid w:val="00450A84"/>
    <w:rsid w:val="004727F0"/>
    <w:rsid w:val="00486084"/>
    <w:rsid w:val="00494410"/>
    <w:rsid w:val="004947CD"/>
    <w:rsid w:val="004A1800"/>
    <w:rsid w:val="004B2113"/>
    <w:rsid w:val="004D4460"/>
    <w:rsid w:val="004E16BE"/>
    <w:rsid w:val="004F5CA8"/>
    <w:rsid w:val="005042DF"/>
    <w:rsid w:val="005057C1"/>
    <w:rsid w:val="00531228"/>
    <w:rsid w:val="00533E31"/>
    <w:rsid w:val="00542D38"/>
    <w:rsid w:val="0055258C"/>
    <w:rsid w:val="00561282"/>
    <w:rsid w:val="00561E5B"/>
    <w:rsid w:val="00572AB0"/>
    <w:rsid w:val="00575C69"/>
    <w:rsid w:val="005871D4"/>
    <w:rsid w:val="005B1805"/>
    <w:rsid w:val="005C7E0D"/>
    <w:rsid w:val="005D3EF6"/>
    <w:rsid w:val="005E7A9E"/>
    <w:rsid w:val="005F164B"/>
    <w:rsid w:val="0060190E"/>
    <w:rsid w:val="00601B05"/>
    <w:rsid w:val="00613389"/>
    <w:rsid w:val="00615EA5"/>
    <w:rsid w:val="0062070B"/>
    <w:rsid w:val="006253B2"/>
    <w:rsid w:val="006357D6"/>
    <w:rsid w:val="00647A04"/>
    <w:rsid w:val="00655FBB"/>
    <w:rsid w:val="006719AC"/>
    <w:rsid w:val="006857CC"/>
    <w:rsid w:val="0069670C"/>
    <w:rsid w:val="006B4E90"/>
    <w:rsid w:val="006C0219"/>
    <w:rsid w:val="006D2E9F"/>
    <w:rsid w:val="006D4456"/>
    <w:rsid w:val="007049AE"/>
    <w:rsid w:val="007077D2"/>
    <w:rsid w:val="00712B80"/>
    <w:rsid w:val="00727E6E"/>
    <w:rsid w:val="007A6CD8"/>
    <w:rsid w:val="007B45E9"/>
    <w:rsid w:val="007B4A89"/>
    <w:rsid w:val="007C30DE"/>
    <w:rsid w:val="007D0867"/>
    <w:rsid w:val="007F5A9A"/>
    <w:rsid w:val="007F7B5A"/>
    <w:rsid w:val="0080172C"/>
    <w:rsid w:val="008264DD"/>
    <w:rsid w:val="00830495"/>
    <w:rsid w:val="0084111A"/>
    <w:rsid w:val="0084774F"/>
    <w:rsid w:val="008517A4"/>
    <w:rsid w:val="008630BC"/>
    <w:rsid w:val="008670DC"/>
    <w:rsid w:val="00867B39"/>
    <w:rsid w:val="00877F0F"/>
    <w:rsid w:val="0088074E"/>
    <w:rsid w:val="00890509"/>
    <w:rsid w:val="008A5841"/>
    <w:rsid w:val="008C16A0"/>
    <w:rsid w:val="008F4474"/>
    <w:rsid w:val="008F7EB9"/>
    <w:rsid w:val="00906A27"/>
    <w:rsid w:val="00907F88"/>
    <w:rsid w:val="00915198"/>
    <w:rsid w:val="009152AC"/>
    <w:rsid w:val="00941ADD"/>
    <w:rsid w:val="00942EEC"/>
    <w:rsid w:val="009879BD"/>
    <w:rsid w:val="009D1729"/>
    <w:rsid w:val="009D7DCF"/>
    <w:rsid w:val="009E081A"/>
    <w:rsid w:val="009E2138"/>
    <w:rsid w:val="009E7CB9"/>
    <w:rsid w:val="00A109D8"/>
    <w:rsid w:val="00A10DF7"/>
    <w:rsid w:val="00A161E4"/>
    <w:rsid w:val="00A30BAC"/>
    <w:rsid w:val="00A7487F"/>
    <w:rsid w:val="00AA0E44"/>
    <w:rsid w:val="00AB4237"/>
    <w:rsid w:val="00B04DF7"/>
    <w:rsid w:val="00B061C5"/>
    <w:rsid w:val="00B21620"/>
    <w:rsid w:val="00B861E7"/>
    <w:rsid w:val="00B86F23"/>
    <w:rsid w:val="00BB282B"/>
    <w:rsid w:val="00BC08A9"/>
    <w:rsid w:val="00BC6CAF"/>
    <w:rsid w:val="00BE3E5A"/>
    <w:rsid w:val="00BE5616"/>
    <w:rsid w:val="00C17D39"/>
    <w:rsid w:val="00C43B22"/>
    <w:rsid w:val="00C452F4"/>
    <w:rsid w:val="00C5445C"/>
    <w:rsid w:val="00C71679"/>
    <w:rsid w:val="00C775F1"/>
    <w:rsid w:val="00C847F7"/>
    <w:rsid w:val="00C90439"/>
    <w:rsid w:val="00C946DC"/>
    <w:rsid w:val="00CC39E0"/>
    <w:rsid w:val="00CE4BDF"/>
    <w:rsid w:val="00CF0094"/>
    <w:rsid w:val="00CF0891"/>
    <w:rsid w:val="00D05F54"/>
    <w:rsid w:val="00D11642"/>
    <w:rsid w:val="00D22A3D"/>
    <w:rsid w:val="00D37692"/>
    <w:rsid w:val="00D50C08"/>
    <w:rsid w:val="00D81D3B"/>
    <w:rsid w:val="00D97D60"/>
    <w:rsid w:val="00DC1AFC"/>
    <w:rsid w:val="00DC40BB"/>
    <w:rsid w:val="00DD4B2E"/>
    <w:rsid w:val="00DD7531"/>
    <w:rsid w:val="00DD7CE3"/>
    <w:rsid w:val="00DE2107"/>
    <w:rsid w:val="00DF191D"/>
    <w:rsid w:val="00DF4D81"/>
    <w:rsid w:val="00E009A2"/>
    <w:rsid w:val="00E02F34"/>
    <w:rsid w:val="00E0579D"/>
    <w:rsid w:val="00E11553"/>
    <w:rsid w:val="00E35007"/>
    <w:rsid w:val="00E4273B"/>
    <w:rsid w:val="00E474F4"/>
    <w:rsid w:val="00E6140B"/>
    <w:rsid w:val="00E66EB0"/>
    <w:rsid w:val="00E729FF"/>
    <w:rsid w:val="00E94808"/>
    <w:rsid w:val="00EA0195"/>
    <w:rsid w:val="00EA68C2"/>
    <w:rsid w:val="00EC2923"/>
    <w:rsid w:val="00EF3C0F"/>
    <w:rsid w:val="00F05745"/>
    <w:rsid w:val="00F32F26"/>
    <w:rsid w:val="00F4264C"/>
    <w:rsid w:val="00F76CE9"/>
    <w:rsid w:val="00F92E3B"/>
    <w:rsid w:val="00F95256"/>
    <w:rsid w:val="00FB5520"/>
    <w:rsid w:val="00FB79A6"/>
    <w:rsid w:val="00FE75D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DCD0"/>
  <w15:docId w15:val="{7F8EAE3F-5DC3-4F75-B79E-F2E78A6B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8C16A0"/>
    <w:pPr>
      <w:ind w:left="720"/>
      <w:contextualSpacing/>
    </w:pPr>
  </w:style>
  <w:style w:type="character" w:customStyle="1" w:styleId="mechtexChar">
    <w:name w:val="mechtex Char"/>
    <w:link w:val="mechtex"/>
    <w:locked/>
    <w:rsid w:val="00CC39E0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CC39E0"/>
    <w:pPr>
      <w:jc w:val="center"/>
    </w:pPr>
    <w:rPr>
      <w:rFonts w:ascii="Arial Armenian" w:hAnsi="Arial Armenian" w:cstheme="minorBidi"/>
      <w:sz w:val="22"/>
      <w:szCs w:val="22"/>
      <w:lang w:val="en-US"/>
    </w:rPr>
  </w:style>
  <w:style w:type="paragraph" w:customStyle="1" w:styleId="namak">
    <w:name w:val="namak"/>
    <w:link w:val="namak0"/>
    <w:rsid w:val="006357D6"/>
    <w:pPr>
      <w:spacing w:after="0" w:line="360" w:lineRule="auto"/>
      <w:ind w:firstLine="397"/>
      <w:jc w:val="both"/>
    </w:pPr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storagrutun">
    <w:name w:val="storagrutun"/>
    <w:autoRedefine/>
    <w:rsid w:val="006357D6"/>
    <w:pPr>
      <w:spacing w:after="0" w:line="240" w:lineRule="auto"/>
      <w:jc w:val="both"/>
    </w:pPr>
    <w:rPr>
      <w:rFonts w:ascii="Sylfaen" w:eastAsia="Times New Roman" w:hAnsi="Sylfaen" w:cs="Arial"/>
      <w:b/>
      <w:bCs/>
      <w:i/>
      <w:iCs/>
      <w:sz w:val="28"/>
      <w:szCs w:val="28"/>
      <w:lang w:eastAsia="ru-RU"/>
    </w:rPr>
  </w:style>
  <w:style w:type="character" w:customStyle="1" w:styleId="namak0">
    <w:name w:val="namak Знак"/>
    <w:link w:val="namak"/>
    <w:locked/>
    <w:rsid w:val="006357D6"/>
    <w:rPr>
      <w:rFonts w:ascii="ArTarumianTimes" w:eastAsia="Times New Roman" w:hAnsi="ArTarumianTimes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uiPriority w:val="99"/>
    <w:rsid w:val="0084774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uiPriority w:val="99"/>
    <w:locked/>
    <w:rsid w:val="0084774F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uiPriority w:val="99"/>
    <w:unhideWhenUsed/>
    <w:rsid w:val="00E474F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474F4"/>
    <w:rPr>
      <w:b/>
      <w:bCs/>
    </w:rPr>
  </w:style>
  <w:style w:type="table" w:styleId="TableGrid">
    <w:name w:val="Table Grid"/>
    <w:basedOn w:val="TableNormal"/>
    <w:uiPriority w:val="59"/>
    <w:rsid w:val="008F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5233-2534-439C-A68B-81BF72B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Astghik Melkonyan</cp:lastModifiedBy>
  <cp:revision>83</cp:revision>
  <cp:lastPrinted>2021-02-17T07:08:00Z</cp:lastPrinted>
  <dcterms:created xsi:type="dcterms:W3CDTF">2021-08-17T05:16:00Z</dcterms:created>
  <dcterms:modified xsi:type="dcterms:W3CDTF">2021-08-26T06:02:00Z</dcterms:modified>
</cp:coreProperties>
</file>