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CB" w:rsidRPr="0019232C" w:rsidRDefault="004733CB" w:rsidP="0019232C">
      <w:pPr>
        <w:keepNext/>
        <w:tabs>
          <w:tab w:val="left" w:pos="1740"/>
        </w:tabs>
        <w:spacing w:before="240" w:after="0" w:line="360" w:lineRule="auto"/>
        <w:ind w:firstLine="375"/>
        <w:contextualSpacing/>
        <w:jc w:val="center"/>
        <w:outlineLvl w:val="0"/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val="hy-AM"/>
        </w:rPr>
        <w:t>ՀԻՄՆԱՎՈՐՈՒՄ</w:t>
      </w:r>
    </w:p>
    <w:p w:rsidR="0019232C" w:rsidRPr="0019232C" w:rsidRDefault="0019232C" w:rsidP="0019232C">
      <w:pPr>
        <w:keepNext/>
        <w:tabs>
          <w:tab w:val="left" w:pos="1740"/>
        </w:tabs>
        <w:spacing w:before="240" w:after="0" w:line="360" w:lineRule="auto"/>
        <w:ind w:firstLine="375"/>
        <w:contextualSpacing/>
        <w:jc w:val="center"/>
        <w:outlineLvl w:val="0"/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val="hy-AM"/>
        </w:rPr>
      </w:pPr>
    </w:p>
    <w:p w:rsidR="004733CB" w:rsidRPr="0019232C" w:rsidRDefault="0019232C" w:rsidP="0019232C">
      <w:pPr>
        <w:shd w:val="clear" w:color="auto" w:fill="FFFFFF"/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232C">
        <w:rPr>
          <w:rFonts w:ascii="GHEA Grapalat" w:hAnsi="GHEA Grapalat"/>
          <w:b/>
          <w:sz w:val="24"/>
          <w:szCs w:val="24"/>
          <w:lang w:val="hy-AM"/>
        </w:rPr>
        <w:t>«</w:t>
      </w:r>
      <w:r w:rsidR="004733CB" w:rsidRPr="0019232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2021 ԹՎԱԿԱՆԻ ՀՈՒԼԻՍԻ 15-Ի N 1139-Լ ՈՐՈՇՄԱՆ ՄԵՋ ՓՈՓՈԽՈՒԹՅՈՒՆՆԵՐ </w:t>
      </w:r>
      <w:r w:rsidR="00EC6D01" w:rsidRPr="0019232C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="004733CB" w:rsidRPr="0019232C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Pr="0019232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</w:t>
      </w:r>
      <w:r w:rsidR="004733CB" w:rsidRPr="001923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33CB" w:rsidRPr="0019232C">
        <w:rPr>
          <w:rFonts w:ascii="GHEA Grapalat" w:hAnsi="GHEA Grapalat"/>
          <w:b/>
          <w:sz w:val="24"/>
          <w:szCs w:val="24"/>
          <w:lang w:val="af-ZA"/>
        </w:rPr>
        <w:t>ՆԱԽԱԳԾԻ</w:t>
      </w:r>
    </w:p>
    <w:p w:rsidR="004733CB" w:rsidRPr="0019232C" w:rsidRDefault="004733CB" w:rsidP="0019232C">
      <w:pPr>
        <w:spacing w:after="120" w:line="360" w:lineRule="auto"/>
        <w:ind w:firstLine="375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733CB" w:rsidRPr="0019232C" w:rsidRDefault="004733CB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hAnsi="GHEA Grapalat" w:cs="Sylfaen"/>
          <w:b/>
          <w:sz w:val="24"/>
          <w:szCs w:val="24"/>
        </w:rPr>
      </w:pPr>
      <w:proofErr w:type="spellStart"/>
      <w:r w:rsidRPr="0019232C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4733CB" w:rsidRPr="0019232C" w:rsidRDefault="00C34E96" w:rsidP="0019232C">
      <w:pPr>
        <w:spacing w:before="240" w:after="240" w:line="360" w:lineRule="auto"/>
        <w:ind w:firstLine="375"/>
        <w:contextualSpacing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19232C">
        <w:rPr>
          <w:rFonts w:ascii="GHEA Grapalat" w:hAnsi="GHEA Grapalat"/>
          <w:bCs/>
          <w:sz w:val="24"/>
          <w:szCs w:val="24"/>
          <w:lang w:val="hy-AM"/>
        </w:rPr>
        <w:t>Նախագծի անհրաժեշտությունը պայմանավորված է Հայաստանի Հանրապետության կառավարության 2021 թվականի հուլիսի 15-ի N 1139-Լ որոշման շրջանակում՝ միանվագ օժանդակության վարկերի տրամադրման գործընթացի հետ կապված իրավակարգավորումների փոփոխման անհրաժեշտությամբ։</w:t>
      </w:r>
    </w:p>
    <w:p w:rsidR="004733CB" w:rsidRPr="0019232C" w:rsidRDefault="004733CB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hAnsi="GHEA Grapalat" w:cs="Arial"/>
          <w:sz w:val="24"/>
          <w:szCs w:val="24"/>
          <w:lang w:val="hy-AM" w:eastAsia="x-none"/>
        </w:rPr>
      </w:pPr>
      <w:r w:rsidRPr="0019232C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1923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232C">
        <w:rPr>
          <w:rFonts w:ascii="GHEA Grapalat" w:hAnsi="GHEA Grapalat" w:cs="Sylfaen"/>
          <w:b/>
          <w:sz w:val="24"/>
          <w:szCs w:val="24"/>
        </w:rPr>
        <w:t>իրավիճակը</w:t>
      </w:r>
      <w:r w:rsidRPr="0019232C">
        <w:rPr>
          <w:rFonts w:ascii="GHEA Grapalat" w:hAnsi="GHEA Grapalat"/>
          <w:b/>
          <w:sz w:val="24"/>
          <w:szCs w:val="24"/>
          <w:lang w:val="hy-AM"/>
        </w:rPr>
        <w:t xml:space="preserve"> և խնդիրները</w:t>
      </w:r>
      <w:r w:rsidRPr="0019232C">
        <w:rPr>
          <w:rFonts w:ascii="GHEA Grapalat" w:hAnsi="GHEA Grapalat" w:cs="Arial"/>
          <w:sz w:val="24"/>
          <w:szCs w:val="24"/>
          <w:lang w:val="hy-AM" w:eastAsia="x-none"/>
        </w:rPr>
        <w:t>։</w:t>
      </w:r>
    </w:p>
    <w:p w:rsidR="004733CB" w:rsidRPr="0019232C" w:rsidRDefault="004733CB" w:rsidP="0019232C">
      <w:pPr>
        <w:tabs>
          <w:tab w:val="left" w:pos="426"/>
          <w:tab w:val="left" w:pos="851"/>
        </w:tabs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232C">
        <w:rPr>
          <w:rFonts w:ascii="GHEA Grapalat" w:hAnsi="GHEA Grapalat"/>
          <w:bCs/>
          <w:sz w:val="24"/>
          <w:szCs w:val="24"/>
          <w:lang w:val="hy-AM"/>
        </w:rPr>
        <w:tab/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կառավարության 2021 թվականի հուլիսի 15–ի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N1139-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Լ որոշման նպատակը պատերազմի հետևանքով Սյունիքի մարզի</w:t>
      </w:r>
      <w:r w:rsidR="007579EF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տնտեսավարողների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՝ մասնավորապես ՓՄՁ–երի </w:t>
      </w:r>
      <w:r w:rsidR="007579EF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գործունեության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վերականգնմանն </w:t>
      </w:r>
      <w:r w:rsidR="007579EF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համար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վերջիններիս կողմից Արցախի Հանրապետության քաղաքացիներին ժամանակավոր կացարանների տրամադրման արդյունքում կատարված ծախսերի կամ կրած վնասների մասնակի փոխհատուցումն է։</w:t>
      </w:r>
    </w:p>
    <w:p w:rsidR="004733CB" w:rsidRPr="0019232C" w:rsidRDefault="004733CB" w:rsidP="0019232C">
      <w:pPr>
        <w:tabs>
          <w:tab w:val="left" w:pos="426"/>
          <w:tab w:val="left" w:pos="851"/>
        </w:tabs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ab/>
        <w:t>Որոշման իմաստով միջոցառման շահառու հանդիսանում են ռազմական դրությամբ պայմանավորված` Սյունիքի մարզում ժամանակավորապես տեղավորված Արցախի Հանրապետության քաղաքացիներին կացարան տրամադրած, փաստացի գործունեություն իրականացնող այն հանգստյան տները, հյուրանոցները և հյուրատները, որոնք ընդգրկված են եղել ՀՀ կառավարության 2020 թվականի նոյեմբերի 23–ի N1822–Ն և 2020 թվականի դեկտեմբերի 08–ի N1987–Ն որոշումների շրջանակներում օժանդակություն ստացած շահառուների ցանկում։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ab/>
        <w:t xml:space="preserve">Աջակցությունից օգտվելու համար վերոնշյալ ցանկում 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ներառված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շահառուները արդեն սահմանված ժամկետներում ներկայացրել են հայտերը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։ Ներկայացված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հայտերի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համապատասխանությունն ուսումնասիրելուց և շահառուների վերջնական ցանկը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lastRenderedPageBreak/>
        <w:t>ճշտելուց հետո, ՀՀ էկոնոմիկայի նախարարությունը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որոշմամբ սահմանված ընթացակարգով և ժամկետներում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գրավոր դիմել է ՀՀ պետական եկամուտների կոմիտե` 2019 թվականի Կենտրոնական գանձապետական հաշվից իրականացված մարումների վերաբերյալ տեղեկատվություն ստանալու և որոշմամբ սահմանված ընթացակարգով օժանդակության հաշվարկման (համաձայն</w:t>
      </w:r>
      <w:r w:rsidRPr="0019232C">
        <w:rPr>
          <w:rFonts w:ascii="GHEA Grapalat" w:hAnsi="GHEA Grapalat"/>
          <w:sz w:val="24"/>
          <w:szCs w:val="24"/>
          <w:lang w:val="hy-AM"/>
        </w:rPr>
        <w:t xml:space="preserve"> որի,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օժանդակության չափը չի կարող </w:t>
      </w:r>
      <w:r w:rsidR="00C8295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ավել լինել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քան տվյալ շահառուի՝ 2019 թվականի Կենտրոնական գանձապետական հաշվից իրականացված մարումները) և տրամադրման գործընթացը սկսելու համար։</w:t>
      </w:r>
    </w:p>
    <w:p w:rsidR="004733CB" w:rsidRPr="0019232C" w:rsidRDefault="004733CB" w:rsidP="0019232C">
      <w:pPr>
        <w:tabs>
          <w:tab w:val="left" w:pos="426"/>
          <w:tab w:val="left" w:pos="851"/>
        </w:tabs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ab/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ab/>
        <w:t>ՊԵԿ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–ի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կողմից ի պատասխան ներկայացված տեղեկատվության ուսումնասիրության արդյունքում պարզվել է, որ վերոհիշյալ ցանկում ներառված և հայտ ներկայացրած տնտես</w:t>
      </w:r>
      <w:r w:rsidR="006C18B1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վարողների մի զգալի մասը զրկվում է օժանդակությունից օգտվելու՝ այն է վերջիններիս կողմից կացարանների տրամադրման արդյունքում կատարված ծախսերի և կրած վնասների մասնակի փոխհատուց</w:t>
      </w:r>
      <w:r w:rsidR="005B00CA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ման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հնարավորությունից, քանի որ 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վերջիններս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2019 թվականին հանդիսացել են ընտանեկան ձեռնարկատիրության սուբյեկտներ կամ ստեղծվել են 2020 թվականին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և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հանդիսանում են միկրոձեռնարկության սուբյեկտներ, կամ որպես տնտես</w:t>
      </w:r>
      <w:r w:rsidR="00EB3835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վարող գրանցվել են 2019 թվականի երկրորդ կեսին, սակայն գործունեությունը սկսել են միայն 2020 թվականի ընթացքում։ Մասնավորապես ցանկում ներառված 70 տնտես</w:t>
      </w:r>
      <w:r w:rsidR="00EB3835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վարողից 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մոտ 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64–ը  հանդիսանում են փոքր շրջանառությամբ ՓՄՁ սուբյեկտներ, որոնցից </w:t>
      </w:r>
      <w:r w:rsidR="00176E45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մոտ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24–ը միկրոձեռնարկության սուբյեկտներ են։ </w:t>
      </w:r>
      <w:r w:rsidR="009668DE"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Նշված հանգամանքների պատճառով փ</w:t>
      </w:r>
      <w:r w:rsidRPr="0019232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աստացի խաթարվում է որոշման նախաձեռնման բուն տրամաբանությունը և նպատակները։</w:t>
      </w:r>
    </w:p>
    <w:p w:rsidR="004733CB" w:rsidRPr="0019232C" w:rsidRDefault="004733CB" w:rsidP="0019232C">
      <w:pPr>
        <w:tabs>
          <w:tab w:val="left" w:pos="426"/>
          <w:tab w:val="left" w:pos="851"/>
        </w:tabs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:rsidR="004733CB" w:rsidRPr="0019232C" w:rsidRDefault="004733CB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19232C">
        <w:rPr>
          <w:rFonts w:ascii="GHEA Grapalat" w:hAnsi="GHEA Grapalat" w:cs="Sylfaen"/>
          <w:b/>
          <w:sz w:val="24"/>
          <w:szCs w:val="24"/>
        </w:rPr>
        <w:t>Նախագծի</w:t>
      </w:r>
      <w:r w:rsidRPr="0019232C">
        <w:rPr>
          <w:rFonts w:ascii="GHEA Grapalat" w:hAnsi="GHEA Grapalat" w:cs="Sylfaen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4733CB" w:rsidRPr="0019232C" w:rsidRDefault="004733CB" w:rsidP="0019232C">
      <w:pPr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232C">
        <w:rPr>
          <w:rFonts w:ascii="GHEA Grapalat" w:hAnsi="GHEA Grapalat" w:cs="Sylfaen"/>
          <w:sz w:val="24"/>
          <w:szCs w:val="24"/>
          <w:lang w:val="hy-AM"/>
        </w:rPr>
        <w:t xml:space="preserve">Ներկայացված նախագիծը մշակվել է </w:t>
      </w:r>
      <w:r w:rsidRPr="0019232C">
        <w:rPr>
          <w:rFonts w:ascii="GHEA Grapalat" w:hAnsi="GHEA Grapalat"/>
          <w:bCs/>
          <w:sz w:val="24"/>
          <w:szCs w:val="24"/>
          <w:lang w:val="hy-AM"/>
        </w:rPr>
        <w:t xml:space="preserve">ՀՀ էկոնոմիկայի նախարարության </w:t>
      </w:r>
      <w:r w:rsidRPr="0019232C">
        <w:rPr>
          <w:rFonts w:ascii="GHEA Grapalat" w:hAnsi="GHEA Grapalat" w:cs="Sylfaen"/>
          <w:sz w:val="24"/>
          <w:szCs w:val="24"/>
          <w:lang w:val="hy-AM"/>
        </w:rPr>
        <w:t xml:space="preserve">կողմից: </w:t>
      </w:r>
    </w:p>
    <w:p w:rsidR="004733CB" w:rsidRPr="0019232C" w:rsidRDefault="004733CB" w:rsidP="0019232C">
      <w:pPr>
        <w:spacing w:before="240" w:after="240" w:line="360" w:lineRule="auto"/>
        <w:ind w:firstLine="37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733CB" w:rsidRPr="0019232C" w:rsidRDefault="004733CB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19232C">
        <w:rPr>
          <w:rFonts w:ascii="GHEA Grapalat" w:hAnsi="GHEA Grapalat" w:cs="Sylfaen"/>
          <w:b/>
          <w:sz w:val="24"/>
          <w:szCs w:val="24"/>
        </w:rPr>
        <w:t>Ակնկալվող</w:t>
      </w:r>
      <w:r w:rsidRPr="0019232C">
        <w:rPr>
          <w:rFonts w:ascii="GHEA Grapalat" w:hAnsi="GHEA Grapalat" w:cs="Sylfaen"/>
          <w:b/>
          <w:sz w:val="24"/>
          <w:szCs w:val="24"/>
          <w:lang w:val="hy-AM"/>
        </w:rPr>
        <w:t xml:space="preserve"> արդյունքը</w:t>
      </w:r>
    </w:p>
    <w:p w:rsidR="004733CB" w:rsidRPr="0019232C" w:rsidRDefault="004733CB" w:rsidP="0019232C">
      <w:pPr>
        <w:shd w:val="clear" w:color="auto" w:fill="FFFFFF"/>
        <w:spacing w:before="240" w:after="240" w:line="360" w:lineRule="auto"/>
        <w:ind w:firstLine="37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9232C">
        <w:rPr>
          <w:rFonts w:ascii="GHEA Grapalat" w:hAnsi="GHEA Grapalat"/>
          <w:bCs/>
          <w:sz w:val="24"/>
          <w:szCs w:val="24"/>
          <w:lang w:val="hy-AM"/>
        </w:rPr>
        <w:t xml:space="preserve">Անհրաժեշտ փոփոխությունների ամրագրումը հնարավորություն կտա միջոցառման չափորոշիչներին համապատասխանող և </w:t>
      </w:r>
      <w:r w:rsidR="004E60C9" w:rsidRPr="0019232C">
        <w:rPr>
          <w:rFonts w:ascii="GHEA Grapalat" w:hAnsi="GHEA Grapalat"/>
          <w:bCs/>
          <w:sz w:val="24"/>
          <w:szCs w:val="24"/>
          <w:lang w:val="hy-AM"/>
        </w:rPr>
        <w:t>վերո</w:t>
      </w:r>
      <w:r w:rsidRPr="0019232C">
        <w:rPr>
          <w:rFonts w:ascii="GHEA Grapalat" w:hAnsi="GHEA Grapalat"/>
          <w:bCs/>
          <w:sz w:val="24"/>
          <w:szCs w:val="24"/>
          <w:lang w:val="hy-AM"/>
        </w:rPr>
        <w:t xml:space="preserve">հիշյալ ցանկում ներառված բոլոր </w:t>
      </w:r>
      <w:r w:rsidRPr="0019232C">
        <w:rPr>
          <w:rFonts w:ascii="GHEA Grapalat" w:hAnsi="GHEA Grapalat"/>
          <w:bCs/>
          <w:sz w:val="24"/>
          <w:szCs w:val="24"/>
          <w:lang w:val="hy-AM"/>
        </w:rPr>
        <w:lastRenderedPageBreak/>
        <w:t>տնտես</w:t>
      </w:r>
      <w:r w:rsidR="006C18B1" w:rsidRPr="0019232C">
        <w:rPr>
          <w:rFonts w:ascii="GHEA Grapalat" w:hAnsi="GHEA Grapalat"/>
          <w:bCs/>
          <w:sz w:val="24"/>
          <w:szCs w:val="24"/>
          <w:lang w:val="hy-AM"/>
        </w:rPr>
        <w:t>ա</w:t>
      </w:r>
      <w:r w:rsidRPr="0019232C">
        <w:rPr>
          <w:rFonts w:ascii="GHEA Grapalat" w:hAnsi="GHEA Grapalat"/>
          <w:bCs/>
          <w:sz w:val="24"/>
          <w:szCs w:val="24"/>
          <w:lang w:val="hy-AM"/>
        </w:rPr>
        <w:t>վարողներին ստանալ կացարանների տրամադրման արդյունքում իրենց կողմից կատարված ծախսերի կամ կրած վնասների մասնակի փոխհատուցումը։</w:t>
      </w:r>
    </w:p>
    <w:p w:rsidR="004733CB" w:rsidRPr="0019232C" w:rsidRDefault="004733CB" w:rsidP="0019232C">
      <w:pPr>
        <w:shd w:val="clear" w:color="auto" w:fill="FFFFFF"/>
        <w:spacing w:before="240" w:after="240" w:line="360" w:lineRule="auto"/>
        <w:ind w:firstLine="37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733CB" w:rsidRPr="0019232C" w:rsidRDefault="004733CB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19232C">
        <w:rPr>
          <w:rFonts w:ascii="GHEA Grapalat" w:hAnsi="GHEA Grapalat"/>
          <w:b/>
          <w:bCs/>
          <w:sz w:val="24"/>
          <w:szCs w:val="24"/>
          <w:lang w:val="hy-AM"/>
        </w:rPr>
        <w:t xml:space="preserve">Այլ </w:t>
      </w:r>
      <w:proofErr w:type="spellStart"/>
      <w:r w:rsidRPr="0019232C">
        <w:rPr>
          <w:rFonts w:ascii="GHEA Grapalat" w:hAnsi="GHEA Grapalat" w:cs="Sylfaen"/>
          <w:b/>
          <w:sz w:val="24"/>
          <w:szCs w:val="24"/>
        </w:rPr>
        <w:t>տեղեկատվություն</w:t>
      </w:r>
      <w:proofErr w:type="spellEnd"/>
    </w:p>
    <w:p w:rsidR="004733CB" w:rsidRPr="0019232C" w:rsidRDefault="004733CB" w:rsidP="0019232C">
      <w:pPr>
        <w:spacing w:after="0" w:line="360" w:lineRule="auto"/>
        <w:ind w:firstLine="375"/>
        <w:contextualSpacing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«Հայաստանի Հանրապետության կառավարության 2021 թվականի հուլիսի 15-ի N 1139-Լ որոշման մեջ փոփոխություններ կատարելու մասին» 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4733CB" w:rsidRPr="0019232C" w:rsidRDefault="004733CB" w:rsidP="0019232C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733CB" w:rsidRPr="0019232C" w:rsidRDefault="004641FF" w:rsidP="0019232C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Կապ</w:t>
      </w:r>
      <w:r w:rsidR="00303813" w:rsidRPr="0019232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ը </w:t>
      </w:r>
      <w:proofErr w:type="spellStart"/>
      <w:r w:rsidR="00303813" w:rsidRPr="0019232C">
        <w:rPr>
          <w:rFonts w:ascii="GHEA Grapalat" w:hAnsi="GHEA Grapalat" w:cs="Sylfaen"/>
          <w:b/>
          <w:sz w:val="24"/>
          <w:szCs w:val="24"/>
        </w:rPr>
        <w:t>ռազմավարական</w:t>
      </w:r>
      <w:proofErr w:type="spellEnd"/>
      <w:r w:rsidR="00303813" w:rsidRPr="0019232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փաստաթղթերի հետ` </w:t>
      </w:r>
      <w:r w:rsidRPr="0019232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303813" w:rsidRPr="0019232C" w:rsidRDefault="00F21E86" w:rsidP="0019232C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 բխում է ՀՀ կառավարության 2021-2026 թթ. ծրագրի ՓՄՁ զարգացում բաժնում ամրագրված դրույթներից (էջ 27)։</w:t>
      </w:r>
    </w:p>
    <w:p w:rsidR="004733CB" w:rsidRPr="0019232C" w:rsidRDefault="004733CB" w:rsidP="0019232C">
      <w:pPr>
        <w:pStyle w:val="ListParagraph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733CB" w:rsidRPr="0019232C" w:rsidRDefault="004733CB" w:rsidP="0019232C">
      <w:pPr>
        <w:pStyle w:val="ListParagraph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6D92" w:rsidRPr="0019232C" w:rsidRDefault="008E6D92" w:rsidP="0019232C">
      <w:pPr>
        <w:pStyle w:val="ListParagraph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6D92" w:rsidRPr="0019232C" w:rsidRDefault="008E6D92" w:rsidP="0019232C">
      <w:pPr>
        <w:pStyle w:val="ListParagraph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6D92" w:rsidRPr="0019232C" w:rsidRDefault="008E6D92" w:rsidP="0019232C">
      <w:pPr>
        <w:pStyle w:val="ListParagraph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9232C" w:rsidRPr="0019232C" w:rsidRDefault="0019232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:rsidR="008E6D92" w:rsidRPr="0019232C" w:rsidRDefault="008E6D92" w:rsidP="001923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232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ԱՄՓՈՓԱԹԵՐԹ</w:t>
      </w:r>
    </w:p>
    <w:p w:rsidR="008E6D92" w:rsidRPr="0019232C" w:rsidRDefault="008E6D92" w:rsidP="001923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9232C" w:rsidRPr="0019232C" w:rsidRDefault="0019232C" w:rsidP="0019232C">
      <w:pPr>
        <w:shd w:val="clear" w:color="auto" w:fill="FFFFFF"/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232C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2021 ԹՎԱԿԱՆԻ ՀՈՒԼԻՍԻ 15-Ի N 1139-Լ ՈՐՈՇՄԱՆ ՄԵՋ ՓՈՓՈԽՈՒԹՅՈՒՆՆԵՐ ԵՎ ԼՐԱՑՈՒՄ ԿԱՏԱՐԵԼՈՒ ՄԱՍԻՆ» ՀՀ ԿԱՌԱՎԱՐՈՒԹՅԱՆ ՈՐՈՇՄԱՆ </w:t>
      </w:r>
      <w:r w:rsidRPr="0019232C">
        <w:rPr>
          <w:rFonts w:ascii="GHEA Grapalat" w:hAnsi="GHEA Grapalat"/>
          <w:b/>
          <w:sz w:val="24"/>
          <w:szCs w:val="24"/>
          <w:lang w:val="af-ZA"/>
        </w:rPr>
        <w:t>ՆԱԽԱԳԾԻ</w:t>
      </w:r>
    </w:p>
    <w:p w:rsidR="008E6D92" w:rsidRPr="0019232C" w:rsidRDefault="008E6D92" w:rsidP="0019232C">
      <w:pPr>
        <w:shd w:val="clear" w:color="auto" w:fill="FFFFFF"/>
        <w:spacing w:after="0" w:line="360" w:lineRule="auto"/>
        <w:ind w:firstLine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page" w:tblpX="658" w:tblpY="47"/>
        <w:tblW w:w="52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2877"/>
      </w:tblGrid>
      <w:tr w:rsidR="0019232C" w:rsidRPr="0019232C" w:rsidTr="0019232C">
        <w:trPr>
          <w:trHeight w:val="276"/>
          <w:tblCellSpacing w:w="0" w:type="dxa"/>
        </w:trPr>
        <w:tc>
          <w:tcPr>
            <w:tcW w:w="3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 ՀՀ </w:t>
            </w: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արդադատության նախարարություն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E6D92" w:rsidRPr="0019232C" w:rsidRDefault="00D7619A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29.10</w:t>
            </w:r>
            <w:r w:rsidR="008E6D92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19232C" w:rsidRPr="0019232C" w:rsidTr="0019232C">
        <w:trPr>
          <w:trHeight w:val="276"/>
          <w:tblCellSpacing w:w="0" w:type="dxa"/>
        </w:trPr>
        <w:tc>
          <w:tcPr>
            <w:tcW w:w="3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N </w:t>
            </w:r>
            <w:r w:rsidR="009F58E8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34837-2021</w:t>
            </w:r>
          </w:p>
        </w:tc>
      </w:tr>
      <w:tr w:rsidR="0019232C" w:rsidRPr="0019232C" w:rsidTr="0019232C">
        <w:trPr>
          <w:trHeight w:val="1867"/>
          <w:tblCellSpacing w:w="0" w:type="dxa"/>
        </w:trPr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1.Նախագծի վերնագիրն անհրաժեշտ է խմբագրել, մասնավորապես,  «փոփոխություններ» բառից հետո լրացնել «և լրացում» բառերը՝ նկատի ունենալով այն հանգամանքը, որ Նախագծի  3-րդ կետով առաջարկվում  է ՀՀ կառավարության 2021 թվականի հուլիսի 15-ի թիվ  1139-Լ որոշման հավելված 2-ը լրացնել նոր 6-րդ կետով: Սույն դիտողությունը բխում է «Նորմատիվ իրավական ակտերի մասին» ՀՀ օրենքի 33-րդ հոդվածի 3-րդ մասի պահանջներից, որոնց համաձայն՝ նորմատիվ իրավական ակտում լրացումներ կատարվում են  դրանում նոր բաժիններ, գլուխներ, հոդվածներ, մասեր, կետեր, ենթակետեր, պարբերություններ, նախադասություններ, բառեր, թվեր կամ կետադրական նշաններ լրացնելու միջոցով: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19232C" w:rsidRPr="0019232C" w:rsidTr="0019232C">
        <w:trPr>
          <w:trHeight w:val="525"/>
          <w:tblCellSpacing w:w="0" w:type="dxa"/>
        </w:trPr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Նախագծի 3-րդ կետում՝ «Սույն» բառից հետո գրված «N2» բառն առաջարկում ենք հանել: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19232C" w:rsidRPr="0019232C" w:rsidTr="0019232C">
        <w:trPr>
          <w:trHeight w:val="276"/>
          <w:tblCellSpacing w:w="0" w:type="dxa"/>
        </w:trPr>
        <w:tc>
          <w:tcPr>
            <w:tcW w:w="3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2.  ՀՀ </w:t>
            </w: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E6D92" w:rsidRPr="0019232C" w:rsidRDefault="008017EF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03</w:t>
            </w: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.11</w:t>
            </w:r>
            <w:r w:rsidR="008E6D92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19232C" w:rsidRPr="0019232C" w:rsidTr="0019232C">
        <w:trPr>
          <w:trHeight w:val="290"/>
          <w:tblCellSpacing w:w="0" w:type="dxa"/>
        </w:trPr>
        <w:tc>
          <w:tcPr>
            <w:tcW w:w="3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E6D92" w:rsidRPr="0019232C" w:rsidRDefault="008E6D92" w:rsidP="0019232C">
            <w:pPr>
              <w:spacing w:after="0" w:line="360" w:lineRule="auto"/>
              <w:ind w:left="113" w:right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N </w:t>
            </w:r>
            <w:r w:rsidR="008017EF" w:rsidRPr="0019232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017EF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01/8-1/17799-2021</w:t>
            </w:r>
          </w:p>
        </w:tc>
      </w:tr>
      <w:tr w:rsidR="0019232C" w:rsidRPr="0019232C" w:rsidTr="0019232C">
        <w:trPr>
          <w:trHeight w:val="1037"/>
          <w:tblCellSpacing w:w="0" w:type="dxa"/>
        </w:trPr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D92" w:rsidRPr="0019232C" w:rsidRDefault="008017EF" w:rsidP="0019232C">
            <w:pPr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Ձեր 21.10.2021թ. N 01/15034-2021 գրությամբ ներկայացված «Հայաստանի Հանրապետության կառավարության 2021 թվականի հուլիսի 15-ի N 1139-Լ որոշման մեջ փոփոխություններ կատարելու մասին»  ՀՀ կառավարության որոշման նախագծի վերաբերյալ հայտնում ենք, որ առաջարկություններ չունենք: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19232C" w:rsidRPr="0019232C" w:rsidTr="0019232C">
        <w:trPr>
          <w:trHeight w:val="262"/>
          <w:tblCellSpacing w:w="0" w:type="dxa"/>
        </w:trPr>
        <w:tc>
          <w:tcPr>
            <w:tcW w:w="37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3. </w:t>
            </w:r>
            <w:r w:rsidR="00D12B79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E6D92" w:rsidRPr="0019232C" w:rsidRDefault="006D58A6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  <w:r w:rsidR="008E6D92"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.10.2021թ.</w:t>
            </w:r>
          </w:p>
        </w:tc>
      </w:tr>
      <w:tr w:rsidR="0019232C" w:rsidRPr="0019232C" w:rsidTr="0019232C">
        <w:trPr>
          <w:trHeight w:val="262"/>
          <w:tblCellSpacing w:w="0" w:type="dxa"/>
        </w:trPr>
        <w:tc>
          <w:tcPr>
            <w:tcW w:w="37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E6D92" w:rsidRPr="0019232C" w:rsidRDefault="006D58A6" w:rsidP="0019232C">
            <w:pPr>
              <w:spacing w:after="0" w:line="360" w:lineRule="auto"/>
              <w:ind w:left="113" w:right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ԳՍ/15.3/27968-2021</w:t>
            </w:r>
          </w:p>
        </w:tc>
      </w:tr>
      <w:tr w:rsidR="0019232C" w:rsidRPr="0019232C" w:rsidTr="0019232C">
        <w:trPr>
          <w:trHeight w:val="1719"/>
          <w:tblCellSpacing w:w="0" w:type="dxa"/>
        </w:trPr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7AC" w:rsidRPr="0019232C" w:rsidRDefault="006D58A6" w:rsidP="0019232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«Հայաստանի Հանրապետության կառավարության 2021 թվականի հուլիսի 15-ի N 1139-Լ որոշման մեջ փոփոխություններ կատարելու մասին» Կառավարության որոշման նախագծի վերաբերյալ առաջարկում ենք 3-րդ կետում «15 աշխատանքային օրվա» բառերը փոխարինել «5 աշխատանքային օրվա» բառերով, հաշվի առնելով, որ ևս 20 աշխատանքային օր ժամկետ է սահմանվում պայմանագիրը կնքելու համար։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D92" w:rsidRPr="0019232C" w:rsidRDefault="008E6D92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19232C" w:rsidRPr="0019232C" w:rsidTr="0019232C">
        <w:trPr>
          <w:trHeight w:val="262"/>
          <w:tblCellSpacing w:w="0" w:type="dxa"/>
        </w:trPr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8A6" w:rsidRPr="0019232C" w:rsidRDefault="009668DE" w:rsidP="0019232C">
            <w:pPr>
              <w:pStyle w:val="ListParagraph"/>
              <w:spacing w:after="0" w:line="360" w:lineRule="auto"/>
              <w:ind w:left="113" w:right="113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*</w:t>
            </w:r>
            <w:r w:rsidR="007F57AC"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կառավարության «Հայաստանի Հանրապետության կառավարության 2021 թվականի հուլիսի 15-ի N 1139-Լ որոշման մեջ փոփոխություններ և լրացումներ կատարելու մասին» որոշման նախագիծը ուսումնասիրվել է ՀՀ Սյունիքի մարզպետարանում: Նախագծի վերաբերյալ դիտողություններ և առաջարկություններ չեն եղել: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8A6" w:rsidRPr="0019232C" w:rsidRDefault="007F57AC" w:rsidP="0019232C">
            <w:pPr>
              <w:spacing w:after="0" w:line="360" w:lineRule="auto"/>
              <w:ind w:left="113" w:right="113" w:firstLine="28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923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8E6D92" w:rsidRPr="0019232C" w:rsidRDefault="008E6D92" w:rsidP="0019232C">
      <w:pPr>
        <w:shd w:val="clear" w:color="auto" w:fill="FFFFFF"/>
        <w:spacing w:after="0" w:line="36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232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1923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232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sectPr w:rsidR="008E6D92" w:rsidRPr="0019232C" w:rsidSect="0019232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E1E"/>
    <w:multiLevelType w:val="hybridMultilevel"/>
    <w:tmpl w:val="4242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DF1"/>
    <w:multiLevelType w:val="multilevel"/>
    <w:tmpl w:val="E8B29D32"/>
    <w:lvl w:ilvl="0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6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cs="Times New Roman"/>
      </w:rPr>
    </w:lvl>
  </w:abstractNum>
  <w:abstractNum w:abstractNumId="2" w15:restartNumberingAfterBreak="0">
    <w:nsid w:val="56425BAB"/>
    <w:multiLevelType w:val="hybridMultilevel"/>
    <w:tmpl w:val="2362DDCE"/>
    <w:lvl w:ilvl="0" w:tplc="DC22B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7E78"/>
    <w:multiLevelType w:val="hybridMultilevel"/>
    <w:tmpl w:val="3E40A2FE"/>
    <w:lvl w:ilvl="0" w:tplc="4902627A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E583CDE"/>
    <w:multiLevelType w:val="hybridMultilevel"/>
    <w:tmpl w:val="3D289752"/>
    <w:lvl w:ilvl="0" w:tplc="F35EDC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C"/>
    <w:rsid w:val="000869F2"/>
    <w:rsid w:val="00176E45"/>
    <w:rsid w:val="0019232C"/>
    <w:rsid w:val="001A7F96"/>
    <w:rsid w:val="001B19A5"/>
    <w:rsid w:val="00210AE1"/>
    <w:rsid w:val="00241202"/>
    <w:rsid w:val="00303813"/>
    <w:rsid w:val="00356D78"/>
    <w:rsid w:val="003618B7"/>
    <w:rsid w:val="003E2368"/>
    <w:rsid w:val="00402128"/>
    <w:rsid w:val="00454188"/>
    <w:rsid w:val="00456E03"/>
    <w:rsid w:val="004641FF"/>
    <w:rsid w:val="004733CB"/>
    <w:rsid w:val="004E47DB"/>
    <w:rsid w:val="004E60C9"/>
    <w:rsid w:val="0050337D"/>
    <w:rsid w:val="0052681C"/>
    <w:rsid w:val="005B00CA"/>
    <w:rsid w:val="005B1CF4"/>
    <w:rsid w:val="005F20CC"/>
    <w:rsid w:val="006C18B1"/>
    <w:rsid w:val="006C458C"/>
    <w:rsid w:val="006D58A6"/>
    <w:rsid w:val="006F2499"/>
    <w:rsid w:val="007579EF"/>
    <w:rsid w:val="007B42BF"/>
    <w:rsid w:val="007F57AC"/>
    <w:rsid w:val="008017EF"/>
    <w:rsid w:val="008051EB"/>
    <w:rsid w:val="00841346"/>
    <w:rsid w:val="0087687A"/>
    <w:rsid w:val="00881FD8"/>
    <w:rsid w:val="008E6D92"/>
    <w:rsid w:val="009668DE"/>
    <w:rsid w:val="00994042"/>
    <w:rsid w:val="009F58E8"/>
    <w:rsid w:val="00AB457B"/>
    <w:rsid w:val="00AC48E2"/>
    <w:rsid w:val="00AE4B2C"/>
    <w:rsid w:val="00BF26DA"/>
    <w:rsid w:val="00C34E96"/>
    <w:rsid w:val="00C8295E"/>
    <w:rsid w:val="00CF6018"/>
    <w:rsid w:val="00D067FE"/>
    <w:rsid w:val="00D12B79"/>
    <w:rsid w:val="00D434CB"/>
    <w:rsid w:val="00D7619A"/>
    <w:rsid w:val="00DD01DE"/>
    <w:rsid w:val="00EB3835"/>
    <w:rsid w:val="00EC6D01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C21A"/>
  <w15:chartTrackingRefBased/>
  <w15:docId w15:val="{406CC31B-49C9-4073-837F-1BCD5ED9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2C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5268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526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68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8E6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H. Hovhannisyan</dc:creator>
  <cp:keywords>https://mul2.gov.am/tasks/519658/oneclick/Syuniq naxagic.docx?token=dfdcfa5c6399e373fd7cab41f5315529</cp:keywords>
  <dc:description/>
  <cp:lastModifiedBy>Ashot Pirumyan</cp:lastModifiedBy>
  <cp:revision>3</cp:revision>
  <dcterms:created xsi:type="dcterms:W3CDTF">2021-11-03T14:14:00Z</dcterms:created>
  <dcterms:modified xsi:type="dcterms:W3CDTF">2021-11-08T06:08:00Z</dcterms:modified>
</cp:coreProperties>
</file>