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933" w:rsidRPr="00A81BB2" w:rsidRDefault="00F75933" w:rsidP="00F75933">
      <w:pPr>
        <w:spacing w:line="360" w:lineRule="auto"/>
        <w:ind w:firstLine="720"/>
        <w:jc w:val="center"/>
        <w:rPr>
          <w:rFonts w:ascii="GHEA Grapalat" w:hAnsi="GHEA Grapalat"/>
        </w:rPr>
      </w:pPr>
      <w:r w:rsidRPr="00A81BB2">
        <w:rPr>
          <w:rFonts w:ascii="GHEA Grapalat" w:hAnsi="GHEA Grapalat"/>
          <w:b/>
          <w:bCs/>
          <w:color w:val="000000"/>
        </w:rPr>
        <w:t>ՀԻՄՆԱՎՈՐՈՒՄ</w:t>
      </w:r>
    </w:p>
    <w:p w:rsidR="00F75933" w:rsidRPr="00A81BB2" w:rsidRDefault="00F75933" w:rsidP="00113309">
      <w:pPr>
        <w:spacing w:line="360" w:lineRule="auto"/>
        <w:ind w:firstLine="720"/>
        <w:jc w:val="center"/>
        <w:rPr>
          <w:rFonts w:ascii="GHEA Grapalat" w:hAnsi="GHEA Grapalat"/>
        </w:rPr>
      </w:pPr>
      <w:r w:rsidRPr="00A81BB2">
        <w:rPr>
          <w:rFonts w:ascii="GHEA Grapalat" w:hAnsi="GHEA Grapalat"/>
          <w:b/>
          <w:bCs/>
          <w:color w:val="000000"/>
          <w:shd w:val="clear" w:color="auto" w:fill="FFFFFF"/>
        </w:rPr>
        <w:t>«</w:t>
      </w:r>
      <w:r w:rsidR="00113309">
        <w:rPr>
          <w:rFonts w:ascii="GHEA Grapalat" w:eastAsia="Arial Unicode MS" w:hAnsi="GHEA Grapalat" w:cs="Sylfaen"/>
          <w:b/>
          <w:lang w:val="en-US"/>
        </w:rPr>
        <w:t>Հ</w:t>
      </w:r>
      <w:r w:rsidR="00113309" w:rsidRPr="00EE5B51">
        <w:rPr>
          <w:rFonts w:ascii="GHEA Grapalat" w:eastAsia="Arial Unicode MS" w:hAnsi="GHEA Grapalat" w:cs="Sylfaen"/>
          <w:b/>
          <w:lang w:val="en-US"/>
        </w:rPr>
        <w:t xml:space="preserve">այաստանի </w:t>
      </w:r>
      <w:r w:rsidR="00113309">
        <w:rPr>
          <w:rFonts w:ascii="GHEA Grapalat" w:eastAsia="Arial Unicode MS" w:hAnsi="GHEA Grapalat" w:cs="Sylfaen"/>
          <w:b/>
          <w:lang w:val="en-US"/>
        </w:rPr>
        <w:t>Հ</w:t>
      </w:r>
      <w:r w:rsidR="00113309" w:rsidRPr="00EE5B51">
        <w:rPr>
          <w:rFonts w:ascii="GHEA Grapalat" w:eastAsia="Arial Unicode MS" w:hAnsi="GHEA Grapalat" w:cs="Sylfaen"/>
          <w:b/>
          <w:lang w:val="en-US"/>
        </w:rPr>
        <w:t xml:space="preserve">անրապետության կառավարության 2006 թվականի փետրվարի 2-ի </w:t>
      </w:r>
      <w:r w:rsidR="00113309">
        <w:rPr>
          <w:rFonts w:ascii="GHEA Grapalat" w:eastAsia="Arial Unicode MS" w:hAnsi="GHEA Grapalat" w:cs="Sylfaen"/>
          <w:b/>
          <w:lang w:val="en-US"/>
        </w:rPr>
        <w:t>N</w:t>
      </w:r>
      <w:r w:rsidR="00113309" w:rsidRPr="00EE5B51">
        <w:rPr>
          <w:rFonts w:ascii="GHEA Grapalat" w:eastAsia="Arial Unicode MS" w:hAnsi="GHEA Grapalat" w:cs="Sylfaen"/>
          <w:b/>
          <w:lang w:val="en-US"/>
        </w:rPr>
        <w:t xml:space="preserve"> 79-</w:t>
      </w:r>
      <w:r w:rsidR="00113309">
        <w:rPr>
          <w:rFonts w:ascii="GHEA Grapalat" w:eastAsia="Arial Unicode MS" w:hAnsi="GHEA Grapalat" w:cs="Sylfaen"/>
          <w:b/>
          <w:lang w:val="en-US"/>
        </w:rPr>
        <w:t>Ն</w:t>
      </w:r>
      <w:r w:rsidR="00113309" w:rsidRPr="00EE5B51">
        <w:rPr>
          <w:rFonts w:ascii="GHEA Grapalat" w:eastAsia="Arial Unicode MS" w:hAnsi="GHEA Grapalat" w:cs="Sylfaen"/>
          <w:b/>
          <w:lang w:val="en-US"/>
        </w:rPr>
        <w:t xml:space="preserve"> որոշումն ուժը կորցրած ճանաչելու</w:t>
      </w:r>
      <w:r w:rsidR="00113309" w:rsidRPr="00EE5B51">
        <w:rPr>
          <w:rFonts w:ascii="GHEA Grapalat" w:eastAsia="Arial Unicode MS" w:hAnsi="GHEA Grapalat" w:cs="Sylfaen"/>
          <w:b/>
        </w:rPr>
        <w:t xml:space="preserve"> մասին</w:t>
      </w:r>
      <w:r w:rsidRPr="00A81BB2">
        <w:rPr>
          <w:rFonts w:ascii="GHEA Grapalat" w:hAnsi="GHEA Grapalat"/>
          <w:b/>
          <w:bCs/>
          <w:color w:val="000000"/>
        </w:rPr>
        <w:t>» Հայաստանի Հանրապետության կառավարության որոշման նախագծի ընդունման անհրաժեշտության</w:t>
      </w:r>
    </w:p>
    <w:p w:rsidR="00F75933" w:rsidRPr="00A81BB2" w:rsidRDefault="00F75933" w:rsidP="00F75933">
      <w:pPr>
        <w:spacing w:line="360" w:lineRule="auto"/>
        <w:ind w:firstLine="720"/>
        <w:jc w:val="both"/>
        <w:rPr>
          <w:rFonts w:ascii="GHEA Grapalat" w:hAnsi="GHEA Grapalat"/>
        </w:rPr>
      </w:pPr>
    </w:p>
    <w:p w:rsidR="00F75933" w:rsidRPr="00A81BB2" w:rsidRDefault="00F75933" w:rsidP="0014112A">
      <w:pPr>
        <w:shd w:val="clear" w:color="auto" w:fill="FFFFFF"/>
        <w:spacing w:line="360" w:lineRule="auto"/>
        <w:ind w:firstLine="720"/>
        <w:jc w:val="both"/>
        <w:rPr>
          <w:rFonts w:ascii="GHEA Grapalat" w:hAnsi="GHEA Grapalat"/>
        </w:rPr>
      </w:pPr>
      <w:r w:rsidRPr="00A81BB2">
        <w:rPr>
          <w:rFonts w:ascii="GHEA Grapalat" w:hAnsi="GHEA Grapalat"/>
          <w:b/>
          <w:bCs/>
          <w:color w:val="000000"/>
        </w:rPr>
        <w:t>1. Կարգավորման ենթակա ոլորտի կամ խնդրի սահմանումը.</w:t>
      </w:r>
    </w:p>
    <w:p w:rsidR="00113309" w:rsidRPr="00EE5B51" w:rsidRDefault="00113309" w:rsidP="0014112A">
      <w:pPr>
        <w:spacing w:line="360" w:lineRule="auto"/>
        <w:ind w:firstLine="720"/>
        <w:jc w:val="both"/>
        <w:rPr>
          <w:rFonts w:ascii="GHEA Grapalat" w:hAnsi="GHEA Grapalat" w:cs="Sylfaen"/>
          <w:iCs/>
          <w:lang w:val="pt-BR"/>
        </w:rPr>
      </w:pPr>
      <w:r w:rsidRPr="00EE5B51">
        <w:rPr>
          <w:rFonts w:ascii="GHEA Grapalat" w:hAnsi="GHEA Grapalat" w:cs="Sylfaen"/>
          <w:iCs/>
          <w:lang w:val="it-IT"/>
        </w:rPr>
        <w:t xml:space="preserve">Հայաստանի Հանրապետության կառավարության 2006 թվականի փետրվարի 2-ի </w:t>
      </w:r>
      <w:r w:rsidRPr="00EE5B51">
        <w:rPr>
          <w:rFonts w:ascii="GHEA Grapalat" w:hAnsi="GHEA Grapalat" w:cs="Sylfaen"/>
          <w:iCs/>
        </w:rPr>
        <w:t>«</w:t>
      </w:r>
      <w:r w:rsidRPr="00EE5B51">
        <w:rPr>
          <w:rFonts w:ascii="GHEA Grapalat" w:hAnsi="GHEA Grapalat" w:cs="Sylfaen"/>
          <w:iCs/>
          <w:lang w:val="it-IT"/>
        </w:rPr>
        <w:t>Փորձաքննությունների կատարման ծառայության նախահաշվային արժեքի մասին</w:t>
      </w:r>
      <w:r w:rsidRPr="00EE5B51">
        <w:rPr>
          <w:rFonts w:ascii="GHEA Grapalat" w:hAnsi="GHEA Grapalat" w:cs="Sylfaen"/>
          <w:iCs/>
        </w:rPr>
        <w:t>»</w:t>
      </w:r>
      <w:r w:rsidRPr="00EE5B51">
        <w:rPr>
          <w:rFonts w:ascii="GHEA Grapalat" w:hAnsi="GHEA Grapalat" w:cs="Sylfaen"/>
          <w:iCs/>
          <w:lang w:val="it-IT"/>
        </w:rPr>
        <w:t xml:space="preserve"> թիվ 79-Ն որոշմ</w:t>
      </w:r>
      <w:r w:rsidRPr="00EE5B51">
        <w:rPr>
          <w:rFonts w:ascii="GHEA Grapalat" w:hAnsi="GHEA Grapalat" w:cs="Sylfaen"/>
          <w:iCs/>
        </w:rPr>
        <w:t>ա</w:t>
      </w:r>
      <w:r w:rsidRPr="00BA38D4">
        <w:rPr>
          <w:rFonts w:ascii="GHEA Grapalat" w:hAnsi="GHEA Grapalat" w:cs="Sylfaen"/>
          <w:iCs/>
        </w:rPr>
        <w:t>մբ</w:t>
      </w:r>
      <w:r w:rsidRPr="00EE5B51">
        <w:rPr>
          <w:rFonts w:ascii="GHEA Grapalat" w:hAnsi="GHEA Grapalat" w:cs="Sylfaen"/>
          <w:iCs/>
          <w:lang w:val="pt-BR"/>
        </w:rPr>
        <w:t xml:space="preserve"> (</w:t>
      </w:r>
      <w:r w:rsidRPr="00BA38D4">
        <w:rPr>
          <w:rFonts w:ascii="GHEA Grapalat" w:hAnsi="GHEA Grapalat" w:cs="Sylfaen"/>
          <w:iCs/>
        </w:rPr>
        <w:t>այսուհետ՝</w:t>
      </w:r>
      <w:r w:rsidRPr="00EE5B51">
        <w:rPr>
          <w:rFonts w:ascii="GHEA Grapalat" w:hAnsi="GHEA Grapalat" w:cs="Sylfaen"/>
          <w:iCs/>
          <w:lang w:val="pt-BR"/>
        </w:rPr>
        <w:t xml:space="preserve"> </w:t>
      </w:r>
      <w:r w:rsidRPr="00BA38D4">
        <w:rPr>
          <w:rFonts w:ascii="GHEA Grapalat" w:hAnsi="GHEA Grapalat" w:cs="Sylfaen"/>
          <w:iCs/>
        </w:rPr>
        <w:t>Որոշում</w:t>
      </w:r>
      <w:r w:rsidRPr="00EE5B51">
        <w:rPr>
          <w:rFonts w:ascii="GHEA Grapalat" w:hAnsi="GHEA Grapalat" w:cs="Sylfaen"/>
          <w:iCs/>
          <w:lang w:val="pt-BR"/>
        </w:rPr>
        <w:t xml:space="preserve">) </w:t>
      </w:r>
      <w:r w:rsidRPr="00BA38D4">
        <w:rPr>
          <w:rFonts w:ascii="GHEA Grapalat" w:hAnsi="GHEA Grapalat" w:cs="Sylfaen"/>
          <w:iCs/>
        </w:rPr>
        <w:t>սահմանված՝</w:t>
      </w:r>
      <w:r w:rsidRPr="00EE5B51">
        <w:rPr>
          <w:rFonts w:ascii="GHEA Grapalat" w:hAnsi="GHEA Grapalat" w:cs="Sylfaen"/>
          <w:iCs/>
          <w:lang w:val="pt-BR"/>
        </w:rPr>
        <w:t xml:space="preserve"> </w:t>
      </w:r>
      <w:r w:rsidRPr="00EE5B51">
        <w:rPr>
          <w:rFonts w:ascii="GHEA Grapalat" w:hAnsi="GHEA Grapalat" w:cs="Sylfaen"/>
          <w:iCs/>
        </w:rPr>
        <w:t xml:space="preserve">հաշվարկվող </w:t>
      </w:r>
      <w:r w:rsidRPr="00EE5B51">
        <w:rPr>
          <w:rFonts w:ascii="GHEA Grapalat" w:hAnsi="GHEA Grapalat" w:cs="Sylfaen"/>
          <w:iCs/>
          <w:lang w:val="it-IT"/>
        </w:rPr>
        <w:t xml:space="preserve">փորձաքննության արժեքը </w:t>
      </w:r>
      <w:r w:rsidRPr="00EE5B51">
        <w:rPr>
          <w:rFonts w:ascii="GHEA Grapalat" w:hAnsi="GHEA Grapalat" w:cs="Sylfaen"/>
          <w:iCs/>
        </w:rPr>
        <w:t xml:space="preserve">ներկայումս </w:t>
      </w:r>
      <w:r w:rsidRPr="00EE5B51">
        <w:rPr>
          <w:rFonts w:ascii="GHEA Grapalat" w:hAnsi="GHEA Grapalat" w:cs="Sylfaen"/>
          <w:iCs/>
          <w:lang w:val="it-IT"/>
        </w:rPr>
        <w:t>չի համապատասխանում փորձաքննության կատարման համար իրականացվող ծախսերին</w:t>
      </w:r>
      <w:r w:rsidRPr="00EE5B51">
        <w:rPr>
          <w:rFonts w:ascii="GHEA Grapalat" w:hAnsi="GHEA Grapalat" w:cs="Sylfaen"/>
          <w:iCs/>
        </w:rPr>
        <w:t>։</w:t>
      </w:r>
    </w:p>
    <w:p w:rsidR="00762062" w:rsidRPr="00113309" w:rsidRDefault="00113309" w:rsidP="0014112A">
      <w:pPr>
        <w:spacing w:line="360" w:lineRule="auto"/>
        <w:ind w:firstLine="720"/>
        <w:jc w:val="both"/>
        <w:rPr>
          <w:rFonts w:ascii="GHEA Grapalat" w:hAnsi="GHEA Grapalat" w:cs="Calibri"/>
          <w:bCs/>
          <w:color w:val="000000"/>
          <w:lang w:val="pt-BR"/>
        </w:rPr>
      </w:pPr>
      <w:r w:rsidRPr="00EE5B51">
        <w:rPr>
          <w:rFonts w:ascii="GHEA Grapalat" w:hAnsi="GHEA Grapalat" w:cs="Sylfaen"/>
          <w:iCs/>
          <w:lang w:val="en-US"/>
        </w:rPr>
        <w:t>Հաշվի</w:t>
      </w:r>
      <w:r w:rsidRPr="00EE5B51">
        <w:rPr>
          <w:rFonts w:ascii="GHEA Grapalat" w:hAnsi="GHEA Grapalat" w:cs="Sylfaen"/>
          <w:iCs/>
          <w:lang w:val="pt-BR"/>
        </w:rPr>
        <w:t xml:space="preserve"> </w:t>
      </w:r>
      <w:r w:rsidRPr="00EE5B51">
        <w:rPr>
          <w:rFonts w:ascii="GHEA Grapalat" w:hAnsi="GHEA Grapalat" w:cs="Sylfaen"/>
          <w:iCs/>
          <w:lang w:val="en-US"/>
        </w:rPr>
        <w:t>առնելով</w:t>
      </w:r>
      <w:r w:rsidRPr="00EE5B51">
        <w:rPr>
          <w:rFonts w:ascii="GHEA Grapalat" w:hAnsi="GHEA Grapalat" w:cs="Sylfaen"/>
          <w:iCs/>
          <w:lang w:val="pt-BR"/>
        </w:rPr>
        <w:t xml:space="preserve"> </w:t>
      </w:r>
      <w:r w:rsidRPr="00EE5B51">
        <w:rPr>
          <w:rFonts w:ascii="GHEA Grapalat" w:hAnsi="GHEA Grapalat" w:cs="Sylfaen"/>
          <w:iCs/>
          <w:lang w:val="en-US"/>
        </w:rPr>
        <w:t>վերոգրյալը՝</w:t>
      </w:r>
      <w:r w:rsidRPr="00EE5B51">
        <w:rPr>
          <w:rFonts w:ascii="GHEA Grapalat" w:hAnsi="GHEA Grapalat" w:cs="Sylfaen"/>
          <w:iCs/>
          <w:lang w:val="pt-BR"/>
        </w:rPr>
        <w:t xml:space="preserve"> </w:t>
      </w:r>
      <w:r w:rsidRPr="00EE5B51">
        <w:rPr>
          <w:rFonts w:ascii="GHEA Grapalat" w:hAnsi="GHEA Grapalat" w:cs="Sylfaen"/>
          <w:iCs/>
          <w:lang w:val="en-US"/>
        </w:rPr>
        <w:t>անհրաժեշտ</w:t>
      </w:r>
      <w:r w:rsidRPr="00EE5B51">
        <w:rPr>
          <w:rFonts w:ascii="GHEA Grapalat" w:hAnsi="GHEA Grapalat" w:cs="Sylfaen"/>
          <w:iCs/>
          <w:lang w:val="pt-BR"/>
        </w:rPr>
        <w:t xml:space="preserve"> </w:t>
      </w:r>
      <w:r w:rsidRPr="00EE5B51">
        <w:rPr>
          <w:rFonts w:ascii="GHEA Grapalat" w:hAnsi="GHEA Grapalat" w:cs="Sylfaen"/>
          <w:iCs/>
          <w:lang w:val="en-US"/>
        </w:rPr>
        <w:t>է</w:t>
      </w:r>
      <w:r w:rsidRPr="00EE5B51">
        <w:rPr>
          <w:rFonts w:ascii="GHEA Grapalat" w:hAnsi="GHEA Grapalat" w:cs="Sylfaen"/>
          <w:iCs/>
          <w:lang w:val="pt-BR"/>
        </w:rPr>
        <w:t xml:space="preserve"> </w:t>
      </w:r>
      <w:r w:rsidRPr="00EE5B51">
        <w:rPr>
          <w:rFonts w:ascii="GHEA Grapalat" w:hAnsi="GHEA Grapalat" w:cs="Sylfaen"/>
          <w:iCs/>
          <w:lang w:val="en-US"/>
        </w:rPr>
        <w:t>ուժը</w:t>
      </w:r>
      <w:r w:rsidRPr="00EE5B51">
        <w:rPr>
          <w:rFonts w:ascii="GHEA Grapalat" w:hAnsi="GHEA Grapalat" w:cs="Sylfaen"/>
          <w:iCs/>
          <w:lang w:val="pt-BR"/>
        </w:rPr>
        <w:t xml:space="preserve"> </w:t>
      </w:r>
      <w:r w:rsidRPr="00EE5B51">
        <w:rPr>
          <w:rFonts w:ascii="GHEA Grapalat" w:hAnsi="GHEA Grapalat" w:cs="Sylfaen"/>
          <w:iCs/>
          <w:lang w:val="en-US"/>
        </w:rPr>
        <w:t>կորցրած</w:t>
      </w:r>
      <w:r w:rsidRPr="00EE5B51">
        <w:rPr>
          <w:rFonts w:ascii="GHEA Grapalat" w:hAnsi="GHEA Grapalat" w:cs="Sylfaen"/>
          <w:iCs/>
          <w:lang w:val="pt-BR"/>
        </w:rPr>
        <w:t xml:space="preserve"> </w:t>
      </w:r>
      <w:r w:rsidRPr="00EE5B51">
        <w:rPr>
          <w:rFonts w:ascii="GHEA Grapalat" w:hAnsi="GHEA Grapalat" w:cs="Sylfaen"/>
          <w:iCs/>
          <w:lang w:val="en-US"/>
        </w:rPr>
        <w:t>ճանաչել</w:t>
      </w:r>
      <w:r w:rsidRPr="00EE5B51">
        <w:rPr>
          <w:rFonts w:ascii="GHEA Grapalat" w:hAnsi="GHEA Grapalat" w:cs="Sylfaen"/>
          <w:iCs/>
          <w:lang w:val="pt-BR"/>
        </w:rPr>
        <w:t xml:space="preserve"> </w:t>
      </w:r>
      <w:r w:rsidRPr="00EE5B51">
        <w:rPr>
          <w:rFonts w:ascii="GHEA Grapalat" w:hAnsi="GHEA Grapalat" w:cs="Sylfaen"/>
          <w:iCs/>
          <w:lang w:val="en-US"/>
        </w:rPr>
        <w:t>Որոշումը</w:t>
      </w:r>
      <w:r w:rsidRPr="00EE5B51">
        <w:rPr>
          <w:rFonts w:ascii="GHEA Grapalat" w:hAnsi="GHEA Grapalat" w:cs="Sylfaen"/>
          <w:iCs/>
          <w:lang w:val="pt-BR"/>
        </w:rPr>
        <w:t xml:space="preserve">, </w:t>
      </w:r>
      <w:r w:rsidRPr="00EE5B51">
        <w:rPr>
          <w:rFonts w:ascii="GHEA Grapalat" w:hAnsi="GHEA Grapalat" w:cs="Sylfaen"/>
          <w:iCs/>
          <w:lang w:val="en-US"/>
        </w:rPr>
        <w:t>միևնույն</w:t>
      </w:r>
      <w:r w:rsidRPr="00EE5B51">
        <w:rPr>
          <w:rFonts w:ascii="GHEA Grapalat" w:hAnsi="GHEA Grapalat" w:cs="Sylfaen"/>
          <w:iCs/>
          <w:lang w:val="pt-BR"/>
        </w:rPr>
        <w:t xml:space="preserve"> </w:t>
      </w:r>
      <w:r w:rsidRPr="00EE5B51">
        <w:rPr>
          <w:rFonts w:ascii="GHEA Grapalat" w:hAnsi="GHEA Grapalat" w:cs="Sylfaen"/>
          <w:iCs/>
          <w:lang w:val="en-US"/>
        </w:rPr>
        <w:t>ժամանակ</w:t>
      </w:r>
      <w:r w:rsidRPr="00EE5B51">
        <w:rPr>
          <w:rFonts w:ascii="GHEA Grapalat" w:hAnsi="GHEA Grapalat" w:cs="Sylfaen"/>
          <w:iCs/>
          <w:lang w:val="pt-BR"/>
        </w:rPr>
        <w:t xml:space="preserve"> </w:t>
      </w:r>
      <w:r w:rsidR="00BA38D4">
        <w:rPr>
          <w:rFonts w:ascii="GHEA Grapalat" w:hAnsi="GHEA Grapalat" w:cs="Calibri"/>
          <w:bCs/>
          <w:color w:val="000000"/>
          <w:lang w:val="pt-BR" w:eastAsia="ru-RU"/>
        </w:rPr>
        <w:t>j</w:t>
      </w:r>
      <w:r w:rsidR="00BA38D4" w:rsidRPr="00481734">
        <w:rPr>
          <w:rFonts w:ascii="GHEA Grapalat" w:hAnsi="GHEA Grapalat" w:cs="Calibri"/>
          <w:bCs/>
          <w:color w:val="000000"/>
          <w:lang w:eastAsia="ru-RU"/>
        </w:rPr>
        <w:t>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w:t>
      </w:r>
      <w:r w:rsidR="00BA38D4" w:rsidRPr="00481734">
        <w:rPr>
          <w:rFonts w:ascii="GHEA Grapalat" w:hAnsi="GHEA Grapalat"/>
          <w:bCs/>
          <w:color w:val="000000"/>
          <w:lang w:eastAsia="ru-RU"/>
        </w:rPr>
        <w:t xml:space="preserve"> արժեքն`</w:t>
      </w:r>
      <w:r w:rsidR="00BA38D4" w:rsidRPr="00481734">
        <w:rPr>
          <w:rFonts w:ascii="GHEA Grapalat" w:hAnsi="GHEA Grapalat"/>
        </w:rPr>
        <w:t xml:space="preserve"> ըստ </w:t>
      </w:r>
      <w:r w:rsidR="00BA38D4" w:rsidRPr="00481734">
        <w:rPr>
          <w:rFonts w:ascii="GHEA Grapalat" w:hAnsi="GHEA Grapalat"/>
          <w:bCs/>
          <w:color w:val="000000"/>
          <w:lang w:eastAsia="ru-RU"/>
        </w:rPr>
        <w:t>դատական փորձաքննությունների տեսակների և ենթատեսակների</w:t>
      </w:r>
      <w:r w:rsidR="00BA38D4">
        <w:rPr>
          <w:rFonts w:ascii="GHEA Grapalat" w:hAnsi="GHEA Grapalat"/>
          <w:bCs/>
          <w:color w:val="000000"/>
          <w:lang w:eastAsia="ru-RU"/>
        </w:rPr>
        <w:t xml:space="preserve"> սահմանել</w:t>
      </w:r>
      <w:r w:rsidR="00BA38D4" w:rsidRPr="00481734">
        <w:rPr>
          <w:rFonts w:ascii="GHEA Grapalat" w:hAnsi="GHEA Grapalat"/>
          <w:bCs/>
          <w:color w:val="000000"/>
          <w:lang w:eastAsia="ru-RU"/>
        </w:rPr>
        <w:t xml:space="preserve"> </w:t>
      </w:r>
      <w:r w:rsidRPr="00EE5B51">
        <w:rPr>
          <w:rFonts w:ascii="GHEA Grapalat" w:hAnsi="GHEA Grapalat"/>
          <w:bCs/>
          <w:color w:val="000000"/>
          <w:lang w:val="en-US"/>
        </w:rPr>
        <w:t>ՀՀ</w:t>
      </w:r>
      <w:r w:rsidRPr="00EE5B51">
        <w:rPr>
          <w:rFonts w:ascii="GHEA Grapalat" w:hAnsi="GHEA Grapalat"/>
          <w:bCs/>
          <w:color w:val="000000"/>
          <w:lang w:val="pt-BR"/>
        </w:rPr>
        <w:t xml:space="preserve"> </w:t>
      </w:r>
      <w:r w:rsidRPr="00EE5B51">
        <w:rPr>
          <w:rFonts w:ascii="GHEA Grapalat" w:hAnsi="GHEA Grapalat"/>
          <w:bCs/>
          <w:color w:val="000000"/>
          <w:lang w:val="en-US"/>
        </w:rPr>
        <w:t>կառավարության</w:t>
      </w:r>
      <w:r w:rsidRPr="00EE5B51">
        <w:rPr>
          <w:rFonts w:ascii="GHEA Grapalat" w:hAnsi="GHEA Grapalat"/>
          <w:bCs/>
          <w:color w:val="000000"/>
          <w:lang w:val="pt-BR"/>
        </w:rPr>
        <w:t xml:space="preserve"> </w:t>
      </w:r>
      <w:r w:rsidRPr="00EE5B51">
        <w:rPr>
          <w:rFonts w:ascii="GHEA Grapalat" w:hAnsi="GHEA Grapalat"/>
          <w:bCs/>
          <w:color w:val="000000"/>
          <w:lang w:val="en-US"/>
        </w:rPr>
        <w:t>նոր</w:t>
      </w:r>
      <w:r w:rsidR="00BA38D4" w:rsidRPr="00BA38D4">
        <w:rPr>
          <w:rFonts w:ascii="GHEA Grapalat" w:hAnsi="GHEA Grapalat"/>
          <w:bCs/>
          <w:color w:val="000000"/>
          <w:lang w:val="pt-BR"/>
        </w:rPr>
        <w:t xml:space="preserve"> </w:t>
      </w:r>
      <w:r w:rsidR="00BA38D4">
        <w:rPr>
          <w:rFonts w:ascii="GHEA Grapalat" w:hAnsi="GHEA Grapalat"/>
          <w:bCs/>
          <w:color w:val="000000"/>
          <w:lang w:val="pt-BR"/>
        </w:rPr>
        <w:t>ներքին</w:t>
      </w:r>
      <w:r w:rsidRPr="00EE5B51">
        <w:rPr>
          <w:rFonts w:ascii="GHEA Grapalat" w:hAnsi="GHEA Grapalat"/>
          <w:bCs/>
          <w:color w:val="000000"/>
          <w:lang w:val="pt-BR"/>
        </w:rPr>
        <w:t xml:space="preserve"> </w:t>
      </w:r>
      <w:r w:rsidRPr="00EE5B51">
        <w:rPr>
          <w:rFonts w:ascii="GHEA Grapalat" w:hAnsi="GHEA Grapalat"/>
          <w:bCs/>
          <w:color w:val="000000"/>
          <w:lang w:val="en-US"/>
        </w:rPr>
        <w:t>որոշմամբ</w:t>
      </w:r>
      <w:r w:rsidRPr="00EE5B51">
        <w:rPr>
          <w:rFonts w:ascii="GHEA Grapalat" w:hAnsi="GHEA Grapalat"/>
          <w:bCs/>
          <w:color w:val="000000"/>
          <w:lang w:val="pt-BR"/>
        </w:rPr>
        <w:t>:</w:t>
      </w:r>
    </w:p>
    <w:p w:rsidR="00F75933" w:rsidRPr="00B81D71" w:rsidRDefault="00F75933" w:rsidP="0014112A">
      <w:pPr>
        <w:shd w:val="clear" w:color="auto" w:fill="FFFFFF"/>
        <w:spacing w:line="360" w:lineRule="auto"/>
        <w:ind w:firstLine="720"/>
        <w:jc w:val="both"/>
        <w:rPr>
          <w:rFonts w:ascii="GHEA Grapalat" w:hAnsi="GHEA Grapalat"/>
        </w:rPr>
      </w:pPr>
      <w:r w:rsidRPr="00B81D71">
        <w:rPr>
          <w:rFonts w:ascii="GHEA Grapalat" w:hAnsi="GHEA Grapalat"/>
          <w:b/>
          <w:bCs/>
          <w:color w:val="000000"/>
        </w:rPr>
        <w:t>2.Առկա իրավիճակը.</w:t>
      </w:r>
    </w:p>
    <w:p w:rsidR="00113309" w:rsidRPr="00EE5B51" w:rsidRDefault="00113309" w:rsidP="0014112A">
      <w:pPr>
        <w:spacing w:line="360" w:lineRule="auto"/>
        <w:ind w:firstLine="720"/>
        <w:jc w:val="both"/>
        <w:rPr>
          <w:rFonts w:ascii="GHEA Grapalat" w:hAnsi="GHEA Grapalat" w:cs="Calibri"/>
          <w:bCs/>
          <w:color w:val="000000"/>
          <w:lang w:val="pt-BR"/>
        </w:rPr>
      </w:pPr>
      <w:r w:rsidRPr="00EE5B51">
        <w:rPr>
          <w:rFonts w:ascii="GHEA Grapalat" w:hAnsi="GHEA Grapalat" w:cs="Sylfaen"/>
          <w:iCs/>
          <w:lang w:val="it-IT"/>
        </w:rPr>
        <w:t xml:space="preserve">Որոշմամբ </w:t>
      </w:r>
      <w:r w:rsidRPr="00EE5B51">
        <w:rPr>
          <w:rFonts w:ascii="GHEA Grapalat" w:hAnsi="GHEA Grapalat" w:cs="Sylfaen"/>
          <w:iCs/>
        </w:rPr>
        <w:t>ս</w:t>
      </w:r>
      <w:r w:rsidRPr="00EE5B51">
        <w:rPr>
          <w:rFonts w:ascii="GHEA Grapalat" w:hAnsi="GHEA Grapalat" w:cs="Sylfaen"/>
          <w:iCs/>
          <w:lang w:val="it-IT"/>
        </w:rPr>
        <w:t xml:space="preserve">ահմանված մեկ փորձաքննության կատարման նորմատիվային ժամածախսերը խիստ տարբերվում են գործնականում մեկ փորձաքննության կատարման համար անհրաժեշտ ժամածախսերից, որից ելնելով ներկայիս գործող եղանակով յուրաքանչյուր տեսակի փորձաքննության համար սահմանված արժեքը ևս չի համապատասխանում փորձաքննության կատարման համար իրականացվող անհրաժեշտ ծախսերին։ Այս անհամապատասխանությունն առկա է </w:t>
      </w:r>
      <w:r w:rsidRPr="00EE5B51">
        <w:rPr>
          <w:rFonts w:ascii="GHEA Grapalat" w:hAnsi="GHEA Grapalat" w:cs="Sylfaen"/>
          <w:iCs/>
          <w:shd w:val="clear" w:color="auto" w:fill="FFFFFF"/>
          <w:lang w:val="it-IT"/>
        </w:rPr>
        <w:t>առնվազն վերջին հինգ տարիներին</w:t>
      </w:r>
      <w:r w:rsidRPr="00EE5B51">
        <w:rPr>
          <w:rFonts w:ascii="GHEA Grapalat" w:hAnsi="GHEA Grapalat" w:cs="Sylfaen"/>
          <w:iCs/>
          <w:shd w:val="clear" w:color="auto" w:fill="FFFFFF"/>
        </w:rPr>
        <w:t>:</w:t>
      </w:r>
      <w:r w:rsidRPr="00EE5B51">
        <w:rPr>
          <w:rFonts w:ascii="GHEA Grapalat" w:hAnsi="GHEA Grapalat" w:cs="Sylfaen"/>
          <w:iCs/>
          <w:lang w:val="it-IT"/>
        </w:rPr>
        <w:t xml:space="preserve"> </w:t>
      </w:r>
      <w:r w:rsidRPr="00EE5B51">
        <w:rPr>
          <w:rFonts w:ascii="GHEA Grapalat" w:hAnsi="GHEA Grapalat" w:cs="Sylfaen"/>
          <w:iCs/>
        </w:rPr>
        <w:t>Խ</w:t>
      </w:r>
      <w:r w:rsidRPr="00EE5B51">
        <w:rPr>
          <w:rFonts w:ascii="GHEA Grapalat" w:hAnsi="GHEA Grapalat" w:cs="Sylfaen"/>
          <w:iCs/>
          <w:lang w:val="it-IT"/>
        </w:rPr>
        <w:t>նդի</w:t>
      </w:r>
      <w:r w:rsidRPr="00EE5B51">
        <w:rPr>
          <w:rFonts w:ascii="GHEA Grapalat" w:hAnsi="GHEA Grapalat" w:cs="Sylfaen"/>
          <w:iCs/>
        </w:rPr>
        <w:t>ր</w:t>
      </w:r>
      <w:r w:rsidRPr="00EE5B51">
        <w:rPr>
          <w:rFonts w:ascii="GHEA Grapalat" w:hAnsi="GHEA Grapalat" w:cs="Sylfaen"/>
          <w:iCs/>
          <w:lang w:val="en-US"/>
        </w:rPr>
        <w:t>ը</w:t>
      </w:r>
      <w:r w:rsidRPr="00EE5B51">
        <w:rPr>
          <w:rFonts w:ascii="GHEA Grapalat" w:hAnsi="GHEA Grapalat" w:cs="Sylfaen"/>
          <w:iCs/>
          <w:lang w:val="it-IT"/>
        </w:rPr>
        <w:t xml:space="preserve"> </w:t>
      </w:r>
      <w:r w:rsidRPr="00EE5B51">
        <w:rPr>
          <w:rFonts w:ascii="GHEA Grapalat" w:hAnsi="GHEA Grapalat" w:cs="Sylfaen"/>
          <w:iCs/>
          <w:lang w:val="en-US"/>
        </w:rPr>
        <w:t>յուրաքանչյուր</w:t>
      </w:r>
      <w:r w:rsidRPr="00EE5B51">
        <w:rPr>
          <w:rFonts w:ascii="GHEA Grapalat" w:hAnsi="GHEA Grapalat" w:cs="Sylfaen"/>
          <w:iCs/>
          <w:lang w:val="it-IT"/>
        </w:rPr>
        <w:t xml:space="preserve"> </w:t>
      </w:r>
      <w:r w:rsidRPr="00EE5B51">
        <w:rPr>
          <w:rFonts w:ascii="GHEA Grapalat" w:hAnsi="GHEA Grapalat" w:cs="Sylfaen"/>
          <w:iCs/>
          <w:lang w:val="en-US"/>
        </w:rPr>
        <w:t>տարի</w:t>
      </w:r>
      <w:r w:rsidRPr="00EE5B51">
        <w:rPr>
          <w:rFonts w:ascii="GHEA Grapalat" w:hAnsi="GHEA Grapalat" w:cs="Sylfaen"/>
          <w:iCs/>
          <w:lang w:val="it-IT"/>
        </w:rPr>
        <w:t xml:space="preserve"> արձանագրվել է բյուջետային հայտերում, բայց լուծումն անընդհատ հետաձգվել է ֆինանսական միջոցների սղության կամ բացակայության պատճառաբանությամբ։ Փորձաքննությունների կատարման </w:t>
      </w:r>
      <w:r w:rsidRPr="00EE5B51">
        <w:rPr>
          <w:rFonts w:ascii="GHEA Grapalat" w:hAnsi="GHEA Grapalat" w:cs="Sylfaen"/>
          <w:iCs/>
          <w:lang w:val="it-IT"/>
        </w:rPr>
        <w:lastRenderedPageBreak/>
        <w:t xml:space="preserve">արժեքների </w:t>
      </w:r>
      <w:r w:rsidRPr="00EE5B51">
        <w:rPr>
          <w:rFonts w:ascii="GHEA Grapalat" w:hAnsi="GHEA Grapalat" w:cs="Sylfaen"/>
          <w:iCs/>
        </w:rPr>
        <w:t xml:space="preserve">ցածր լինելու պատճառով յուրաքանչյուր տարի </w:t>
      </w:r>
      <w:r w:rsidRPr="00EE5B51">
        <w:rPr>
          <w:rFonts w:ascii="GHEA Grapalat" w:hAnsi="GHEA Grapalat" w:cs="Sylfaen"/>
          <w:iCs/>
          <w:lang w:val="it-IT"/>
        </w:rPr>
        <w:t>պետական բյուջեյով</w:t>
      </w:r>
      <w:r w:rsidRPr="00EE5B51">
        <w:rPr>
          <w:rFonts w:ascii="GHEA Grapalat" w:hAnsi="GHEA Grapalat" w:cs="Sylfaen"/>
          <w:iCs/>
        </w:rPr>
        <w:t xml:space="preserve"> ոլորտին հատկացվող ծախսերը</w:t>
      </w:r>
      <w:r w:rsidRPr="00EE5B51">
        <w:rPr>
          <w:rFonts w:ascii="GHEA Grapalat" w:hAnsi="GHEA Grapalat" w:cs="Sylfaen"/>
          <w:iCs/>
          <w:lang w:val="it-IT"/>
        </w:rPr>
        <w:t xml:space="preserve"> հաշվարկվում և ֆինանսավոր</w:t>
      </w:r>
      <w:r w:rsidRPr="00EE5B51">
        <w:rPr>
          <w:rFonts w:ascii="GHEA Grapalat" w:hAnsi="GHEA Grapalat" w:cs="Sylfaen"/>
          <w:iCs/>
        </w:rPr>
        <w:t>վ</w:t>
      </w:r>
      <w:r w:rsidRPr="00EE5B51">
        <w:rPr>
          <w:rFonts w:ascii="GHEA Grapalat" w:hAnsi="GHEA Grapalat" w:cs="Sylfaen"/>
          <w:iCs/>
          <w:lang w:val="it-IT"/>
        </w:rPr>
        <w:t xml:space="preserve">ում </w:t>
      </w:r>
      <w:r w:rsidRPr="00EE5B51">
        <w:rPr>
          <w:rFonts w:ascii="GHEA Grapalat" w:hAnsi="GHEA Grapalat" w:cs="Sylfaen"/>
          <w:iCs/>
        </w:rPr>
        <w:t>են</w:t>
      </w:r>
      <w:r w:rsidRPr="00EE5B51">
        <w:rPr>
          <w:rFonts w:ascii="GHEA Grapalat" w:hAnsi="GHEA Grapalat" w:cs="Sylfaen"/>
          <w:iCs/>
          <w:lang w:val="it-IT"/>
        </w:rPr>
        <w:t xml:space="preserve"> անհամաչափ ցածր։  </w:t>
      </w:r>
    </w:p>
    <w:p w:rsidR="00113309" w:rsidRPr="00EE5B51" w:rsidRDefault="00113309" w:rsidP="0014112A">
      <w:pPr>
        <w:spacing w:line="360" w:lineRule="auto"/>
        <w:ind w:firstLine="720"/>
        <w:jc w:val="both"/>
        <w:rPr>
          <w:rFonts w:ascii="GHEA Grapalat" w:hAnsi="GHEA Grapalat" w:cs="Calibri"/>
          <w:bCs/>
          <w:color w:val="000000"/>
          <w:lang w:val="pt-BR"/>
        </w:rPr>
      </w:pPr>
      <w:r w:rsidRPr="00EE5B51">
        <w:rPr>
          <w:rFonts w:ascii="GHEA Grapalat" w:hAnsi="GHEA Grapalat" w:cs="Sylfaen"/>
          <w:iCs/>
          <w:lang w:val="it-IT"/>
        </w:rPr>
        <w:t xml:space="preserve">Խնդրի </w:t>
      </w:r>
      <w:r w:rsidRPr="00EE5B51">
        <w:rPr>
          <w:rFonts w:ascii="GHEA Grapalat" w:hAnsi="GHEA Grapalat" w:cs="Sylfaen"/>
          <w:iCs/>
        </w:rPr>
        <w:t xml:space="preserve">լուծման </w:t>
      </w:r>
      <w:r w:rsidRPr="00EE5B51">
        <w:rPr>
          <w:rFonts w:ascii="GHEA Grapalat" w:hAnsi="GHEA Grapalat" w:cs="Sylfaen"/>
          <w:iCs/>
          <w:lang w:val="it-IT"/>
        </w:rPr>
        <w:t>հետաձգում</w:t>
      </w:r>
      <w:r w:rsidRPr="00EE5B51">
        <w:rPr>
          <w:rFonts w:ascii="GHEA Grapalat" w:hAnsi="GHEA Grapalat" w:cs="Sylfaen"/>
          <w:iCs/>
        </w:rPr>
        <w:t>ը</w:t>
      </w:r>
      <w:r w:rsidRPr="00EE5B51">
        <w:rPr>
          <w:rFonts w:ascii="GHEA Grapalat" w:hAnsi="GHEA Grapalat" w:cs="Sylfaen"/>
          <w:iCs/>
          <w:lang w:val="it-IT"/>
        </w:rPr>
        <w:t xml:space="preserve"> </w:t>
      </w:r>
      <w:r w:rsidRPr="00EE5B51">
        <w:rPr>
          <w:rFonts w:ascii="GHEA Grapalat" w:hAnsi="GHEA Grapalat" w:cs="Sylfaen"/>
          <w:iCs/>
        </w:rPr>
        <w:t>բացասական</w:t>
      </w:r>
      <w:r w:rsidRPr="00EE5B51">
        <w:rPr>
          <w:rFonts w:ascii="GHEA Grapalat" w:hAnsi="GHEA Grapalat" w:cs="Sylfaen"/>
          <w:iCs/>
          <w:lang w:val="it-IT"/>
        </w:rPr>
        <w:t xml:space="preserve"> </w:t>
      </w:r>
      <w:r w:rsidRPr="00EE5B51">
        <w:rPr>
          <w:rFonts w:ascii="GHEA Grapalat" w:hAnsi="GHEA Grapalat" w:cs="Sylfaen"/>
          <w:iCs/>
        </w:rPr>
        <w:t>է</w:t>
      </w:r>
      <w:r w:rsidRPr="00EE5B51">
        <w:rPr>
          <w:rFonts w:ascii="GHEA Grapalat" w:hAnsi="GHEA Grapalat" w:cs="Sylfaen"/>
          <w:iCs/>
          <w:lang w:val="it-IT"/>
        </w:rPr>
        <w:t xml:space="preserve"> ազդում ինչպես որակյալ մասնագետներով ոլորտի համալրումն ապահովելու, այնպես էլ տեխնիկական միջոցների սպասարկման և/կամ համալրման ապահովման վրա, որպես արդյունք ուղղակիորեն ազդելով փորձաքննությունների որակի և </w:t>
      </w:r>
      <w:r w:rsidRPr="00EE5B51">
        <w:rPr>
          <w:rFonts w:ascii="GHEA Grapalat" w:hAnsi="GHEA Grapalat" w:cs="Sylfaen"/>
          <w:iCs/>
        </w:rPr>
        <w:t xml:space="preserve">կատարման </w:t>
      </w:r>
      <w:r w:rsidRPr="00EE5B51">
        <w:rPr>
          <w:rFonts w:ascii="GHEA Grapalat" w:hAnsi="GHEA Grapalat" w:cs="Sylfaen"/>
          <w:iCs/>
          <w:lang w:val="it-IT"/>
        </w:rPr>
        <w:t xml:space="preserve">ժամկետների վրա, ինչն էլ իր հերթին </w:t>
      </w:r>
      <w:r w:rsidRPr="00EE5B51">
        <w:rPr>
          <w:rFonts w:ascii="GHEA Grapalat" w:hAnsi="GHEA Grapalat" w:cs="Sylfaen"/>
          <w:iCs/>
        </w:rPr>
        <w:t>խաթար</w:t>
      </w:r>
      <w:r w:rsidRPr="00EE5B51">
        <w:rPr>
          <w:rFonts w:ascii="GHEA Grapalat" w:hAnsi="GHEA Grapalat" w:cs="Sylfaen"/>
          <w:iCs/>
          <w:lang w:val="it-IT"/>
        </w:rPr>
        <w:t>ում է քրեադատավարական գործընթացների արդյունավետությունը և դատավարական ժամկետները։ Հարկ է նշել, որ փորձաքննությունների կատարման որակի և ողջամիտ ժամկետների ապահովումը հիմնականում պայմանավորված են բարձր որակավորում ունեցող անհրաժեշտ քանակի փորձագետներով  և ժամանակակից սարքավորումներով համալրվածություն ունենալու հանգամանք</w:t>
      </w:r>
      <w:r w:rsidRPr="00EE5B51">
        <w:rPr>
          <w:rFonts w:ascii="GHEA Grapalat" w:hAnsi="GHEA Grapalat" w:cs="Sylfaen"/>
          <w:iCs/>
        </w:rPr>
        <w:t>ով</w:t>
      </w:r>
      <w:r w:rsidRPr="00EE5B51">
        <w:rPr>
          <w:rFonts w:ascii="GHEA Grapalat" w:hAnsi="GHEA Grapalat" w:cs="Sylfaen"/>
          <w:iCs/>
          <w:lang w:val="it-IT"/>
        </w:rPr>
        <w:t>։ Սակայն փորձաքննությունների արժեքների ոչ բավարար լինելու պատճառով փորձագիտական կազմակերպությունները, հանդիսանալով շահույթ ստանալու նպատակ չհետապնդող պետական ոչ առևտրային կազմակերպություններ, տարիներ շարունակ գիտական գործունեությամբ զբաղվելու պոտենցիալը օգտագործել են նաև ձեռնարկատիրական գործունեության իրականացման համար՝</w:t>
      </w:r>
      <w:r w:rsidRPr="00EE5B51">
        <w:rPr>
          <w:rFonts w:ascii="GHEA Grapalat" w:hAnsi="GHEA Grapalat" w:cs="Sylfaen"/>
          <w:iCs/>
        </w:rPr>
        <w:t xml:space="preserve"> լրացուցիչ</w:t>
      </w:r>
      <w:r w:rsidRPr="00EE5B51">
        <w:rPr>
          <w:rFonts w:ascii="GHEA Grapalat" w:hAnsi="GHEA Grapalat" w:cs="Sylfaen"/>
          <w:iCs/>
          <w:lang w:val="it-IT"/>
        </w:rPr>
        <w:t xml:space="preserve"> եկամուտներ հայթայթելու նպատակով։ Ձեռնարկատիրական եկամուտները թույլ են տվել որոշակիորեն մեղմել վերոնշյալ անհամապատասխանությունը և լուծել ընթացիկ որոշ ֆինանսական խնդիրները։ Այս առումով հարկ է նշել, որ փորձագիտական կազմակերպությունների ձեռնարկատիրական եկամուտները ձևավորվ</w:t>
      </w:r>
      <w:r w:rsidRPr="00EE5B51">
        <w:rPr>
          <w:rFonts w:ascii="GHEA Grapalat" w:hAnsi="GHEA Grapalat" w:cs="Sylfaen"/>
          <w:iCs/>
        </w:rPr>
        <w:t>ում</w:t>
      </w:r>
      <w:r w:rsidRPr="00EE5B51">
        <w:rPr>
          <w:rFonts w:ascii="GHEA Grapalat" w:hAnsi="GHEA Grapalat" w:cs="Sylfaen"/>
          <w:iCs/>
          <w:lang w:val="it-IT"/>
        </w:rPr>
        <w:t xml:space="preserve"> են հետևյալ չորս հիմնական ուղղություններից՝ </w:t>
      </w:r>
    </w:p>
    <w:p w:rsidR="00113309" w:rsidRPr="00EE5B51" w:rsidRDefault="00113309" w:rsidP="0014112A">
      <w:pPr>
        <w:spacing w:line="360" w:lineRule="auto"/>
        <w:ind w:firstLine="720"/>
        <w:jc w:val="both"/>
        <w:rPr>
          <w:rFonts w:ascii="GHEA Grapalat" w:hAnsi="GHEA Grapalat" w:cs="Sylfaen"/>
          <w:iCs/>
          <w:lang w:val="it-IT"/>
        </w:rPr>
      </w:pPr>
      <w:r w:rsidRPr="00EE5B51">
        <w:rPr>
          <w:rFonts w:ascii="GHEA Grapalat" w:hAnsi="GHEA Grapalat" w:cs="Sylfaen"/>
          <w:iCs/>
          <w:lang w:val="it-IT"/>
        </w:rPr>
        <w:t>1</w:t>
      </w:r>
      <w:r w:rsidRPr="00EE5B51">
        <w:rPr>
          <w:rFonts w:ascii="GHEA Grapalat" w:hAnsi="GHEA Grapalat" w:cs="Cambria Math"/>
          <w:iCs/>
          <w:lang w:val="it-IT"/>
        </w:rPr>
        <w:t>.</w:t>
      </w:r>
      <w:r w:rsidRPr="00EE5B51">
        <w:rPr>
          <w:rFonts w:ascii="GHEA Grapalat" w:hAnsi="GHEA Grapalat" w:cs="Sylfaen"/>
          <w:iCs/>
          <w:lang w:val="it-IT"/>
        </w:rPr>
        <w:t xml:space="preserve"> Ապահովագրական ընկերությունների կողմից պատվիրվող ավտոտրանսպորտային միջոցների պատահարների հետ կապված փորձաքննությունների կատարումից,</w:t>
      </w:r>
    </w:p>
    <w:p w:rsidR="00113309" w:rsidRPr="00EE5B51" w:rsidRDefault="00113309" w:rsidP="0014112A">
      <w:pPr>
        <w:spacing w:line="360" w:lineRule="auto"/>
        <w:ind w:firstLine="720"/>
        <w:jc w:val="both"/>
        <w:rPr>
          <w:rFonts w:ascii="GHEA Grapalat" w:hAnsi="GHEA Grapalat" w:cs="Sylfaen"/>
          <w:iCs/>
        </w:rPr>
      </w:pPr>
      <w:r w:rsidRPr="00EE5B51">
        <w:rPr>
          <w:rFonts w:ascii="GHEA Grapalat" w:hAnsi="GHEA Grapalat" w:cs="Sylfaen"/>
          <w:iCs/>
          <w:lang w:val="it-IT"/>
        </w:rPr>
        <w:lastRenderedPageBreak/>
        <w:t>2</w:t>
      </w:r>
      <w:r w:rsidRPr="00EE5B51">
        <w:rPr>
          <w:rFonts w:ascii="GHEA Grapalat" w:hAnsi="GHEA Grapalat" w:cs="Cambria Math"/>
          <w:iCs/>
          <w:lang w:val="it-IT"/>
        </w:rPr>
        <w:t>.</w:t>
      </w:r>
      <w:r w:rsidRPr="00EE5B51">
        <w:rPr>
          <w:rFonts w:ascii="GHEA Grapalat" w:hAnsi="GHEA Grapalat" w:cs="Sylfaen"/>
          <w:iCs/>
          <w:lang w:val="it-IT"/>
        </w:rPr>
        <w:t xml:space="preserve"> Ներմուծվող վթարված ավտոմեքենաների մաքսազերծման ժամանակ շուկայական </w:t>
      </w:r>
      <w:r w:rsidRPr="00EE5B51">
        <w:rPr>
          <w:rFonts w:ascii="GHEA Grapalat" w:hAnsi="GHEA Grapalat" w:cs="Sylfaen"/>
          <w:iCs/>
        </w:rPr>
        <w:t>արժեքի</w:t>
      </w:r>
      <w:r w:rsidRPr="00EE5B51">
        <w:rPr>
          <w:rFonts w:ascii="GHEA Grapalat" w:hAnsi="GHEA Grapalat" w:cs="Sylfaen"/>
          <w:iCs/>
          <w:lang w:val="it-IT"/>
        </w:rPr>
        <w:t xml:space="preserve"> որոշման նպատակով պատվիրվող փորձաքննությունների կատարումից</w:t>
      </w:r>
      <w:r w:rsidRPr="00EE5B51">
        <w:rPr>
          <w:rFonts w:ascii="GHEA Grapalat" w:hAnsi="GHEA Grapalat" w:cs="Sylfaen"/>
          <w:iCs/>
        </w:rPr>
        <w:t>,</w:t>
      </w:r>
    </w:p>
    <w:p w:rsidR="00113309" w:rsidRPr="00EE5B51" w:rsidRDefault="00113309" w:rsidP="0014112A">
      <w:pPr>
        <w:spacing w:line="360" w:lineRule="auto"/>
        <w:ind w:firstLine="720"/>
        <w:jc w:val="both"/>
        <w:rPr>
          <w:rFonts w:ascii="GHEA Grapalat" w:hAnsi="GHEA Grapalat" w:cs="Sylfaen"/>
          <w:iCs/>
          <w:lang w:val="it-IT"/>
        </w:rPr>
      </w:pPr>
      <w:r w:rsidRPr="00EE5B51">
        <w:rPr>
          <w:rFonts w:ascii="GHEA Grapalat" w:hAnsi="GHEA Grapalat" w:cs="Sylfaen"/>
          <w:iCs/>
          <w:lang w:val="it-IT"/>
        </w:rPr>
        <w:t>3</w:t>
      </w:r>
      <w:r w:rsidRPr="00EE5B51">
        <w:rPr>
          <w:rFonts w:ascii="GHEA Grapalat" w:hAnsi="GHEA Grapalat" w:cs="Cambria Math"/>
          <w:iCs/>
          <w:lang w:val="it-IT"/>
        </w:rPr>
        <w:t>.</w:t>
      </w:r>
      <w:r w:rsidRPr="00EE5B51">
        <w:rPr>
          <w:rFonts w:ascii="GHEA Grapalat" w:hAnsi="GHEA Grapalat" w:cs="Sylfaen"/>
          <w:iCs/>
          <w:lang w:val="it-IT"/>
        </w:rPr>
        <w:t xml:space="preserve"> Քաղաքացիական և վարչական գործերով դատարանների կողմից նշանակվող փորձաքննությունների կատարումից,</w:t>
      </w:r>
    </w:p>
    <w:p w:rsidR="00113309" w:rsidRPr="00EE5B51" w:rsidRDefault="00113309" w:rsidP="0014112A">
      <w:pPr>
        <w:spacing w:line="360" w:lineRule="auto"/>
        <w:ind w:firstLine="720"/>
        <w:jc w:val="both"/>
        <w:rPr>
          <w:rFonts w:ascii="GHEA Grapalat" w:hAnsi="GHEA Grapalat" w:cs="Sylfaen"/>
          <w:iCs/>
          <w:lang w:val="it-IT"/>
        </w:rPr>
      </w:pPr>
      <w:r w:rsidRPr="00EE5B51">
        <w:rPr>
          <w:rFonts w:ascii="GHEA Grapalat" w:hAnsi="GHEA Grapalat" w:cs="Sylfaen"/>
          <w:iCs/>
          <w:lang w:val="it-IT"/>
        </w:rPr>
        <w:t xml:space="preserve">4. </w:t>
      </w:r>
      <w:r w:rsidRPr="00EE5B51">
        <w:rPr>
          <w:rFonts w:ascii="GHEA Grapalat" w:hAnsi="GHEA Grapalat" w:cs="Sylfaen"/>
          <w:iCs/>
        </w:rPr>
        <w:t>Քաղաքացիաիրավական պ</w:t>
      </w:r>
      <w:r w:rsidRPr="00EE5B51">
        <w:rPr>
          <w:rFonts w:ascii="GHEA Grapalat" w:hAnsi="GHEA Grapalat" w:cs="Sylfaen"/>
          <w:iCs/>
          <w:lang w:val="it-IT"/>
        </w:rPr>
        <w:t>այմանագրերի հիման վրա մատուցվող այլ տեսակի փորձագիտական ծառայություններից (հետազոտություններից):</w:t>
      </w:r>
    </w:p>
    <w:p w:rsidR="00113309" w:rsidRPr="00EE5B51" w:rsidRDefault="00113309" w:rsidP="0014112A">
      <w:pPr>
        <w:spacing w:line="360" w:lineRule="auto"/>
        <w:ind w:firstLine="720"/>
        <w:jc w:val="both"/>
        <w:rPr>
          <w:rFonts w:ascii="GHEA Grapalat" w:hAnsi="GHEA Grapalat" w:cs="Sylfaen"/>
          <w:iCs/>
          <w:lang w:val="it-IT"/>
        </w:rPr>
      </w:pPr>
      <w:r w:rsidRPr="00EE5B51">
        <w:rPr>
          <w:rFonts w:ascii="GHEA Grapalat" w:hAnsi="GHEA Grapalat" w:cs="Sylfaen"/>
          <w:iCs/>
          <w:lang w:val="it-IT"/>
        </w:rPr>
        <w:t xml:space="preserve">Պետք է նշել, որ վերը թվարկված 1-ին </w:t>
      </w:r>
      <w:r w:rsidRPr="00EE5B51">
        <w:rPr>
          <w:rFonts w:ascii="GHEA Grapalat" w:hAnsi="GHEA Grapalat" w:cs="Sylfaen"/>
          <w:iCs/>
        </w:rPr>
        <w:t xml:space="preserve">խմբում ընդգրկված </w:t>
      </w:r>
      <w:r w:rsidRPr="00EE5B51">
        <w:rPr>
          <w:rFonts w:ascii="GHEA Grapalat" w:hAnsi="GHEA Grapalat" w:cs="Sylfaen"/>
          <w:iCs/>
          <w:lang w:val="it-IT"/>
        </w:rPr>
        <w:t xml:space="preserve">փորձաքննություններից եկամուտները </w:t>
      </w:r>
      <w:r w:rsidRPr="00EE5B51">
        <w:rPr>
          <w:rFonts w:ascii="GHEA Grapalat" w:hAnsi="GHEA Grapalat" w:cs="Sylfaen"/>
          <w:iCs/>
        </w:rPr>
        <w:t xml:space="preserve">ներկայումս </w:t>
      </w:r>
      <w:r w:rsidRPr="00EE5B51">
        <w:rPr>
          <w:rFonts w:ascii="GHEA Grapalat" w:hAnsi="GHEA Grapalat" w:cs="Sylfaen"/>
          <w:iCs/>
          <w:lang w:val="en-US"/>
        </w:rPr>
        <w:t>էականորեն</w:t>
      </w:r>
      <w:r w:rsidRPr="00EE5B51">
        <w:rPr>
          <w:rFonts w:ascii="GHEA Grapalat" w:hAnsi="GHEA Grapalat" w:cs="Sylfaen"/>
          <w:iCs/>
          <w:lang w:val="it-IT"/>
        </w:rPr>
        <w:t xml:space="preserve"> պակասել են, քանի որ այս տեսակի փորձաքննությունները </w:t>
      </w:r>
      <w:r w:rsidRPr="00EE5B51">
        <w:rPr>
          <w:rFonts w:ascii="GHEA Grapalat" w:hAnsi="GHEA Grapalat" w:cs="Sylfaen"/>
          <w:iCs/>
        </w:rPr>
        <w:t>մեծ</w:t>
      </w:r>
      <w:r w:rsidRPr="00EE5B51">
        <w:rPr>
          <w:rFonts w:ascii="GHEA Grapalat" w:hAnsi="GHEA Grapalat" w:cs="Sylfaen"/>
          <w:iCs/>
          <w:lang w:val="en-US"/>
        </w:rPr>
        <w:t>ապես</w:t>
      </w:r>
      <w:r w:rsidRPr="00EE5B51">
        <w:rPr>
          <w:rFonts w:ascii="GHEA Grapalat" w:hAnsi="GHEA Grapalat" w:cs="Sylfaen"/>
          <w:iCs/>
          <w:lang w:val="it-IT"/>
        </w:rPr>
        <w:t xml:space="preserve"> սկսել են իրականացնել </w:t>
      </w:r>
      <w:r w:rsidRPr="00EE5B51">
        <w:rPr>
          <w:rFonts w:ascii="GHEA Grapalat" w:hAnsi="GHEA Grapalat" w:cs="Sylfaen"/>
          <w:iCs/>
        </w:rPr>
        <w:t xml:space="preserve">մի շարք </w:t>
      </w:r>
      <w:r w:rsidRPr="00EE5B51">
        <w:rPr>
          <w:rFonts w:ascii="GHEA Grapalat" w:hAnsi="GHEA Grapalat" w:cs="Sylfaen"/>
          <w:iCs/>
          <w:lang w:val="it-IT"/>
        </w:rPr>
        <w:t>մասնավոր ընկերություններ, իսկ պետական փորձագիտական կազմակերպություններ</w:t>
      </w:r>
      <w:r w:rsidRPr="00EE5B51">
        <w:rPr>
          <w:rFonts w:ascii="GHEA Grapalat" w:hAnsi="GHEA Grapalat" w:cs="Sylfaen"/>
          <w:iCs/>
        </w:rPr>
        <w:t>ն</w:t>
      </w:r>
      <w:r w:rsidRPr="00EE5B51">
        <w:rPr>
          <w:rFonts w:ascii="GHEA Grapalat" w:hAnsi="GHEA Grapalat" w:cs="Sylfaen"/>
          <w:iCs/>
          <w:lang w:val="it-IT"/>
        </w:rPr>
        <w:t xml:space="preserve"> ի վիճակի չեն ձեռնարկատիրական գործունեության այդ ուղղությամբ աշխատանքներ ծավալել՝ քրեական դատավարության շրջանակներում իրենց հանձնարարվող փորձաքննությունների իրականացմամբ պայմանավորված աննախադեպ ծանրաբեռնվածության շարունակականության պատճառով։ Մասնավոր ընկերությունները գործելով առավել նպաստավոր պայմաններում (</w:t>
      </w:r>
      <w:r w:rsidRPr="00EE5B51">
        <w:rPr>
          <w:rFonts w:ascii="GHEA Grapalat" w:hAnsi="GHEA Grapalat" w:cs="Sylfaen"/>
          <w:iCs/>
        </w:rPr>
        <w:t>օրինակ՝</w:t>
      </w:r>
      <w:r w:rsidRPr="00EE5B51">
        <w:rPr>
          <w:rFonts w:ascii="GHEA Grapalat" w:hAnsi="GHEA Grapalat" w:cs="Sylfaen"/>
          <w:iCs/>
          <w:lang w:val="it-IT"/>
        </w:rPr>
        <w:t xml:space="preserve"> կատարման են ընդունում միայն այն պատվերները, որոնք տնտեսապես շահավետ են, աշխատողի հետ կնքում են ազատ ռեժիմով աշխատանքային կամ քաղաքացիաիրավական պայմանագրեր, ծախսային մասը իրականացնում են պետական գնման ընթացակարգերից դուրս, աշխատողների վարձատրությունը՝ առանց պետական ոչ առևտրային կազմակերպությունների համար գործող սահմանափակումների </w:t>
      </w:r>
      <w:r w:rsidRPr="00EE5B51">
        <w:rPr>
          <w:rFonts w:ascii="GHEA Grapalat" w:hAnsi="GHEA Grapalat" w:cs="Sylfaen"/>
          <w:iCs/>
        </w:rPr>
        <w:t>և</w:t>
      </w:r>
      <w:r w:rsidRPr="00EE5B51">
        <w:rPr>
          <w:rFonts w:ascii="GHEA Grapalat" w:hAnsi="GHEA Grapalat" w:cs="Sylfaen"/>
          <w:iCs/>
          <w:lang w:val="it-IT"/>
        </w:rPr>
        <w:t xml:space="preserve"> </w:t>
      </w:r>
      <w:r w:rsidRPr="00EE5B51">
        <w:rPr>
          <w:rFonts w:ascii="GHEA Grapalat" w:hAnsi="GHEA Grapalat" w:cs="Sylfaen"/>
          <w:iCs/>
        </w:rPr>
        <w:t>այլն</w:t>
      </w:r>
      <w:r w:rsidRPr="00EE5B51">
        <w:rPr>
          <w:rFonts w:ascii="GHEA Grapalat" w:hAnsi="GHEA Grapalat" w:cs="Sylfaen"/>
          <w:iCs/>
          <w:lang w:val="it-IT"/>
        </w:rPr>
        <w:t xml:space="preserve">) կարողանում են կրկնակի ավել վարձատրել փորձագետներին, ինչի արդյունքում պետական փորձագիտական կազմակերպությունների մի շարք բնագավառների լավագույն փորձագետների որոշ մասը, իսկ որոշ բնագավառների (ավտոտեխնիկական, հետքաբանական և այլն) հիմնական մասը այժմ աշխատում են տարբեր մասնավոր ընկերություններում։ Ստացվում է, որ պետական փորձագիտական </w:t>
      </w:r>
      <w:r w:rsidRPr="00EE5B51">
        <w:rPr>
          <w:rFonts w:ascii="GHEA Grapalat" w:hAnsi="GHEA Grapalat" w:cs="Sylfaen"/>
          <w:iCs/>
          <w:lang w:val="it-IT"/>
        </w:rPr>
        <w:lastRenderedPageBreak/>
        <w:t xml:space="preserve">կազմակերպությունները կորուստներ են ունենում մի քանի ուղղություններով՝ մի կողմից պակաս ձեռնարկատիրական եկամուտներ են ստանում այդ ուղղությամբ աշխատանքների իրականացման համար ժամանակի բացակայության պատճառով, մյուս կողմից՝ զգալի ռեսուրսներ ծախսելով, և </w:t>
      </w:r>
      <w:r w:rsidRPr="00EE5B51">
        <w:rPr>
          <w:rFonts w:ascii="GHEA Grapalat" w:hAnsi="GHEA Grapalat" w:cs="Sylfaen"/>
          <w:iCs/>
        </w:rPr>
        <w:t xml:space="preserve">պետությանը </w:t>
      </w:r>
      <w:r w:rsidRPr="00EE5B51">
        <w:rPr>
          <w:rFonts w:ascii="GHEA Grapalat" w:hAnsi="GHEA Grapalat" w:cs="Sylfaen"/>
          <w:iCs/>
          <w:lang w:val="it-IT"/>
        </w:rPr>
        <w:t>մատուց</w:t>
      </w:r>
      <w:r w:rsidRPr="00EE5B51">
        <w:rPr>
          <w:rFonts w:ascii="GHEA Grapalat" w:hAnsi="GHEA Grapalat" w:cs="Sylfaen"/>
          <w:iCs/>
        </w:rPr>
        <w:t xml:space="preserve">վող </w:t>
      </w:r>
      <w:r w:rsidRPr="00EE5B51">
        <w:rPr>
          <w:rFonts w:ascii="GHEA Grapalat" w:hAnsi="GHEA Grapalat" w:cs="Sylfaen"/>
          <w:iCs/>
          <w:lang w:val="it-IT"/>
        </w:rPr>
        <w:t>ծառայություն</w:t>
      </w:r>
      <w:r w:rsidRPr="00EE5B51">
        <w:rPr>
          <w:rFonts w:ascii="GHEA Grapalat" w:hAnsi="GHEA Grapalat" w:cs="Sylfaen"/>
          <w:iCs/>
        </w:rPr>
        <w:t xml:space="preserve">ների որակը բարձրացնելու </w:t>
      </w:r>
      <w:r w:rsidRPr="00EE5B51">
        <w:rPr>
          <w:rFonts w:ascii="GHEA Grapalat" w:hAnsi="GHEA Grapalat" w:cs="Sylfaen"/>
          <w:iCs/>
          <w:lang w:val="en-US"/>
        </w:rPr>
        <w:t>նպատակով</w:t>
      </w:r>
      <w:r w:rsidRPr="00EE5B51">
        <w:rPr>
          <w:rFonts w:ascii="GHEA Grapalat" w:hAnsi="GHEA Grapalat" w:cs="Sylfaen"/>
          <w:iCs/>
          <w:lang w:val="it-IT"/>
        </w:rPr>
        <w:t xml:space="preserve"> պատրաստելով որակյալ փորձագետների, ունենում են մասնագիտական ռեսուրսի կորուստներ, քանի որ փորձագետների</w:t>
      </w:r>
      <w:r w:rsidRPr="00EE5B51">
        <w:rPr>
          <w:rFonts w:ascii="GHEA Grapalat" w:hAnsi="GHEA Grapalat" w:cs="Sylfaen"/>
          <w:iCs/>
        </w:rPr>
        <w:t xml:space="preserve"> </w:t>
      </w:r>
      <w:r w:rsidRPr="00EE5B51">
        <w:rPr>
          <w:rFonts w:ascii="GHEA Grapalat" w:hAnsi="GHEA Grapalat" w:cs="Sylfaen"/>
          <w:iCs/>
          <w:lang w:val="en-US"/>
        </w:rPr>
        <w:t>զգալի</w:t>
      </w:r>
      <w:r w:rsidRPr="00EE5B51">
        <w:rPr>
          <w:rFonts w:ascii="GHEA Grapalat" w:hAnsi="GHEA Grapalat" w:cs="Sylfaen"/>
          <w:iCs/>
          <w:lang w:val="it-IT"/>
        </w:rPr>
        <w:t xml:space="preserve"> </w:t>
      </w:r>
      <w:r w:rsidRPr="00EE5B51">
        <w:rPr>
          <w:rFonts w:ascii="GHEA Grapalat" w:hAnsi="GHEA Grapalat" w:cs="Sylfaen"/>
          <w:iCs/>
          <w:lang w:val="en-US"/>
        </w:rPr>
        <w:t>մասը</w:t>
      </w:r>
      <w:r w:rsidRPr="00EE5B51">
        <w:rPr>
          <w:rFonts w:ascii="GHEA Grapalat" w:hAnsi="GHEA Grapalat" w:cs="Sylfaen"/>
          <w:iCs/>
          <w:lang w:val="it-IT"/>
        </w:rPr>
        <w:t xml:space="preserve">, գերադասելով անհամեմատ </w:t>
      </w:r>
      <w:r w:rsidRPr="00EE5B51">
        <w:rPr>
          <w:rFonts w:ascii="GHEA Grapalat" w:hAnsi="GHEA Grapalat" w:cs="Sylfaen"/>
          <w:iCs/>
          <w:lang w:val="en-US"/>
        </w:rPr>
        <w:t>բարձր</w:t>
      </w:r>
      <w:r w:rsidRPr="00EE5B51">
        <w:rPr>
          <w:rFonts w:ascii="GHEA Grapalat" w:hAnsi="GHEA Grapalat" w:cs="Sylfaen"/>
          <w:iCs/>
          <w:lang w:val="it-IT"/>
        </w:rPr>
        <w:t xml:space="preserve"> (կրկնակիից ավելի) աշխատավարձով և ավելի սակավ պատասխանատվությամբ աշխատանքը, տեղափոխվում են մասնավոր ընկերություններ, ինչն իր հերթին շարունակաբար և տարեց տարի ավելի վատթարացնող, էական բացասական ազդեցությունն է ունեն</w:t>
      </w:r>
      <w:r w:rsidRPr="00EE5B51">
        <w:rPr>
          <w:rFonts w:ascii="GHEA Grapalat" w:hAnsi="GHEA Grapalat" w:cs="Sylfaen"/>
          <w:iCs/>
        </w:rPr>
        <w:t xml:space="preserve">ում </w:t>
      </w:r>
      <w:r w:rsidRPr="00EE5B51">
        <w:rPr>
          <w:rFonts w:ascii="GHEA Grapalat" w:hAnsi="GHEA Grapalat" w:cs="Sylfaen"/>
          <w:iCs/>
          <w:lang w:val="it-IT"/>
        </w:rPr>
        <w:t>քրեական դատավարության շրջանակներում նշանակվող փորձաքննությունների իրականացման որակի ու ժամկետների վրա՝ պահանջելով խնդրո առարկայի շուտափույթ լուծմանն ուղղված քայլերի իրականացում:</w:t>
      </w:r>
    </w:p>
    <w:p w:rsidR="00113309" w:rsidRPr="00EE5B51" w:rsidRDefault="00113309" w:rsidP="0014112A">
      <w:pPr>
        <w:spacing w:line="360" w:lineRule="auto"/>
        <w:ind w:firstLine="720"/>
        <w:jc w:val="both"/>
        <w:rPr>
          <w:rFonts w:ascii="GHEA Grapalat" w:hAnsi="GHEA Grapalat" w:cs="Sylfaen"/>
          <w:iCs/>
          <w:lang w:val="it-IT"/>
        </w:rPr>
      </w:pPr>
      <w:r w:rsidRPr="00EE5B51">
        <w:rPr>
          <w:rFonts w:ascii="GHEA Grapalat" w:hAnsi="GHEA Grapalat" w:cs="Sylfaen"/>
          <w:iCs/>
          <w:lang w:val="it-IT"/>
        </w:rPr>
        <w:t xml:space="preserve">Վերը նշված 2-րդ </w:t>
      </w:r>
      <w:r w:rsidRPr="00EE5B51">
        <w:rPr>
          <w:rFonts w:ascii="GHEA Grapalat" w:hAnsi="GHEA Grapalat" w:cs="Sylfaen"/>
          <w:iCs/>
        </w:rPr>
        <w:t>խ</w:t>
      </w:r>
      <w:r w:rsidRPr="00EE5B51">
        <w:rPr>
          <w:rFonts w:ascii="GHEA Grapalat" w:hAnsi="GHEA Grapalat" w:cs="Sylfaen"/>
          <w:iCs/>
          <w:lang w:val="en-US"/>
        </w:rPr>
        <w:t>մբում</w:t>
      </w:r>
      <w:r w:rsidRPr="00EE5B51">
        <w:rPr>
          <w:rFonts w:ascii="GHEA Grapalat" w:hAnsi="GHEA Grapalat" w:cs="Sylfaen"/>
          <w:iCs/>
          <w:lang w:val="it-IT"/>
        </w:rPr>
        <w:t xml:space="preserve"> </w:t>
      </w:r>
      <w:r w:rsidRPr="00EE5B51">
        <w:rPr>
          <w:rFonts w:ascii="GHEA Grapalat" w:hAnsi="GHEA Grapalat" w:cs="Sylfaen"/>
          <w:iCs/>
          <w:lang w:val="en-US"/>
        </w:rPr>
        <w:t>ներառված</w:t>
      </w:r>
      <w:r w:rsidRPr="00EE5B51">
        <w:rPr>
          <w:rFonts w:ascii="GHEA Grapalat" w:hAnsi="GHEA Grapalat" w:cs="Sylfaen"/>
          <w:iCs/>
          <w:lang w:val="it-IT"/>
        </w:rPr>
        <w:t xml:space="preserve"> փորձաքննություններ</w:t>
      </w:r>
      <w:r w:rsidRPr="00EE5B51">
        <w:rPr>
          <w:rFonts w:ascii="GHEA Grapalat" w:hAnsi="GHEA Grapalat" w:cs="Sylfaen"/>
          <w:iCs/>
        </w:rPr>
        <w:t xml:space="preserve">ը </w:t>
      </w:r>
      <w:r w:rsidRPr="00EE5B51">
        <w:rPr>
          <w:rFonts w:ascii="GHEA Grapalat" w:hAnsi="GHEA Grapalat" w:cs="Sylfaen"/>
          <w:iCs/>
          <w:lang w:val="it-IT"/>
        </w:rPr>
        <w:t>2018 թվականից ընդհանրապես չ</w:t>
      </w:r>
      <w:r w:rsidRPr="00EE5B51">
        <w:rPr>
          <w:rFonts w:ascii="GHEA Grapalat" w:hAnsi="GHEA Grapalat" w:cs="Sylfaen"/>
          <w:iCs/>
        </w:rPr>
        <w:t>են</w:t>
      </w:r>
      <w:r w:rsidRPr="00EE5B51">
        <w:rPr>
          <w:rFonts w:ascii="GHEA Grapalat" w:hAnsi="GHEA Grapalat" w:cs="Sylfaen"/>
          <w:iCs/>
          <w:lang w:val="it-IT"/>
        </w:rPr>
        <w:t xml:space="preserve"> իրականացվում՝ </w:t>
      </w:r>
      <w:r w:rsidRPr="00EE5B51">
        <w:rPr>
          <w:rFonts w:ascii="GHEA Grapalat" w:hAnsi="GHEA Grapalat" w:cs="Sylfaen"/>
          <w:iCs/>
        </w:rPr>
        <w:t xml:space="preserve">ՀՀ ՊԵԿ մարմինների կողմից </w:t>
      </w:r>
      <w:r w:rsidRPr="00EE5B51">
        <w:rPr>
          <w:rFonts w:ascii="GHEA Grapalat" w:hAnsi="GHEA Grapalat" w:cs="Sylfaen"/>
          <w:iCs/>
          <w:lang w:val="it-IT"/>
        </w:rPr>
        <w:t>ավտոմեքենաների մաքսազերծումը գնումն հիմնավորող փաստաթղթերով իրականացնելու պա</w:t>
      </w:r>
      <w:r w:rsidRPr="00EE5B51">
        <w:rPr>
          <w:rFonts w:ascii="GHEA Grapalat" w:hAnsi="GHEA Grapalat" w:cs="Sylfaen"/>
          <w:iCs/>
        </w:rPr>
        <w:t>տճառով, մինչդեռ այս ուղղությամբ եկամուտներ</w:t>
      </w:r>
      <w:r w:rsidRPr="00EE5B51">
        <w:rPr>
          <w:rFonts w:ascii="GHEA Grapalat" w:hAnsi="GHEA Grapalat" w:cs="Sylfaen"/>
          <w:iCs/>
          <w:lang w:val="en-US"/>
        </w:rPr>
        <w:t>ն</w:t>
      </w:r>
      <w:r w:rsidRPr="00EE5B51">
        <w:rPr>
          <w:rFonts w:ascii="GHEA Grapalat" w:hAnsi="GHEA Grapalat" w:cs="Sylfaen"/>
          <w:iCs/>
        </w:rPr>
        <w:t xml:space="preserve"> օրինակ «Հայաստանի Հանրապետության փորձագիտական կենտրոն» պետական ոչ առևտրային կազմակերպությունում, </w:t>
      </w:r>
      <w:r w:rsidRPr="00EE5B51">
        <w:rPr>
          <w:rFonts w:ascii="GHEA Grapalat" w:hAnsi="GHEA Grapalat" w:cs="Sylfaen"/>
          <w:iCs/>
          <w:lang w:val="en-US"/>
        </w:rPr>
        <w:t>նախորդող</w:t>
      </w:r>
      <w:r w:rsidRPr="00EE5B51">
        <w:rPr>
          <w:rFonts w:ascii="GHEA Grapalat" w:hAnsi="GHEA Grapalat" w:cs="Sylfaen"/>
          <w:iCs/>
          <w:lang w:val="it-IT"/>
        </w:rPr>
        <w:t xml:space="preserve"> </w:t>
      </w:r>
      <w:r w:rsidRPr="00EE5B51">
        <w:rPr>
          <w:rFonts w:ascii="GHEA Grapalat" w:hAnsi="GHEA Grapalat" w:cs="Sylfaen"/>
          <w:iCs/>
        </w:rPr>
        <w:t xml:space="preserve">տարիներին կազմել են տարեկան </w:t>
      </w:r>
      <w:r w:rsidRPr="00EE5B51">
        <w:rPr>
          <w:rFonts w:ascii="GHEA Grapalat" w:hAnsi="GHEA Grapalat" w:cs="Sylfaen"/>
          <w:iCs/>
          <w:lang w:val="en-US"/>
        </w:rPr>
        <w:t>շուրջ</w:t>
      </w:r>
      <w:r w:rsidRPr="00EE5B51">
        <w:rPr>
          <w:rFonts w:ascii="GHEA Grapalat" w:hAnsi="GHEA Grapalat" w:cs="Sylfaen"/>
          <w:iCs/>
          <w:lang w:val="it-IT"/>
        </w:rPr>
        <w:t xml:space="preserve"> </w:t>
      </w:r>
      <w:r w:rsidRPr="00EE5B51">
        <w:rPr>
          <w:rFonts w:ascii="GHEA Grapalat" w:hAnsi="GHEA Grapalat" w:cs="Sylfaen"/>
          <w:iCs/>
        </w:rPr>
        <w:t>100 մլն. ՀՀ դրամից</w:t>
      </w:r>
      <w:r w:rsidRPr="00EE5B51">
        <w:rPr>
          <w:rFonts w:ascii="GHEA Grapalat" w:hAnsi="GHEA Grapalat" w:cs="Sylfaen"/>
          <w:iCs/>
          <w:lang w:val="it-IT"/>
        </w:rPr>
        <w:t xml:space="preserve"> </w:t>
      </w:r>
      <w:r w:rsidRPr="00EE5B51">
        <w:rPr>
          <w:rFonts w:ascii="GHEA Grapalat" w:hAnsi="GHEA Grapalat" w:cs="Sylfaen"/>
          <w:iCs/>
        </w:rPr>
        <w:t>ավելի</w:t>
      </w:r>
      <w:r w:rsidRPr="00EE5B51">
        <w:rPr>
          <w:rFonts w:ascii="GHEA Grapalat" w:hAnsi="GHEA Grapalat" w:cs="Sylfaen"/>
          <w:iCs/>
          <w:lang w:val="it-IT"/>
        </w:rPr>
        <w:t>։</w:t>
      </w:r>
    </w:p>
    <w:p w:rsidR="00113309" w:rsidRPr="00EE5B51" w:rsidRDefault="00113309" w:rsidP="0014112A">
      <w:pPr>
        <w:spacing w:line="360" w:lineRule="auto"/>
        <w:ind w:firstLine="720"/>
        <w:jc w:val="both"/>
        <w:rPr>
          <w:rFonts w:ascii="GHEA Grapalat" w:hAnsi="GHEA Grapalat" w:cs="Sylfaen"/>
          <w:iCs/>
        </w:rPr>
      </w:pPr>
      <w:r w:rsidRPr="00EE5B51">
        <w:rPr>
          <w:rFonts w:ascii="GHEA Grapalat" w:hAnsi="GHEA Grapalat" w:cs="Sylfaen"/>
          <w:iCs/>
          <w:lang w:val="it-IT"/>
        </w:rPr>
        <w:t xml:space="preserve">Վերը նշված 3-րդ </w:t>
      </w:r>
      <w:r w:rsidRPr="00EE5B51">
        <w:rPr>
          <w:rFonts w:ascii="GHEA Grapalat" w:hAnsi="GHEA Grapalat" w:cs="Sylfaen"/>
          <w:iCs/>
        </w:rPr>
        <w:t>խմբում ընդգրկված</w:t>
      </w:r>
      <w:r w:rsidRPr="00EE5B51">
        <w:rPr>
          <w:rFonts w:ascii="GHEA Grapalat" w:hAnsi="GHEA Grapalat" w:cs="Sylfaen"/>
          <w:iCs/>
          <w:lang w:val="it-IT"/>
        </w:rPr>
        <w:t xml:space="preserve"> փորձաքննությունների (ՀՀ դատարանների կողմից քաղաքացիական կամ վարչական դատավարությունների շրջանակներում նշանակվող) կատարման մասով հարկ է նշել, որ </w:t>
      </w:r>
      <w:r w:rsidRPr="00EE5B51">
        <w:rPr>
          <w:rFonts w:ascii="GHEA Grapalat" w:hAnsi="GHEA Grapalat" w:cs="Sylfaen"/>
          <w:iCs/>
        </w:rPr>
        <w:t>չնայած</w:t>
      </w:r>
      <w:r w:rsidRPr="00EE5B51">
        <w:rPr>
          <w:rFonts w:ascii="GHEA Grapalat" w:hAnsi="GHEA Grapalat" w:cs="Sylfaen"/>
          <w:iCs/>
          <w:lang w:val="it-IT"/>
        </w:rPr>
        <w:t xml:space="preserve"> դրանց քանակը չի նվազել, </w:t>
      </w:r>
      <w:r w:rsidRPr="00EE5B51">
        <w:rPr>
          <w:rFonts w:ascii="GHEA Grapalat" w:hAnsi="GHEA Grapalat" w:cs="Sylfaen"/>
          <w:iCs/>
        </w:rPr>
        <w:t>այլ</w:t>
      </w:r>
      <w:r w:rsidRPr="00EE5B51">
        <w:rPr>
          <w:rFonts w:ascii="GHEA Grapalat" w:hAnsi="GHEA Grapalat" w:cs="Sylfaen"/>
          <w:iCs/>
          <w:lang w:val="it-IT"/>
        </w:rPr>
        <w:t xml:space="preserve"> </w:t>
      </w:r>
      <w:r w:rsidRPr="00EE5B51">
        <w:rPr>
          <w:rFonts w:ascii="GHEA Grapalat" w:hAnsi="GHEA Grapalat" w:cs="Sylfaen"/>
          <w:iCs/>
        </w:rPr>
        <w:t>որոշ</w:t>
      </w:r>
      <w:r w:rsidRPr="00EE5B51">
        <w:rPr>
          <w:rFonts w:ascii="GHEA Grapalat" w:hAnsi="GHEA Grapalat" w:cs="Sylfaen"/>
          <w:iCs/>
          <w:lang w:val="it-IT"/>
        </w:rPr>
        <w:t xml:space="preserve"> </w:t>
      </w:r>
      <w:r w:rsidRPr="00EE5B51">
        <w:rPr>
          <w:rFonts w:ascii="GHEA Grapalat" w:hAnsi="GHEA Grapalat" w:cs="Sylfaen"/>
          <w:iCs/>
        </w:rPr>
        <w:t>փորձաքննությունների</w:t>
      </w:r>
      <w:r w:rsidRPr="00EE5B51">
        <w:rPr>
          <w:rFonts w:ascii="GHEA Grapalat" w:hAnsi="GHEA Grapalat" w:cs="Sylfaen"/>
          <w:iCs/>
          <w:lang w:val="it-IT"/>
        </w:rPr>
        <w:t xml:space="preserve"> </w:t>
      </w:r>
      <w:r w:rsidRPr="00EE5B51">
        <w:rPr>
          <w:rFonts w:ascii="GHEA Grapalat" w:hAnsi="GHEA Grapalat" w:cs="Sylfaen"/>
          <w:iCs/>
        </w:rPr>
        <w:t>տեսակներով</w:t>
      </w:r>
      <w:r w:rsidRPr="00EE5B51">
        <w:rPr>
          <w:rFonts w:ascii="GHEA Grapalat" w:hAnsi="GHEA Grapalat" w:cs="Sylfaen"/>
          <w:iCs/>
          <w:lang w:val="it-IT"/>
        </w:rPr>
        <w:t xml:space="preserve"> </w:t>
      </w:r>
      <w:r w:rsidRPr="00EE5B51">
        <w:rPr>
          <w:rFonts w:ascii="GHEA Grapalat" w:hAnsi="GHEA Grapalat" w:cs="Sylfaen"/>
          <w:iCs/>
        </w:rPr>
        <w:t>նույնիսկ</w:t>
      </w:r>
      <w:r w:rsidRPr="00EE5B51">
        <w:rPr>
          <w:rFonts w:ascii="GHEA Grapalat" w:hAnsi="GHEA Grapalat" w:cs="Sylfaen"/>
          <w:iCs/>
          <w:lang w:val="it-IT"/>
        </w:rPr>
        <w:t xml:space="preserve"> </w:t>
      </w:r>
      <w:r w:rsidRPr="00EE5B51">
        <w:rPr>
          <w:rFonts w:ascii="GHEA Grapalat" w:hAnsi="GHEA Grapalat" w:cs="Sylfaen"/>
          <w:iCs/>
        </w:rPr>
        <w:t>աճել</w:t>
      </w:r>
      <w:r w:rsidRPr="00EE5B51">
        <w:rPr>
          <w:rFonts w:ascii="GHEA Grapalat" w:hAnsi="GHEA Grapalat" w:cs="Sylfaen"/>
          <w:iCs/>
          <w:lang w:val="it-IT"/>
        </w:rPr>
        <w:t xml:space="preserve"> </w:t>
      </w:r>
      <w:r w:rsidRPr="00EE5B51">
        <w:rPr>
          <w:rFonts w:ascii="GHEA Grapalat" w:hAnsi="GHEA Grapalat" w:cs="Sylfaen"/>
          <w:iCs/>
        </w:rPr>
        <w:t>է</w:t>
      </w:r>
      <w:r w:rsidRPr="00EE5B51">
        <w:rPr>
          <w:rFonts w:ascii="GHEA Grapalat" w:hAnsi="GHEA Grapalat" w:cs="Sylfaen"/>
          <w:iCs/>
          <w:lang w:val="it-IT"/>
        </w:rPr>
        <w:t xml:space="preserve">, </w:t>
      </w:r>
      <w:r w:rsidRPr="00EE5B51">
        <w:rPr>
          <w:rFonts w:ascii="GHEA Grapalat" w:hAnsi="GHEA Grapalat" w:cs="Sylfaen"/>
          <w:iCs/>
        </w:rPr>
        <w:t>այնուամենայնիվ</w:t>
      </w:r>
      <w:r w:rsidRPr="00EE5B51">
        <w:rPr>
          <w:rFonts w:ascii="GHEA Grapalat" w:hAnsi="GHEA Grapalat" w:cs="Sylfaen"/>
          <w:iCs/>
          <w:lang w:val="it-IT"/>
        </w:rPr>
        <w:t>, այս ուղղությամբ իրականացվող փորձաքննությունների կատարումն ըստ էության հա</w:t>
      </w:r>
      <w:r w:rsidRPr="00EE5B51">
        <w:rPr>
          <w:rFonts w:ascii="GHEA Grapalat" w:hAnsi="GHEA Grapalat" w:cs="Sylfaen"/>
          <w:iCs/>
        </w:rPr>
        <w:t>նդիսանում</w:t>
      </w:r>
      <w:r w:rsidRPr="00EE5B51">
        <w:rPr>
          <w:rFonts w:ascii="GHEA Grapalat" w:hAnsi="GHEA Grapalat" w:cs="Sylfaen"/>
          <w:iCs/>
          <w:lang w:val="it-IT"/>
        </w:rPr>
        <w:t xml:space="preserve"> </w:t>
      </w:r>
      <w:r w:rsidRPr="00EE5B51">
        <w:rPr>
          <w:rFonts w:ascii="GHEA Grapalat" w:hAnsi="GHEA Grapalat" w:cs="Sylfaen"/>
          <w:iCs/>
        </w:rPr>
        <w:t>է</w:t>
      </w:r>
      <w:r w:rsidRPr="00EE5B51">
        <w:rPr>
          <w:rFonts w:ascii="GHEA Grapalat" w:hAnsi="GHEA Grapalat" w:cs="Sylfaen"/>
          <w:iCs/>
          <w:lang w:val="it-IT"/>
        </w:rPr>
        <w:t xml:space="preserve"> ոչ շահավետ, քանի որ փորձաքննության ծախսի վճարման հարցը, գործերի գերակշիռ մասում փորձաքննություն նշանակելիս դատարանների որոշումներով </w:t>
      </w:r>
      <w:r w:rsidRPr="00EE5B51">
        <w:rPr>
          <w:rFonts w:ascii="GHEA Grapalat" w:hAnsi="GHEA Grapalat" w:cs="Sylfaen"/>
          <w:iCs/>
          <w:lang w:val="it-IT"/>
        </w:rPr>
        <w:lastRenderedPageBreak/>
        <w:t>լուծման են թողնվում վերջնական դատական ակտով, որի կայացումն ու բողոքարկումներով պայմանավորված օրինական ուժի մեջ մտնելը գերակշիռ դեպքերում տարիներ են տևում, իսկ դատական ակտի օրինական ուժի մեջ մտնելուց հետո նույնիսկ հաճախակի դեպքերում կողմը, որի վրա վերջնական դատական ակտով դրվում է փորձաքննության ծախսի վճարման պարտավորությունը, չի ունենում դրամական միջոցներ և գույք, այդպիսով նշված ծախսերի ստացումը դարձնելով անիրատեսական: Այս առումով փորձագիտական կազմակերպությունը ներկայիս օրենսդրական կարգավորումների պայմաններում չունի իր շահերը պաշտպանելու իրատեսական օրենսդրական գործիքներ, քանի որ մի կողմից փորձագիտական կազմակերպությունը պարտավոր է կատարել փորձաքննություն նշանակելու մասին դատարանի որոշման պահանջը, հոգալ փորձաքննության կատարման հետ կապված ծախսերը, փորձաքննության ավարտման օրը դուրս գրել հարկային հաշիվ և օրենսդրությամբ սահմանված կարգով վճարել հարկերը, որոշ դեպքերում տարիներ անց նույնիսկ դատական ակտի օրինական ուժի մեջ մտնելու դեպքում անգամ առհասարակ չստանալով որևէ փոխհատուցում։</w:t>
      </w:r>
      <w:r w:rsidRPr="00EE5B51">
        <w:rPr>
          <w:rFonts w:ascii="GHEA Grapalat" w:hAnsi="GHEA Grapalat" w:cs="Sylfaen"/>
          <w:iCs/>
        </w:rPr>
        <w:t xml:space="preserve"> Այս առումով հարկ է նշել, որ ներկայումս պետական փորձագիտական կազմակերպություններում առկա են տասնյակ միլիոնների հասնող կուտակված փաստացի անհուսալի դեբիտորական պարտքեր:</w:t>
      </w:r>
    </w:p>
    <w:p w:rsidR="00113309" w:rsidRPr="00EE5B51" w:rsidRDefault="00113309" w:rsidP="0014112A">
      <w:pPr>
        <w:spacing w:line="360" w:lineRule="auto"/>
        <w:ind w:firstLine="720"/>
        <w:jc w:val="both"/>
        <w:rPr>
          <w:rFonts w:ascii="GHEA Grapalat" w:hAnsi="GHEA Grapalat" w:cs="Sylfaen"/>
          <w:iCs/>
          <w:lang w:val="it-IT"/>
        </w:rPr>
      </w:pPr>
      <w:r w:rsidRPr="00EE5B51">
        <w:rPr>
          <w:rFonts w:ascii="GHEA Grapalat" w:hAnsi="GHEA Grapalat" w:cs="Sylfaen"/>
          <w:iCs/>
        </w:rPr>
        <w:t>Քաղաքացիաիրավական պ</w:t>
      </w:r>
      <w:r w:rsidRPr="00EE5B51">
        <w:rPr>
          <w:rFonts w:ascii="GHEA Grapalat" w:hAnsi="GHEA Grapalat" w:cs="Sylfaen"/>
          <w:iCs/>
          <w:lang w:val="it-IT"/>
        </w:rPr>
        <w:t>այմանագրերի հիման վրա մատուցվող այլ տեսակի փորձագիտական ծառայությունների մասով հարկ է նշել, որ այդպիսիք չունեն բարձր պահանջարկ և չեն ձևավորում էական բյուջե՝ ոլորտի զարգացման և առկա խնդիրների պատշաճ լուծումները ծախսածածկելու համար, առավել ևս այն պարագայում, երբ ինչպես վերը նշվեց, պետական փորձագիտական կազմակերպությունները ի վիճակի չեն ձեռնարկատիրական գործունեության այդ ուղղությամբ ակտիվ աշխատանքներ ծավալել՝ քրեական դատավարության շրջանակներում իրենց հանձնարարվող փորձաքննությունների իրականացմամբ պայմանավորված աննախադեպ ծանրաբեռնվածության շարունակականության պատճառով։</w:t>
      </w:r>
    </w:p>
    <w:p w:rsidR="00113309" w:rsidRPr="00EE5B51" w:rsidRDefault="00113309" w:rsidP="0014112A">
      <w:pPr>
        <w:spacing w:line="360" w:lineRule="auto"/>
        <w:ind w:firstLine="720"/>
        <w:jc w:val="both"/>
        <w:rPr>
          <w:rFonts w:ascii="GHEA Grapalat" w:hAnsi="GHEA Grapalat" w:cs="Sylfaen"/>
        </w:rPr>
      </w:pPr>
      <w:r w:rsidRPr="00EE5B51">
        <w:rPr>
          <w:rFonts w:ascii="GHEA Grapalat" w:hAnsi="GHEA Grapalat" w:cs="Sylfaen"/>
          <w:iCs/>
        </w:rPr>
        <w:lastRenderedPageBreak/>
        <w:t>Վերոնշյալ ուղղություններով ստացված եկամուտների հաշվին մինչ այժմ</w:t>
      </w:r>
      <w:r w:rsidRPr="00EE5B51">
        <w:rPr>
          <w:rFonts w:ascii="GHEA Grapalat" w:hAnsi="GHEA Grapalat" w:cs="Sylfaen"/>
          <w:iCs/>
          <w:lang w:val="it-IT"/>
        </w:rPr>
        <w:t xml:space="preserve"> </w:t>
      </w:r>
      <w:r w:rsidRPr="00EE5B51">
        <w:rPr>
          <w:rFonts w:ascii="GHEA Grapalat" w:hAnsi="GHEA Grapalat" w:cs="Sylfaen"/>
          <w:iCs/>
        </w:rPr>
        <w:t>համահարթեցվել է պետական</w:t>
      </w:r>
      <w:r w:rsidRPr="00EE5B51">
        <w:rPr>
          <w:rFonts w:ascii="GHEA Grapalat" w:hAnsi="GHEA Grapalat" w:cs="Sylfaen"/>
          <w:iCs/>
          <w:lang w:val="it-IT"/>
        </w:rPr>
        <w:t xml:space="preserve"> </w:t>
      </w:r>
      <w:r w:rsidRPr="00EE5B51">
        <w:rPr>
          <w:rFonts w:ascii="GHEA Grapalat" w:hAnsi="GHEA Grapalat" w:cs="Sylfaen"/>
          <w:iCs/>
        </w:rPr>
        <w:t>պատվերի</w:t>
      </w:r>
      <w:r w:rsidRPr="00EE5B51">
        <w:rPr>
          <w:rFonts w:ascii="GHEA Grapalat" w:hAnsi="GHEA Grapalat" w:cs="Sylfaen"/>
          <w:iCs/>
          <w:lang w:val="it-IT"/>
        </w:rPr>
        <w:t xml:space="preserve"> </w:t>
      </w:r>
      <w:r w:rsidRPr="00EE5B51">
        <w:rPr>
          <w:rFonts w:ascii="GHEA Grapalat" w:hAnsi="GHEA Grapalat" w:cs="Sylfaen"/>
          <w:iCs/>
        </w:rPr>
        <w:t>շրջանակներում</w:t>
      </w:r>
      <w:r w:rsidRPr="00EE5B51">
        <w:rPr>
          <w:rFonts w:ascii="GHEA Grapalat" w:hAnsi="GHEA Grapalat" w:cs="Sylfaen"/>
          <w:iCs/>
          <w:lang w:val="it-IT"/>
        </w:rPr>
        <w:t xml:space="preserve"> </w:t>
      </w:r>
      <w:r w:rsidRPr="00EE5B51">
        <w:rPr>
          <w:rFonts w:ascii="GHEA Grapalat" w:hAnsi="GHEA Grapalat" w:cs="Sylfaen"/>
          <w:iCs/>
        </w:rPr>
        <w:t>իրականացվող</w:t>
      </w:r>
      <w:r w:rsidRPr="00EE5B51">
        <w:rPr>
          <w:rFonts w:ascii="GHEA Grapalat" w:hAnsi="GHEA Grapalat" w:cs="Sylfaen"/>
          <w:iCs/>
          <w:lang w:val="it-IT"/>
        </w:rPr>
        <w:t xml:space="preserve"> </w:t>
      </w:r>
      <w:r w:rsidRPr="00EE5B51">
        <w:rPr>
          <w:rFonts w:ascii="GHEA Grapalat" w:hAnsi="GHEA Grapalat" w:cs="Sylfaen"/>
          <w:iCs/>
        </w:rPr>
        <w:t>փորձաքննության ոչ</w:t>
      </w:r>
      <w:r w:rsidRPr="00EE5B51">
        <w:rPr>
          <w:rFonts w:ascii="GHEA Grapalat" w:hAnsi="GHEA Grapalat" w:cs="Sylfaen"/>
          <w:iCs/>
          <w:lang w:val="it-IT"/>
        </w:rPr>
        <w:t xml:space="preserve"> </w:t>
      </w:r>
      <w:r w:rsidRPr="00EE5B51">
        <w:rPr>
          <w:rFonts w:ascii="GHEA Grapalat" w:hAnsi="GHEA Grapalat" w:cs="Sylfaen"/>
          <w:iCs/>
        </w:rPr>
        <w:t>համաչափ</w:t>
      </w:r>
      <w:r w:rsidRPr="00EE5B51">
        <w:rPr>
          <w:rFonts w:ascii="GHEA Grapalat" w:hAnsi="GHEA Grapalat" w:cs="Sylfaen"/>
          <w:iCs/>
          <w:lang w:val="it-IT"/>
        </w:rPr>
        <w:t xml:space="preserve"> </w:t>
      </w:r>
      <w:r w:rsidRPr="00EE5B51">
        <w:rPr>
          <w:rFonts w:ascii="GHEA Grapalat" w:hAnsi="GHEA Grapalat" w:cs="Sylfaen"/>
          <w:iCs/>
        </w:rPr>
        <w:t>արժեքով</w:t>
      </w:r>
      <w:r w:rsidRPr="00EE5B51">
        <w:rPr>
          <w:rFonts w:ascii="GHEA Grapalat" w:hAnsi="GHEA Grapalat" w:cs="Sylfaen"/>
          <w:iCs/>
          <w:lang w:val="it-IT"/>
        </w:rPr>
        <w:t xml:space="preserve"> </w:t>
      </w:r>
      <w:r w:rsidRPr="00EE5B51">
        <w:rPr>
          <w:rFonts w:ascii="GHEA Grapalat" w:hAnsi="GHEA Grapalat" w:cs="Sylfaen"/>
          <w:iCs/>
        </w:rPr>
        <w:t>պայմանավորված</w:t>
      </w:r>
      <w:r w:rsidRPr="00EE5B51">
        <w:rPr>
          <w:rFonts w:ascii="GHEA Grapalat" w:hAnsi="GHEA Grapalat" w:cs="Sylfaen"/>
          <w:iCs/>
          <w:lang w:val="it-IT"/>
        </w:rPr>
        <w:t xml:space="preserve"> </w:t>
      </w:r>
      <w:r w:rsidRPr="00EE5B51">
        <w:rPr>
          <w:rFonts w:ascii="GHEA Grapalat" w:hAnsi="GHEA Grapalat" w:cs="Sylfaen"/>
          <w:iCs/>
        </w:rPr>
        <w:t>եկամուտի</w:t>
      </w:r>
      <w:r w:rsidRPr="00EE5B51">
        <w:rPr>
          <w:rFonts w:ascii="GHEA Grapalat" w:hAnsi="GHEA Grapalat" w:cs="Sylfaen"/>
          <w:iCs/>
          <w:lang w:val="it-IT"/>
        </w:rPr>
        <w:t xml:space="preserve"> </w:t>
      </w:r>
      <w:r w:rsidRPr="00EE5B51">
        <w:rPr>
          <w:rFonts w:ascii="GHEA Grapalat" w:hAnsi="GHEA Grapalat" w:cs="Sylfaen"/>
          <w:iCs/>
        </w:rPr>
        <w:t>և դրա կատարման համար անհրաժեշտ ծախսերի</w:t>
      </w:r>
      <w:r w:rsidRPr="00EE5B51">
        <w:rPr>
          <w:rFonts w:ascii="GHEA Grapalat" w:hAnsi="GHEA Grapalat" w:cs="Sylfaen"/>
          <w:iCs/>
          <w:lang w:val="it-IT"/>
        </w:rPr>
        <w:t>,</w:t>
      </w:r>
      <w:r w:rsidRPr="00EE5B51">
        <w:rPr>
          <w:rFonts w:ascii="GHEA Grapalat" w:hAnsi="GHEA Grapalat" w:cs="Sylfaen"/>
          <w:iCs/>
        </w:rPr>
        <w:t xml:space="preserve"> այդ</w:t>
      </w:r>
      <w:r w:rsidRPr="00EE5B51">
        <w:rPr>
          <w:rFonts w:ascii="GHEA Grapalat" w:hAnsi="GHEA Grapalat" w:cs="Sylfaen"/>
          <w:iCs/>
          <w:lang w:val="it-IT"/>
        </w:rPr>
        <w:t xml:space="preserve"> </w:t>
      </w:r>
      <w:r w:rsidRPr="00EE5B51">
        <w:rPr>
          <w:rFonts w:ascii="GHEA Grapalat" w:hAnsi="GHEA Grapalat" w:cs="Sylfaen"/>
          <w:iCs/>
        </w:rPr>
        <w:t>թվում</w:t>
      </w:r>
      <w:r w:rsidRPr="00EE5B51">
        <w:rPr>
          <w:rFonts w:ascii="GHEA Grapalat" w:hAnsi="GHEA Grapalat" w:cs="Sylfaen"/>
          <w:iCs/>
          <w:lang w:val="en-US"/>
        </w:rPr>
        <w:t>՝</w:t>
      </w:r>
      <w:r w:rsidRPr="00EE5B51">
        <w:rPr>
          <w:rFonts w:ascii="GHEA Grapalat" w:hAnsi="GHEA Grapalat" w:cs="Sylfaen"/>
          <w:iCs/>
          <w:lang w:val="it-IT"/>
        </w:rPr>
        <w:t xml:space="preserve"> </w:t>
      </w:r>
      <w:r w:rsidRPr="00EE5B51">
        <w:rPr>
          <w:rFonts w:ascii="GHEA Grapalat" w:hAnsi="GHEA Grapalat" w:cs="Sylfaen"/>
          <w:iCs/>
        </w:rPr>
        <w:t>փորձագետի աշխատավարձի միջև առկա անհամապատասխանությունը։ Օրինակ</w:t>
      </w:r>
      <w:r w:rsidR="00BA38D4" w:rsidRPr="00BA38D4">
        <w:rPr>
          <w:rFonts w:ascii="GHEA Grapalat" w:hAnsi="GHEA Grapalat" w:cs="Sylfaen"/>
          <w:iCs/>
        </w:rPr>
        <w:t>՝</w:t>
      </w:r>
      <w:r w:rsidRPr="00EE5B51">
        <w:rPr>
          <w:rFonts w:ascii="GHEA Grapalat" w:hAnsi="GHEA Grapalat" w:cs="Sylfaen"/>
          <w:iCs/>
        </w:rPr>
        <w:t xml:space="preserve"> ոլորտում գործունեություն իրականացնող ՀՀ արդարադատության նախարարության ենթակայությամբ գործող «Հայաստանի Հանրապետության փորձագիտական կենտրոն» պետական ոչ առևտրային կազմակերպության ֆինանսավորումը փորձաքննությունների ծառայությունների ձեռքբերման մասով 2018 թվականի համար կազմել է 220279.4 հազար ՀՀ դրամ, իսկ ՀՀ գիտությունների ազգային ակադեմիայի «Փորձաքննությունների ազգային բյուրո» պետական ոչ առևտրային կազմակերպության փորձաքննությունների ծառայությունների ձեռքբերման մասով 2018 թվականի համար կազմել է 284359.0 հազար ՀՀ դրամ, ընդ որում փորձաքննությունների ծառայությունների ձեռք բերման համար հատկացված գումարն իր մեջ ներառում է փորձաքննության</w:t>
      </w:r>
      <w:r w:rsidRPr="00EE5B51">
        <w:rPr>
          <w:rFonts w:ascii="GHEA Grapalat" w:hAnsi="GHEA Grapalat" w:cs="Sylfaen"/>
          <w:iCs/>
          <w:lang w:val="it-IT"/>
        </w:rPr>
        <w:t xml:space="preserve"> կատարման հետ կապված բոլոր ծախսերը</w:t>
      </w:r>
      <w:r w:rsidRPr="00EE5B51">
        <w:rPr>
          <w:rFonts w:ascii="GHEA Grapalat" w:hAnsi="GHEA Grapalat" w:cs="Sylfaen"/>
          <w:iCs/>
        </w:rPr>
        <w:t>,</w:t>
      </w:r>
      <w:r w:rsidRPr="00EE5B51">
        <w:rPr>
          <w:rFonts w:ascii="GHEA Grapalat" w:hAnsi="GHEA Grapalat" w:cs="Sylfaen"/>
        </w:rPr>
        <w:t xml:space="preserve"> </w:t>
      </w:r>
      <w:r w:rsidRPr="00EE5B51">
        <w:rPr>
          <w:rFonts w:ascii="GHEA Grapalat" w:hAnsi="GHEA Grapalat" w:cs="Sylfaen"/>
          <w:iCs/>
        </w:rPr>
        <w:t>որից պետական ոչ առևտրային կազմակերպության</w:t>
      </w:r>
      <w:r w:rsidRPr="00EE5B51">
        <w:rPr>
          <w:rFonts w:ascii="GHEA Grapalat" w:hAnsi="GHEA Grapalat" w:cs="Sylfaen"/>
          <w:i/>
          <w:iCs/>
        </w:rPr>
        <w:t xml:space="preserve"> </w:t>
      </w:r>
      <w:r w:rsidRPr="00EE5B51">
        <w:rPr>
          <w:rFonts w:ascii="GHEA Grapalat" w:hAnsi="GHEA Grapalat" w:cs="Sylfaen"/>
          <w:iCs/>
        </w:rPr>
        <w:t>պահպանման համար անհրաժեշտ ընթացիկ ծախսերի, մասնավորապես, կոմունալ և գործուղման ծախսերի, նյութածախսի, հարկերի, պարտադիր վճարների և այլ ծախսերի կատարման</w:t>
      </w:r>
      <w:r w:rsidRPr="00EE5B51">
        <w:rPr>
          <w:rFonts w:ascii="GHEA Grapalat" w:hAnsi="GHEA Grapalat" w:cs="Sylfaen"/>
        </w:rPr>
        <w:t xml:space="preserve"> (այդ թվում վարչական և սպասարկող անձնակազմի աշխատավարձի վճարման)</w:t>
      </w:r>
      <w:r w:rsidRPr="00EE5B51">
        <w:rPr>
          <w:rFonts w:ascii="GHEA Grapalat" w:hAnsi="GHEA Grapalat" w:cs="Sylfaen"/>
          <w:iCs/>
        </w:rPr>
        <w:t xml:space="preserve"> արդյունքում մնացած՝ փորձագիտական անձնակազմի աշխատավարձին բաժին ընկնող գումարը կազմում է ընդհանուր ծախսերի </w:t>
      </w:r>
      <w:r w:rsidRPr="00EE5B51">
        <w:rPr>
          <w:rFonts w:ascii="GHEA Grapalat" w:hAnsi="GHEA Grapalat" w:cs="Sylfaen"/>
        </w:rPr>
        <w:t xml:space="preserve">շուրջ 55 տոկոսը, որը </w:t>
      </w:r>
      <w:r w:rsidRPr="00EE5B51">
        <w:rPr>
          <w:rFonts w:ascii="GHEA Grapalat" w:hAnsi="GHEA Grapalat" w:cs="Sylfaen"/>
          <w:iCs/>
        </w:rPr>
        <w:t xml:space="preserve">ծախսածածկում է յուրաքանչյուր փորձագետի աշխատավարձից շուրջ 155.0 հազար ՀՀ դրամը, իսկ առանց այն էլ ոչ բարձր աշխատավարձի մնացած մասը, ինչպես վերը նշվեց, </w:t>
      </w:r>
      <w:r w:rsidRPr="00EE5B51">
        <w:rPr>
          <w:rFonts w:ascii="GHEA Grapalat" w:hAnsi="GHEA Grapalat" w:cs="Sylfaen"/>
        </w:rPr>
        <w:t xml:space="preserve">նախորդող տարիներին համահարթեցվել և </w:t>
      </w:r>
      <w:r w:rsidRPr="00EE5B51">
        <w:rPr>
          <w:rFonts w:ascii="GHEA Grapalat" w:hAnsi="GHEA Grapalat" w:cs="Sylfaen"/>
          <w:iCs/>
        </w:rPr>
        <w:t>ծախսածածկվել է</w:t>
      </w:r>
      <w:r w:rsidRPr="00EE5B51">
        <w:rPr>
          <w:rFonts w:ascii="GHEA Grapalat" w:hAnsi="GHEA Grapalat" w:cs="Sylfaen"/>
        </w:rPr>
        <w:t xml:space="preserve"> գործունեության այլ ուղություններից ստացված եկամուտների հաշվին` հաշվարկային աշխատավարձը հասցնելով միջինում շուրջ 235.0 հազար ՀՀ դրամի։</w:t>
      </w:r>
    </w:p>
    <w:p w:rsidR="00113309" w:rsidRPr="00BA38D4" w:rsidRDefault="00113309" w:rsidP="0014112A">
      <w:pPr>
        <w:spacing w:line="360" w:lineRule="auto"/>
        <w:ind w:firstLine="720"/>
        <w:jc w:val="both"/>
        <w:rPr>
          <w:rFonts w:ascii="GHEA Grapalat" w:hAnsi="GHEA Grapalat" w:cs="Sylfaen"/>
          <w:iCs/>
        </w:rPr>
      </w:pPr>
      <w:r w:rsidRPr="00EE5B51">
        <w:rPr>
          <w:rFonts w:ascii="GHEA Grapalat" w:hAnsi="GHEA Grapalat" w:cs="Sylfaen"/>
          <w:iCs/>
        </w:rPr>
        <w:lastRenderedPageBreak/>
        <w:t>Այսպիսով</w:t>
      </w:r>
      <w:r w:rsidRPr="00BA38D4">
        <w:rPr>
          <w:rFonts w:ascii="GHEA Grapalat" w:hAnsi="GHEA Grapalat" w:cs="Sylfaen"/>
          <w:iCs/>
        </w:rPr>
        <w:t>,</w:t>
      </w:r>
      <w:r w:rsidRPr="00EE5B51">
        <w:rPr>
          <w:rFonts w:ascii="GHEA Grapalat" w:hAnsi="GHEA Grapalat" w:cs="Sylfaen"/>
          <w:iCs/>
        </w:rPr>
        <w:t xml:space="preserve"> ձեռնարկատիրական գործունեության վերը նշված ուղղություններով եկամուտների տարեցտարի շարունակական նվազման պայմաններում որակյալ փորձագետների արտահոսքի կանխարգելման և պետական փորձագիտական կազմակերպությունների բնականոն գործունեության ապահովման համար անհրաժեշտ է սահմանել յուրաքանչյուր օբյեկտի </w:t>
      </w:r>
      <w:r w:rsidRPr="00EE5B51">
        <w:rPr>
          <w:rFonts w:ascii="GHEA Grapalat" w:hAnsi="GHEA Grapalat" w:cs="Sylfaen"/>
          <w:iCs/>
          <w:lang w:val="it-IT"/>
        </w:rPr>
        <w:t xml:space="preserve">փորձաքննության կատարման ծառայության </w:t>
      </w:r>
      <w:r w:rsidRPr="00EE5B51">
        <w:rPr>
          <w:rFonts w:ascii="GHEA Grapalat" w:hAnsi="GHEA Grapalat" w:cs="Sylfaen"/>
          <w:iCs/>
        </w:rPr>
        <w:t xml:space="preserve">այնպիսի </w:t>
      </w:r>
      <w:r w:rsidRPr="00EE5B51">
        <w:rPr>
          <w:rFonts w:ascii="GHEA Grapalat" w:hAnsi="GHEA Grapalat" w:cs="Sylfaen"/>
          <w:iCs/>
          <w:lang w:val="it-IT"/>
        </w:rPr>
        <w:t>արժեք</w:t>
      </w:r>
      <w:r w:rsidRPr="00EE5B51">
        <w:rPr>
          <w:rFonts w:ascii="GHEA Grapalat" w:hAnsi="GHEA Grapalat" w:cs="Sylfaen"/>
          <w:iCs/>
        </w:rPr>
        <w:t>, որն իրականում կապահովի փորձաքննությունների կատարման հետ կապված բոլոր անհրաժեշտ ընթացիկ ծախսերի (մասնավորապես</w:t>
      </w:r>
      <w:r w:rsidRPr="00EE5B51">
        <w:rPr>
          <w:rFonts w:ascii="GHEA Grapalat" w:hAnsi="GHEA Grapalat" w:cs="Sylfaen"/>
          <w:i/>
          <w:iCs/>
        </w:rPr>
        <w:t>,</w:t>
      </w:r>
      <w:r w:rsidRPr="00EE5B51">
        <w:rPr>
          <w:rFonts w:ascii="GHEA Grapalat" w:hAnsi="GHEA Grapalat" w:cs="Sylfaen"/>
          <w:iCs/>
        </w:rPr>
        <w:t xml:space="preserve"> սարքավորումների պահպանման, նյութածախսի, կոմունալ ծախսերի, գործուղումների և այլնի) ծածկումը և հնարավոր կդարձնի փորձագետի բավարար մրցունակ աշխատավարձի ձևավորումը։ </w:t>
      </w:r>
    </w:p>
    <w:p w:rsidR="00113309" w:rsidRPr="00BA38D4" w:rsidRDefault="00113309" w:rsidP="0014112A">
      <w:pPr>
        <w:spacing w:line="360" w:lineRule="auto"/>
        <w:ind w:firstLine="720"/>
        <w:jc w:val="both"/>
        <w:rPr>
          <w:rFonts w:ascii="GHEA Grapalat" w:hAnsi="GHEA Grapalat" w:cs="Sylfaen"/>
          <w:iCs/>
        </w:rPr>
      </w:pPr>
      <w:r w:rsidRPr="00EE5B51">
        <w:rPr>
          <w:rFonts w:ascii="GHEA Grapalat" w:hAnsi="GHEA Grapalat" w:cs="Sylfaen"/>
          <w:iCs/>
        </w:rPr>
        <w:t xml:space="preserve">Վերը նշված պետական ոչ առևտրային կազմակերպությունների պահպանման և անձնակազմի աշխատավարձի համար նախատեսված բոլոր ծախսերի մեջ փորձագիտական անձնակազմի աշխատավարձին բաժին ընկնող 55 տոկոս համամասնության հաշվարկի արդյունքում ստացվում է, որ ներկա պայմաններում տվյալ պետական ոչ առևտրային կազմակերպությունների բնականոն գործունեությունն ապահովելու համար յուրաքանչյուր փորձագետին բաժին է ընկնում ամսական շուրջ 430.0 հազար ՀՀ դրամ (235000 x 100/55) համամասնությամբ ֆինանսական բեռ, քանի որ, ինչպես վերը նշվեց, ընդհանուր ծախսերի մեջ փորձագիտական անձնակազմի աշխատավարձին ուղղվող ծախսը կազմում է շուրջ 55 տոկոսը: Հաշվի առնելով վերջին տարիներին գրանցված գնաճը, փորձագիտական և վարչական անձնակազմի աշխատավարձերի բարձրացման ժամանակի հրամայականը՝ վերը նշված հիմնավորումներով, ներկայիս յուրաքանչյուր փորձագետին բաժին ընկնող ընդհանուր ծախսերի ամսական միջինում 430.0 հազար ՀՀ դրամ ֆինանսական բեռի 45 տոկոս ավելացման պայմաններում ամսական յուրաքանչյուր փորձագետին բաժին ընկնող ֆինանսական բեռը կկազմի շուրջ 625.0 հազար ՀՀ դրամ, որը հնարավորություն կտա բարձրացնել փորձագիտական և վարչական անձնակազմի աշխատավարձը, ինչպես նաև պատշաճ ձևով ապահովել փորձագիտական հետազոտությունների ընթացքում </w:t>
      </w:r>
      <w:r w:rsidRPr="00EE5B51">
        <w:rPr>
          <w:rFonts w:ascii="GHEA Grapalat" w:hAnsi="GHEA Grapalat" w:cs="Sylfaen"/>
          <w:iCs/>
        </w:rPr>
        <w:lastRenderedPageBreak/>
        <w:t xml:space="preserve">կիրառվող տարաբնույթ սարքավորումների պահպանման, դրանց նյութածախսի և ստուգաչափումների կատարման ծախսերը, ինչպես նաև ապահովել կազմակերպության գործունեության բնականոն անխափան ընթացքը՝ առանց որոնց իրականացման ուղղակի հնարավոր չի լինելու մատուցել որակյալ փորձագիտական ծառայություններ և ապահովել լիարժեք ու հավաստի արդյունք: Մասնավորապես, յուրաքանչյուր փորձագետին բաժին ընկնող 625.0 հազար ՀՀ դրամ ֆինանսական բեռի կատարումը հնարավորություն կտա ապահովել փորձագիտական անձնակազմի յուրաքանչյուր անդամին ամսական միջինում 400.0 հազար ՀՀ դրամ հաշվարկային աշխատավարձ, որի պայմաններում փորձագետին տրվող զուտ աշխատավարձի չափը կկազմի 292.5 հազար ՀՀ դրամ՝ կուտակային կենսաթոշակային համակարգի մասնակից լինելու դեպքում (400.0 հազար ՀՀ դրամ – 88.0 հազար ՀՀ դրամ եկամտային հարկ (400.0 x 22%) – 14.0 հազար ՀՀ դրամ սոցիալական վճար (400.0 x 3.5%) – 5.5 հազար ՀՀ դրամ դրոշմանիշային վճար) և 306.5 հազար ՀՀ դրամ՝ կուտակային կենսաթոշակային համակարգի մասնակից չլինելու դեպքում (400.0 հազար ՀՀ դրամ – 88.0 հազար ՀՀ դրամ եկամտային հարկ (400.0 x 22%) – 5.5 ՀՀ դրամ դրոշմանիշային վճար): Նշված գումարին ավելացնելով նաև փորձաքննությունների ծառայությունների մատուցման համար ՀՀ օրենսդրությամբ նախատեսված ավելացված արժեքի հարկը՝ 20 տոկոս դրույքաչափով, ամսական յուրաքանչյուր փորձագետին բաժին ընկնող ֆինանսական բեռը կկազմի շուրջ 750.0 հազար ՀՀ դրամ՝ ներառյալ ավելացված արժեքի հարկը (625000 + (625000 x 20/100)): </w:t>
      </w:r>
    </w:p>
    <w:p w:rsidR="00113309" w:rsidRPr="00EE5B51" w:rsidRDefault="00113309" w:rsidP="0014112A">
      <w:pPr>
        <w:spacing w:line="360" w:lineRule="auto"/>
        <w:ind w:firstLine="720"/>
        <w:jc w:val="both"/>
        <w:rPr>
          <w:rFonts w:ascii="GHEA Grapalat" w:hAnsi="GHEA Grapalat" w:cs="Sylfaen"/>
          <w:iCs/>
        </w:rPr>
      </w:pPr>
      <w:r w:rsidRPr="00EE5B51">
        <w:rPr>
          <w:rFonts w:ascii="GHEA Grapalat" w:hAnsi="GHEA Grapalat" w:cs="Sylfaen"/>
          <w:iCs/>
        </w:rPr>
        <w:t>Փորձագետի աշխատավարձի չափի հիմնավորման վերլուծության այլընտրանքային եղանակի ընտրության առումով, քանի որ դատական փորձագետի աշխատավարձի չափ ՀՀ օրենսդրությամբ սահմանված չէ, հարկ է նշել, որ փորձագետի աշխատավարձի ձևավորման համար որպես ելակետ կարող է ընդունվել «Պետական պաշտոններ և պետական ծառայության պաշտոններ</w:t>
      </w:r>
      <w:r w:rsidRPr="00EE5B51">
        <w:rPr>
          <w:rFonts w:ascii="Courier New" w:hAnsi="Courier New" w:cs="Courier New"/>
          <w:iCs/>
        </w:rPr>
        <w:t> </w:t>
      </w:r>
      <w:r w:rsidRPr="00EE5B51">
        <w:rPr>
          <w:rFonts w:ascii="GHEA Grapalat" w:hAnsi="GHEA Grapalat" w:cs="Sylfaen"/>
          <w:iCs/>
        </w:rPr>
        <w:t xml:space="preserve">զբաղեցնող անձանց վարձատրության մասին» ՀՀ օրենքի հավելված 2-ով սահմանված՝ մարզի, Երևան </w:t>
      </w:r>
      <w:r w:rsidRPr="00EE5B51">
        <w:rPr>
          <w:rFonts w:ascii="GHEA Grapalat" w:hAnsi="GHEA Grapalat" w:cs="Sylfaen"/>
          <w:iCs/>
        </w:rPr>
        <w:lastRenderedPageBreak/>
        <w:t>քաղաքի տարածքների, կայազորի զինվորական դատախազության դատախազի, ՀԿԳ քննիչի, ՀՀ կառավարությանն առընթեր պետական եկամուտների կոմիտեի քննչական վարչության ավագ քննիչի աշխատավարձերի գործակցներին մոտ՝ միջինում 6,0 գործակիցը, հաշվի առնելով, ըստ էության, փորձագետի գործառույթների բնույթն ու պատասխանատվությունը: Նշված գործակցի կիրառման դեպքում ևս փորձագետի ամսական հաշվարկային աշխատավարձի չափը կկազմի շուրջ 400.0 հազար ՀՀ դրամ (6 x 66140(բազային աշխատավարձ)), որի պարագայում ամսական յուրաքանչյուր փորձագետին բաժին ընկնող կատարողականի ֆինանսական բեռը նույնպես կկազմի շուրջ 750.0 հազար ՀՀ դրամ՝ ներառյալ բոլոր ծախսերն ու ավելացված արժեքի հարկը:</w:t>
      </w:r>
    </w:p>
    <w:p w:rsidR="00113309" w:rsidRPr="00EE5B51" w:rsidRDefault="00113309" w:rsidP="0014112A">
      <w:pPr>
        <w:spacing w:line="360" w:lineRule="auto"/>
        <w:ind w:firstLine="720"/>
        <w:jc w:val="both"/>
        <w:rPr>
          <w:rFonts w:ascii="GHEA Grapalat" w:hAnsi="GHEA Grapalat" w:cs="Sylfaen"/>
          <w:iCs/>
        </w:rPr>
      </w:pPr>
      <w:r w:rsidRPr="00EE5B51">
        <w:rPr>
          <w:rFonts w:ascii="GHEA Grapalat" w:hAnsi="GHEA Grapalat" w:cs="Sylfaen"/>
          <w:iCs/>
        </w:rPr>
        <w:t>Հաշվի առնելով 2021 թվականի տարվա աշխատանքային ժամերի քանակը՝ 1994 ժամ, և դրանից հանելով փորձագետի ամենամյա նվազագույն արձակուրդում գտնվելու ժամանակահատվածը՝ 20 աշխատանքային օր (160 ժամ), ստացվում է, որ յուրաքանչյուր փորձագետ տարվա կտրվածքով աշխատելու է ընդհանուր 1834 (1994-160) ժամ, որի պայմաններում յուրաքանչյուր փորձագետին բաժին ընկնող կատարողականի ամսական 750.0 հազար ՀՀ դրամ, իսկ տարեկան՝ 8250.0 հազար ՀՀ դրամ (750000 x 11 (ամիս)) հաշվարկով ֆինանսական բեռից յուրաքանչյուր փորձագետի մեկ ժամվա աշխատաժամանակին բաժին ընկնող մասը կազմում է շուրջ 4.5 հազար ՀՀ դրամ (8250000/1834): Հիմք ընդունելով ըստ փորձաքննությունների ենթատեսակների  առանձին օբյեկտների փորձաքննության միջին նորմատիվային ժամածախսերը և յուրաքանչյուր փորձագետի մեկ ժամվա աշխատաժամանակին բաժին ընկնող շուրջ 4.5 հազար ՀՀ դրամ ֆինանսական բեռը</w:t>
      </w:r>
      <w:r w:rsidRPr="00BA38D4">
        <w:rPr>
          <w:rFonts w:ascii="GHEA Grapalat" w:hAnsi="GHEA Grapalat" w:cs="Sylfaen"/>
          <w:iCs/>
        </w:rPr>
        <w:t>՝</w:t>
      </w:r>
      <w:r w:rsidRPr="00EE5B51">
        <w:rPr>
          <w:rFonts w:ascii="GHEA Grapalat" w:hAnsi="GHEA Grapalat" w:cs="Sylfaen"/>
          <w:iCs/>
        </w:rPr>
        <w:t xml:space="preserve"> ներկայացվող նախագծում հաշվարկվել է յուրաքանչյուր առանձին օբյեկտի փորձաքննության արժեքը (4.5 x ժամ):</w:t>
      </w:r>
    </w:p>
    <w:p w:rsidR="000F67DC" w:rsidRPr="00BA38D4" w:rsidRDefault="00113309" w:rsidP="0014112A">
      <w:pPr>
        <w:spacing w:line="360" w:lineRule="auto"/>
        <w:ind w:firstLine="720"/>
        <w:jc w:val="both"/>
        <w:rPr>
          <w:rFonts w:ascii="GHEA Grapalat" w:hAnsi="GHEA Grapalat" w:cs="Sylfaen"/>
          <w:iCs/>
        </w:rPr>
      </w:pPr>
      <w:r w:rsidRPr="00EE5B51">
        <w:rPr>
          <w:rFonts w:ascii="GHEA Grapalat" w:hAnsi="GHEA Grapalat" w:cs="Sylfaen"/>
          <w:iCs/>
        </w:rPr>
        <w:t xml:space="preserve">Վերոգրյալի պարագայում փորձագետն ամսական կտրվածքով իր աշխատանքի արդյունքում կապահովի շուրջ 750.0 հազար ՀՀ դրամ, իսկ տարեկան կտրվածքով՝ շուրջ 8250.0 հազար ՀՀ դրամ  (750000 x 11 ամիս՝ մեկ ամիս արձակուրդում գտնվելու պարագայում) կատարողական, որից փորձագիտական կազմակերպությունը 16,67 </w:t>
      </w:r>
      <w:r w:rsidRPr="00EE5B51">
        <w:rPr>
          <w:rFonts w:ascii="GHEA Grapalat" w:hAnsi="GHEA Grapalat" w:cs="Sylfaen"/>
          <w:iCs/>
        </w:rPr>
        <w:lastRenderedPageBreak/>
        <w:t>տոկոս ավելացված արժեքի հարկ վճարելուց հետո կկարողանա փորձագետին վճարել բավարար մրցունակ աշխատավարձ՝ ամսական կատարողականի 53.33 տոկոսի չափով (400000 x 100/750000), իսկ կատարողականի մնացած 30 տոկոսը (100-16.67-53.33) հնարավորություն կունենա ուղղել գործունեության հետ կապված անհրաժեշտ այլ ընթացիկ ծախսերի (նյութերի, ծառայությունների ձեռքբերման ծախսեր, գործուղման, կոմունալ, պահակային և այլ ծախսեր, վարչական և սպասարկող անձնակազմի աշխատավարձ) կատարմանը։</w:t>
      </w:r>
    </w:p>
    <w:p w:rsidR="00113309" w:rsidRPr="00BA38D4" w:rsidRDefault="00113309" w:rsidP="0014112A">
      <w:pPr>
        <w:spacing w:line="360" w:lineRule="auto"/>
        <w:ind w:firstLine="720"/>
        <w:jc w:val="both"/>
        <w:rPr>
          <w:rFonts w:ascii="GHEA Grapalat" w:hAnsi="GHEA Grapalat" w:cs="Sylfaen"/>
          <w:iCs/>
        </w:rPr>
      </w:pPr>
      <w:r w:rsidRPr="00BA38D4">
        <w:rPr>
          <w:rFonts w:ascii="GHEA Grapalat" w:hAnsi="GHEA Grapalat" w:cs="Sylfaen"/>
          <w:iCs/>
        </w:rPr>
        <w:t xml:space="preserve">Հաշվի առնելով վերոգրյալը </w:t>
      </w:r>
      <w:r>
        <w:rPr>
          <w:rFonts w:ascii="GHEA Grapalat" w:hAnsi="GHEA Grapalat" w:cs="Sylfaen"/>
          <w:iCs/>
          <w:lang w:val="it-IT"/>
        </w:rPr>
        <w:t>Ն</w:t>
      </w:r>
      <w:r w:rsidRPr="00EE5B51">
        <w:rPr>
          <w:rFonts w:ascii="GHEA Grapalat" w:hAnsi="GHEA Grapalat" w:cs="Sylfaen"/>
          <w:iCs/>
          <w:lang w:val="it-IT"/>
        </w:rPr>
        <w:t xml:space="preserve">ախագծով առաջարկվում է </w:t>
      </w:r>
      <w:r w:rsidRPr="00EE5B51">
        <w:rPr>
          <w:rFonts w:ascii="GHEA Grapalat" w:hAnsi="GHEA Grapalat"/>
          <w:noProof/>
        </w:rPr>
        <w:t xml:space="preserve">ուժը կորցրած ճանաչել </w:t>
      </w:r>
      <w:r w:rsidRPr="00EE5B51">
        <w:rPr>
          <w:rFonts w:ascii="GHEA Grapalat" w:hAnsi="GHEA Grapalat"/>
          <w:bCs/>
          <w:color w:val="000000"/>
          <w:shd w:val="clear" w:color="auto" w:fill="FFFFFF"/>
        </w:rPr>
        <w:t xml:space="preserve">Հայաստանի Հանրապետության կառավարության </w:t>
      </w:r>
      <w:r w:rsidRPr="00EE5B51">
        <w:rPr>
          <w:rFonts w:ascii="GHEA Grapalat" w:hAnsi="GHEA Grapalat"/>
          <w:color w:val="000000"/>
          <w:shd w:val="clear" w:color="auto" w:fill="FFFFFF"/>
        </w:rPr>
        <w:t xml:space="preserve">2006 թվականի փետրվարի 2-ի </w:t>
      </w:r>
      <w:r w:rsidRPr="00EE5B51">
        <w:rPr>
          <w:rFonts w:ascii="GHEA Grapalat" w:hAnsi="GHEA Grapalat"/>
          <w:noProof/>
        </w:rPr>
        <w:t>«</w:t>
      </w:r>
      <w:r w:rsidRPr="000F67DC">
        <w:rPr>
          <w:rStyle w:val="a8"/>
          <w:rFonts w:ascii="GHEA Grapalat" w:hAnsi="GHEA Grapalat"/>
          <w:b w:val="0"/>
          <w:color w:val="000000"/>
          <w:shd w:val="clear" w:color="auto" w:fill="FFFFFF"/>
        </w:rPr>
        <w:t>Փորձաքննությունների կատարման ծառայության նախահաշվային արժեքի մասին</w:t>
      </w:r>
      <w:r w:rsidRPr="00EE5B51">
        <w:rPr>
          <w:rFonts w:ascii="GHEA Grapalat" w:hAnsi="GHEA Grapalat"/>
          <w:noProof/>
        </w:rPr>
        <w:t xml:space="preserve">» </w:t>
      </w:r>
      <w:r w:rsidRPr="00EE5B51">
        <w:rPr>
          <w:rFonts w:ascii="GHEA Grapalat" w:hAnsi="GHEA Grapalat"/>
          <w:color w:val="000000"/>
          <w:shd w:val="clear" w:color="auto" w:fill="FFFFFF"/>
        </w:rPr>
        <w:t xml:space="preserve">N 79-Ն որոշումը՝ հնարավորություն ընձեռելով ՀՀ կառավարության նոր </w:t>
      </w:r>
      <w:r w:rsidR="00B7501D" w:rsidRPr="00B7501D">
        <w:rPr>
          <w:rFonts w:ascii="GHEA Grapalat" w:hAnsi="GHEA Grapalat"/>
          <w:color w:val="000000"/>
          <w:shd w:val="clear" w:color="auto" w:fill="FFFFFF"/>
        </w:rPr>
        <w:t xml:space="preserve">ներքին </w:t>
      </w:r>
      <w:r w:rsidRPr="00EE5B51">
        <w:rPr>
          <w:rFonts w:ascii="GHEA Grapalat" w:hAnsi="GHEA Grapalat"/>
          <w:color w:val="000000"/>
          <w:shd w:val="clear" w:color="auto" w:fill="FFFFFF"/>
        </w:rPr>
        <w:t>որոշմամբ</w:t>
      </w:r>
      <w:r w:rsidRPr="00EE5B51">
        <w:rPr>
          <w:rFonts w:ascii="GHEA Grapalat" w:hAnsi="GHEA Grapalat" w:cs="Sylfaen"/>
          <w:iCs/>
          <w:lang w:val="it-IT"/>
        </w:rPr>
        <w:t xml:space="preserve"> սահմանել </w:t>
      </w:r>
      <w:r w:rsidR="00B7501D">
        <w:rPr>
          <w:rFonts w:ascii="GHEA Grapalat" w:hAnsi="GHEA Grapalat" w:cs="Calibri"/>
          <w:bCs/>
          <w:color w:val="000000"/>
          <w:lang w:eastAsia="ru-RU"/>
        </w:rPr>
        <w:t>յ</w:t>
      </w:r>
      <w:r w:rsidR="00B7501D" w:rsidRPr="00481734">
        <w:rPr>
          <w:rFonts w:ascii="GHEA Grapalat" w:hAnsi="GHEA Grapalat" w:cs="Calibri"/>
          <w:bCs/>
          <w:color w:val="000000"/>
          <w:lang w:eastAsia="ru-RU"/>
        </w:rPr>
        <w:t>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w:t>
      </w:r>
      <w:r w:rsidR="00B7501D" w:rsidRPr="00481734">
        <w:rPr>
          <w:rFonts w:ascii="GHEA Grapalat" w:hAnsi="GHEA Grapalat"/>
          <w:bCs/>
          <w:color w:val="000000"/>
          <w:lang w:eastAsia="ru-RU"/>
        </w:rPr>
        <w:t xml:space="preserve"> արժեքն`</w:t>
      </w:r>
      <w:r w:rsidR="00B7501D" w:rsidRPr="00481734">
        <w:rPr>
          <w:rFonts w:ascii="GHEA Grapalat" w:hAnsi="GHEA Grapalat"/>
        </w:rPr>
        <w:t xml:space="preserve"> ըստ </w:t>
      </w:r>
      <w:r w:rsidR="00B7501D" w:rsidRPr="00481734">
        <w:rPr>
          <w:rFonts w:ascii="GHEA Grapalat" w:hAnsi="GHEA Grapalat"/>
          <w:bCs/>
          <w:color w:val="000000"/>
          <w:lang w:eastAsia="ru-RU"/>
        </w:rPr>
        <w:t>դատական փորձաքննությունների տեսակների և ենթատեսակների</w:t>
      </w:r>
      <w:r w:rsidRPr="00EE5B51">
        <w:rPr>
          <w:rFonts w:ascii="GHEA Grapalat" w:eastAsia="Arial Unicode MS" w:hAnsi="GHEA Grapalat" w:cs="Sylfaen"/>
        </w:rPr>
        <w:t>:</w:t>
      </w:r>
    </w:p>
    <w:p w:rsidR="00F75933" w:rsidRPr="00B81D71" w:rsidRDefault="00F75933" w:rsidP="0014112A">
      <w:pPr>
        <w:spacing w:line="360" w:lineRule="auto"/>
        <w:ind w:firstLine="720"/>
        <w:jc w:val="both"/>
        <w:rPr>
          <w:rFonts w:ascii="GHEA Grapalat" w:hAnsi="GHEA Grapalat"/>
        </w:rPr>
      </w:pPr>
      <w:r w:rsidRPr="00B81D71">
        <w:rPr>
          <w:rFonts w:ascii="GHEA Grapalat" w:hAnsi="GHEA Grapalat"/>
          <w:b/>
          <w:bCs/>
          <w:color w:val="000000"/>
        </w:rPr>
        <w:t>3. Կարգավորման նպատակները, ակնկալվող արդյունքը.</w:t>
      </w:r>
      <w:r w:rsidRPr="00B81D71">
        <w:rPr>
          <w:rFonts w:ascii="Courier New" w:hAnsi="Courier New" w:cs="Courier New"/>
          <w:b/>
          <w:bCs/>
          <w:color w:val="000000"/>
        </w:rPr>
        <w:t> </w:t>
      </w:r>
    </w:p>
    <w:p w:rsidR="000F67DC" w:rsidRPr="00EE5B51" w:rsidRDefault="000F67DC" w:rsidP="0014112A">
      <w:pPr>
        <w:spacing w:line="360" w:lineRule="auto"/>
        <w:ind w:firstLine="720"/>
        <w:jc w:val="both"/>
        <w:rPr>
          <w:rFonts w:ascii="GHEA Grapalat" w:hAnsi="GHEA Grapalat" w:cs="Sylfaen"/>
          <w:iCs/>
        </w:rPr>
      </w:pPr>
      <w:r w:rsidRPr="00EE5B51">
        <w:rPr>
          <w:rFonts w:ascii="GHEA Grapalat" w:hAnsi="GHEA Grapalat"/>
        </w:rPr>
        <w:t>Նախագծի ընդունման արդյունքում ՀՀ կառ</w:t>
      </w:r>
      <w:r w:rsidR="00B7501D">
        <w:rPr>
          <w:rFonts w:ascii="GHEA Grapalat" w:hAnsi="GHEA Grapalat"/>
        </w:rPr>
        <w:t>ավարությունը կկարողանա ընդունել յ</w:t>
      </w:r>
      <w:r w:rsidR="00B7501D" w:rsidRPr="00481734">
        <w:rPr>
          <w:rFonts w:ascii="GHEA Grapalat" w:hAnsi="GHEA Grapalat" w:cs="Calibri"/>
          <w:bCs/>
          <w:color w:val="000000"/>
          <w:lang w:eastAsia="ru-RU"/>
        </w:rPr>
        <w:t>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w:t>
      </w:r>
      <w:r w:rsidR="00B7501D" w:rsidRPr="00481734">
        <w:rPr>
          <w:rFonts w:ascii="GHEA Grapalat" w:hAnsi="GHEA Grapalat"/>
          <w:bCs/>
          <w:color w:val="000000"/>
          <w:lang w:eastAsia="ru-RU"/>
        </w:rPr>
        <w:t xml:space="preserve"> արժեքն`</w:t>
      </w:r>
      <w:r w:rsidR="00B7501D" w:rsidRPr="00481734">
        <w:rPr>
          <w:rFonts w:ascii="GHEA Grapalat" w:hAnsi="GHEA Grapalat"/>
        </w:rPr>
        <w:t xml:space="preserve"> ըստ </w:t>
      </w:r>
      <w:r w:rsidR="00B7501D" w:rsidRPr="00481734">
        <w:rPr>
          <w:rFonts w:ascii="GHEA Grapalat" w:hAnsi="GHEA Grapalat"/>
          <w:bCs/>
          <w:color w:val="000000"/>
          <w:lang w:eastAsia="ru-RU"/>
        </w:rPr>
        <w:t>դատական փորձաքննությունների տեսակների և ենթատեսակների</w:t>
      </w:r>
      <w:bookmarkStart w:id="0" w:name="_GoBack"/>
      <w:bookmarkEnd w:id="0"/>
      <w:r w:rsidRPr="00EE5B51">
        <w:rPr>
          <w:rFonts w:ascii="GHEA Grapalat" w:eastAsia="Arial Unicode MS" w:hAnsi="GHEA Grapalat" w:cs="Sylfaen"/>
        </w:rPr>
        <w:t xml:space="preserve"> սահմանող </w:t>
      </w:r>
      <w:r w:rsidRPr="00EE5B51">
        <w:rPr>
          <w:rFonts w:ascii="GHEA Grapalat" w:hAnsi="GHEA Grapalat"/>
          <w:color w:val="000000"/>
          <w:shd w:val="clear" w:color="auto" w:fill="FFFFFF"/>
        </w:rPr>
        <w:t>որոշում:</w:t>
      </w:r>
    </w:p>
    <w:p w:rsidR="00F75933" w:rsidRPr="00B81D71" w:rsidRDefault="00F75933" w:rsidP="0014112A">
      <w:pPr>
        <w:spacing w:line="360" w:lineRule="auto"/>
        <w:ind w:firstLine="720"/>
        <w:jc w:val="both"/>
        <w:rPr>
          <w:rFonts w:ascii="GHEA Grapalat" w:hAnsi="GHEA Grapalat"/>
        </w:rPr>
      </w:pPr>
      <w:r w:rsidRPr="00B81D71">
        <w:rPr>
          <w:rFonts w:ascii="GHEA Grapalat" w:hAnsi="GHEA Grapalat"/>
          <w:b/>
          <w:bCs/>
          <w:color w:val="000000"/>
        </w:rPr>
        <w:t>4. Իրավական ակտի նախագիծը մշակող պատասխանատու մարմինը, ինչպես նաև, անհրաժեշտության դեպքում, նախաձեռնողի, հեղինակների և մշակմանը մասնակցող անձանց մասին տեղեկություններ.</w:t>
      </w:r>
    </w:p>
    <w:p w:rsidR="00FC6E3F" w:rsidRPr="00433FEE" w:rsidRDefault="00FC6E3F" w:rsidP="0014112A">
      <w:pPr>
        <w:spacing w:line="360" w:lineRule="auto"/>
        <w:ind w:firstLine="720"/>
        <w:jc w:val="both"/>
        <w:rPr>
          <w:rFonts w:ascii="GHEA Grapalat" w:hAnsi="GHEA Grapalat" w:cs="Sylfaen"/>
          <w:iCs/>
        </w:rPr>
      </w:pPr>
      <w:r w:rsidRPr="00433FEE">
        <w:rPr>
          <w:rFonts w:ascii="GHEA Grapalat" w:hAnsi="GHEA Grapalat" w:cs="Sylfaen"/>
          <w:iCs/>
          <w:lang w:val="it-IT"/>
        </w:rPr>
        <w:t xml:space="preserve">Նախագիծը մշակվել է </w:t>
      </w:r>
      <w:r>
        <w:rPr>
          <w:rFonts w:ascii="GHEA Grapalat" w:hAnsi="GHEA Grapalat" w:cs="Sylfaen"/>
          <w:iCs/>
          <w:lang w:val="it-IT"/>
        </w:rPr>
        <w:t>ՀՀ</w:t>
      </w:r>
      <w:r w:rsidRPr="00433FEE">
        <w:rPr>
          <w:rFonts w:ascii="GHEA Grapalat" w:hAnsi="GHEA Grapalat" w:cs="Sylfaen"/>
          <w:iCs/>
          <w:lang w:val="it-IT"/>
        </w:rPr>
        <w:t xml:space="preserve"> գլխավոր </w:t>
      </w:r>
      <w:r w:rsidRPr="00433FEE">
        <w:rPr>
          <w:rFonts w:ascii="GHEA Grapalat" w:hAnsi="GHEA Grapalat" w:cs="Sylfaen"/>
          <w:iCs/>
        </w:rPr>
        <w:t>դատախազության</w:t>
      </w:r>
      <w:r w:rsidRPr="00433FEE">
        <w:rPr>
          <w:rFonts w:ascii="GHEA Grapalat" w:hAnsi="GHEA Grapalat" w:cs="Sylfaen"/>
          <w:iCs/>
          <w:lang w:val="it-IT"/>
        </w:rPr>
        <w:t xml:space="preserve"> կողմից</w:t>
      </w:r>
      <w:r w:rsidRPr="00433FEE">
        <w:rPr>
          <w:rFonts w:ascii="GHEA Grapalat" w:hAnsi="GHEA Grapalat" w:cs="Sylfaen"/>
          <w:iCs/>
        </w:rPr>
        <w:t>։</w:t>
      </w:r>
    </w:p>
    <w:p w:rsidR="00F75933" w:rsidRPr="00B81D71" w:rsidRDefault="00F75933" w:rsidP="0014112A">
      <w:pPr>
        <w:shd w:val="clear" w:color="auto" w:fill="FFFFFF"/>
        <w:spacing w:line="360" w:lineRule="auto"/>
        <w:ind w:firstLine="720"/>
        <w:jc w:val="both"/>
        <w:rPr>
          <w:rFonts w:ascii="GHEA Grapalat" w:hAnsi="GHEA Grapalat"/>
        </w:rPr>
      </w:pPr>
      <w:r w:rsidRPr="00B81D71">
        <w:rPr>
          <w:rFonts w:ascii="GHEA Grapalat" w:hAnsi="GHEA Grapalat"/>
          <w:b/>
          <w:bCs/>
          <w:color w:val="000000"/>
        </w:rPr>
        <w:lastRenderedPageBreak/>
        <w:t>5. Նախագծի ընդունման կապակցությամբ</w:t>
      </w:r>
      <w:r w:rsidRPr="00B81D71">
        <w:rPr>
          <w:rFonts w:ascii="GHEA Grapalat" w:hAnsi="GHEA Grapalat" w:cs="Calibri"/>
          <w:color w:val="000000"/>
        </w:rPr>
        <w:t xml:space="preserve"> </w:t>
      </w:r>
      <w:r w:rsidRPr="00B81D71">
        <w:rPr>
          <w:rFonts w:ascii="GHEA Grapalat" w:hAnsi="GHEA Grapalat"/>
          <w:b/>
          <w:bCs/>
          <w:color w:val="000000"/>
        </w:rPr>
        <w:t>պետական</w:t>
      </w:r>
      <w:r w:rsidRPr="00B81D71">
        <w:rPr>
          <w:rFonts w:ascii="GHEA Grapalat" w:hAnsi="GHEA Grapalat" w:cs="Calibri"/>
          <w:color w:val="000000"/>
        </w:rPr>
        <w:t xml:space="preserve"> </w:t>
      </w:r>
      <w:r w:rsidRPr="00B81D71">
        <w:rPr>
          <w:rFonts w:ascii="GHEA Grapalat" w:hAnsi="GHEA Grapalat"/>
          <w:b/>
          <w:bCs/>
          <w:color w:val="000000"/>
        </w:rPr>
        <w:t>բյուջեում</w:t>
      </w:r>
      <w:r w:rsidRPr="00B81D71">
        <w:rPr>
          <w:rFonts w:ascii="GHEA Grapalat" w:hAnsi="GHEA Grapalat" w:cs="Calibri"/>
          <w:color w:val="000000"/>
        </w:rPr>
        <w:t xml:space="preserve"> </w:t>
      </w:r>
      <w:r w:rsidRPr="00B81D71">
        <w:rPr>
          <w:rFonts w:ascii="GHEA Grapalat" w:hAnsi="GHEA Grapalat"/>
          <w:b/>
          <w:bCs/>
          <w:color w:val="000000"/>
        </w:rPr>
        <w:t>կամ</w:t>
      </w:r>
      <w:r w:rsidRPr="00B81D71">
        <w:rPr>
          <w:rFonts w:ascii="GHEA Grapalat" w:hAnsi="GHEA Grapalat" w:cs="Calibri"/>
          <w:color w:val="000000"/>
        </w:rPr>
        <w:t xml:space="preserve"> </w:t>
      </w:r>
      <w:r w:rsidRPr="00B81D71">
        <w:rPr>
          <w:rFonts w:ascii="GHEA Grapalat" w:hAnsi="GHEA Grapalat"/>
          <w:b/>
          <w:bCs/>
          <w:color w:val="000000"/>
        </w:rPr>
        <w:t>տեղական</w:t>
      </w:r>
      <w:r w:rsidRPr="00B81D71">
        <w:rPr>
          <w:rFonts w:ascii="GHEA Grapalat" w:hAnsi="GHEA Grapalat" w:cs="Calibri"/>
          <w:color w:val="000000"/>
        </w:rPr>
        <w:t xml:space="preserve"> </w:t>
      </w:r>
      <w:r w:rsidRPr="00B81D71">
        <w:rPr>
          <w:rFonts w:ascii="GHEA Grapalat" w:hAnsi="GHEA Grapalat"/>
          <w:b/>
          <w:bCs/>
          <w:color w:val="000000"/>
        </w:rPr>
        <w:t>ինքնակառավարման մարմինների</w:t>
      </w:r>
      <w:r w:rsidRPr="00B81D71">
        <w:rPr>
          <w:rFonts w:ascii="GHEA Grapalat" w:hAnsi="GHEA Grapalat" w:cs="Calibri"/>
          <w:color w:val="000000"/>
        </w:rPr>
        <w:t xml:space="preserve"> </w:t>
      </w:r>
      <w:r w:rsidRPr="00B81D71">
        <w:rPr>
          <w:rFonts w:ascii="GHEA Grapalat" w:hAnsi="GHEA Grapalat"/>
          <w:b/>
          <w:bCs/>
          <w:color w:val="000000"/>
        </w:rPr>
        <w:t>բյուջեներում</w:t>
      </w:r>
      <w:r w:rsidRPr="00B81D71">
        <w:rPr>
          <w:rFonts w:ascii="GHEA Grapalat" w:hAnsi="GHEA Grapalat" w:cs="Calibri"/>
          <w:color w:val="000000"/>
        </w:rPr>
        <w:t xml:space="preserve"> </w:t>
      </w:r>
      <w:r w:rsidRPr="00B81D71">
        <w:rPr>
          <w:rFonts w:ascii="GHEA Grapalat" w:hAnsi="GHEA Grapalat"/>
          <w:b/>
          <w:bCs/>
          <w:color w:val="000000"/>
        </w:rPr>
        <w:t>ծախսերի</w:t>
      </w:r>
      <w:r w:rsidRPr="00B81D71">
        <w:rPr>
          <w:rFonts w:ascii="GHEA Grapalat" w:hAnsi="GHEA Grapalat" w:cs="Calibri"/>
          <w:color w:val="000000"/>
        </w:rPr>
        <w:t xml:space="preserve"> </w:t>
      </w:r>
      <w:r w:rsidRPr="00B81D71">
        <w:rPr>
          <w:rFonts w:ascii="GHEA Grapalat" w:hAnsi="GHEA Grapalat"/>
          <w:b/>
          <w:bCs/>
          <w:color w:val="000000"/>
        </w:rPr>
        <w:t>և</w:t>
      </w:r>
      <w:r w:rsidRPr="00B81D71">
        <w:rPr>
          <w:rFonts w:ascii="GHEA Grapalat" w:hAnsi="GHEA Grapalat" w:cs="Calibri"/>
          <w:color w:val="000000"/>
        </w:rPr>
        <w:t xml:space="preserve"> </w:t>
      </w:r>
      <w:r w:rsidRPr="00B81D71">
        <w:rPr>
          <w:rFonts w:ascii="GHEA Grapalat" w:hAnsi="GHEA Grapalat"/>
          <w:b/>
          <w:bCs/>
          <w:color w:val="000000"/>
        </w:rPr>
        <w:t>եկամուտների</w:t>
      </w:r>
      <w:r w:rsidRPr="00B81D71">
        <w:rPr>
          <w:rFonts w:ascii="GHEA Grapalat" w:hAnsi="GHEA Grapalat" w:cs="Calibri"/>
          <w:color w:val="000000"/>
        </w:rPr>
        <w:t xml:space="preserve"> </w:t>
      </w:r>
      <w:r w:rsidRPr="00B81D71">
        <w:rPr>
          <w:rFonts w:ascii="GHEA Grapalat" w:hAnsi="GHEA Grapalat"/>
          <w:b/>
          <w:bCs/>
          <w:color w:val="000000"/>
        </w:rPr>
        <w:t>էական</w:t>
      </w:r>
      <w:r w:rsidRPr="00B81D71">
        <w:rPr>
          <w:rFonts w:ascii="GHEA Grapalat" w:hAnsi="GHEA Grapalat" w:cs="Calibri"/>
          <w:color w:val="000000"/>
        </w:rPr>
        <w:t xml:space="preserve"> </w:t>
      </w:r>
      <w:r w:rsidRPr="00B81D71">
        <w:rPr>
          <w:rFonts w:ascii="GHEA Grapalat" w:hAnsi="GHEA Grapalat"/>
          <w:b/>
          <w:bCs/>
          <w:color w:val="000000"/>
        </w:rPr>
        <w:t>ավելացումների</w:t>
      </w:r>
      <w:r w:rsidRPr="00B81D71">
        <w:rPr>
          <w:rFonts w:ascii="GHEA Grapalat" w:hAnsi="GHEA Grapalat" w:cs="Calibri"/>
          <w:color w:val="000000"/>
        </w:rPr>
        <w:t xml:space="preserve"> </w:t>
      </w:r>
      <w:r w:rsidRPr="00B81D71">
        <w:rPr>
          <w:rFonts w:ascii="GHEA Grapalat" w:hAnsi="GHEA Grapalat"/>
          <w:b/>
          <w:bCs/>
          <w:color w:val="000000"/>
        </w:rPr>
        <w:t>կամ նվազեցումների մասին.</w:t>
      </w:r>
    </w:p>
    <w:p w:rsidR="00113309" w:rsidRPr="00BA38D4" w:rsidRDefault="00113309" w:rsidP="0014112A">
      <w:pPr>
        <w:spacing w:line="360" w:lineRule="auto"/>
        <w:ind w:firstLine="720"/>
        <w:jc w:val="both"/>
        <w:rPr>
          <w:rFonts w:ascii="GHEA Grapalat" w:hAnsi="GHEA Grapalat"/>
        </w:rPr>
      </w:pPr>
      <w:r w:rsidRPr="00EE5B51">
        <w:rPr>
          <w:rFonts w:ascii="GHEA Grapalat" w:hAnsi="GHEA Grapalat"/>
          <w:bCs/>
          <w:color w:val="000000"/>
          <w:shd w:val="clear" w:color="auto" w:fill="FFFFFF"/>
        </w:rPr>
        <w:t xml:space="preserve">«Հայաստանի Հանրապետության կառավարության </w:t>
      </w:r>
      <w:r w:rsidRPr="00EE5B51">
        <w:rPr>
          <w:rFonts w:ascii="GHEA Grapalat" w:hAnsi="GHEA Grapalat"/>
          <w:color w:val="000000"/>
          <w:shd w:val="clear" w:color="auto" w:fill="FFFFFF"/>
        </w:rPr>
        <w:t xml:space="preserve">2006 թվականի փետրվարի 2-ի N 79-Ն որոշումն ուժը կորցրած ճանաչելու մասին» Հայաստանի Հանրապետության կառավարության որոշման </w:t>
      </w:r>
      <w:r w:rsidRPr="00EE5B51">
        <w:rPr>
          <w:rFonts w:ascii="GHEA Grapalat" w:hAnsi="GHEA Grapalat"/>
          <w:bCs/>
          <w:color w:val="000000"/>
          <w:shd w:val="clear" w:color="auto" w:fill="FFFFFF"/>
        </w:rPr>
        <w:t>նախագծի</w:t>
      </w:r>
      <w:r w:rsidRPr="00EE5B51">
        <w:rPr>
          <w:rFonts w:ascii="GHEA Grapalat" w:hAnsi="GHEA Grapalat"/>
          <w:b/>
          <w:bCs/>
          <w:color w:val="000000"/>
          <w:shd w:val="clear" w:color="auto" w:fill="FFFFFF"/>
        </w:rPr>
        <w:t xml:space="preserve"> </w:t>
      </w:r>
      <w:r w:rsidRPr="00EE5B51">
        <w:rPr>
          <w:rFonts w:ascii="GHEA Grapalat" w:hAnsi="GHEA Grapalat" w:cs="Sylfaen"/>
        </w:rPr>
        <w:t>ընդունման</w:t>
      </w:r>
      <w:r w:rsidRPr="00EE5B51">
        <w:rPr>
          <w:rFonts w:ascii="GHEA Grapalat" w:hAnsi="GHEA Grapalat" w:cs="Times Armenian"/>
        </w:rPr>
        <w:t xml:space="preserve"> </w:t>
      </w:r>
      <w:r w:rsidRPr="00EE5B51">
        <w:rPr>
          <w:rFonts w:ascii="GHEA Grapalat" w:hAnsi="GHEA Grapalat" w:cs="Sylfaen"/>
          <w:color w:val="000000"/>
        </w:rPr>
        <w:t>դեպքում</w:t>
      </w:r>
      <w:r w:rsidRPr="00EE5B51">
        <w:rPr>
          <w:rFonts w:ascii="GHEA Grapalat" w:hAnsi="GHEA Grapalat"/>
          <w:color w:val="000000"/>
        </w:rPr>
        <w:t xml:space="preserve"> </w:t>
      </w:r>
      <w:r w:rsidRPr="00EE5B51">
        <w:rPr>
          <w:rFonts w:ascii="GHEA Grapalat" w:hAnsi="GHEA Grapalat" w:cs="Sylfaen"/>
          <w:bCs/>
          <w:iCs/>
          <w:noProof/>
        </w:rPr>
        <w:t>պետական</w:t>
      </w:r>
      <w:r w:rsidRPr="00EE5B51">
        <w:rPr>
          <w:rFonts w:ascii="GHEA Grapalat" w:hAnsi="GHEA Grapalat"/>
          <w:bCs/>
          <w:iCs/>
          <w:noProof/>
        </w:rPr>
        <w:t xml:space="preserve"> </w:t>
      </w:r>
      <w:r w:rsidRPr="00EE5B51">
        <w:rPr>
          <w:rFonts w:ascii="GHEA Grapalat" w:hAnsi="GHEA Grapalat" w:cs="Sylfaen"/>
          <w:bCs/>
          <w:iCs/>
          <w:noProof/>
        </w:rPr>
        <w:t>բյու</w:t>
      </w:r>
      <w:r w:rsidRPr="00EE5B51">
        <w:rPr>
          <w:rFonts w:ascii="GHEA Grapalat" w:hAnsi="GHEA Grapalat"/>
          <w:bCs/>
          <w:iCs/>
          <w:noProof/>
        </w:rPr>
        <w:softHyphen/>
      </w:r>
      <w:r w:rsidRPr="00EE5B51">
        <w:rPr>
          <w:rFonts w:ascii="GHEA Grapalat" w:hAnsi="GHEA Grapalat"/>
          <w:bCs/>
          <w:iCs/>
          <w:noProof/>
        </w:rPr>
        <w:softHyphen/>
      </w:r>
      <w:r w:rsidRPr="00EE5B51">
        <w:rPr>
          <w:rFonts w:ascii="GHEA Grapalat" w:hAnsi="GHEA Grapalat" w:cs="Sylfaen"/>
          <w:bCs/>
          <w:iCs/>
          <w:noProof/>
        </w:rPr>
        <w:t>ջեում</w:t>
      </w:r>
      <w:r w:rsidRPr="00EE5B51">
        <w:rPr>
          <w:rFonts w:ascii="GHEA Grapalat" w:hAnsi="GHEA Grapalat"/>
          <w:bCs/>
          <w:iCs/>
          <w:noProof/>
        </w:rPr>
        <w:t xml:space="preserve"> կամ տեղական ինքնակառավարման մարմնի բյուջեում </w:t>
      </w:r>
      <w:r w:rsidRPr="00EE5B51">
        <w:rPr>
          <w:rFonts w:ascii="GHEA Grapalat" w:hAnsi="GHEA Grapalat" w:cs="Sylfaen"/>
          <w:bCs/>
          <w:iCs/>
          <w:noProof/>
        </w:rPr>
        <w:t>եկա</w:t>
      </w:r>
      <w:r w:rsidRPr="00EE5B51">
        <w:rPr>
          <w:rFonts w:ascii="GHEA Grapalat" w:hAnsi="GHEA Grapalat"/>
          <w:bCs/>
          <w:iCs/>
          <w:noProof/>
        </w:rPr>
        <w:softHyphen/>
      </w:r>
      <w:r w:rsidRPr="00EE5B51">
        <w:rPr>
          <w:rFonts w:ascii="GHEA Grapalat" w:hAnsi="GHEA Grapalat" w:cs="Sylfaen"/>
          <w:bCs/>
          <w:iCs/>
          <w:noProof/>
        </w:rPr>
        <w:t>մուտ</w:t>
      </w:r>
      <w:r w:rsidRPr="00EE5B51">
        <w:rPr>
          <w:rFonts w:ascii="GHEA Grapalat" w:hAnsi="GHEA Grapalat"/>
          <w:bCs/>
          <w:iCs/>
          <w:noProof/>
        </w:rPr>
        <w:softHyphen/>
      </w:r>
      <w:r w:rsidRPr="00EE5B51">
        <w:rPr>
          <w:rFonts w:ascii="GHEA Grapalat" w:hAnsi="GHEA Grapalat" w:cs="Sylfaen"/>
          <w:bCs/>
          <w:iCs/>
          <w:noProof/>
        </w:rPr>
        <w:t>ների</w:t>
      </w:r>
      <w:r w:rsidRPr="00EE5B51">
        <w:rPr>
          <w:rFonts w:ascii="GHEA Grapalat" w:hAnsi="GHEA Grapalat"/>
          <w:bCs/>
          <w:iCs/>
          <w:noProof/>
        </w:rPr>
        <w:t xml:space="preserve"> </w:t>
      </w:r>
      <w:r w:rsidRPr="00EE5B51">
        <w:rPr>
          <w:rFonts w:ascii="GHEA Grapalat" w:hAnsi="GHEA Grapalat" w:cs="Sylfaen"/>
          <w:bCs/>
          <w:iCs/>
          <w:noProof/>
        </w:rPr>
        <w:t>և</w:t>
      </w:r>
      <w:r w:rsidRPr="00EE5B51">
        <w:rPr>
          <w:rFonts w:ascii="GHEA Grapalat" w:hAnsi="GHEA Grapalat"/>
          <w:bCs/>
          <w:iCs/>
          <w:noProof/>
        </w:rPr>
        <w:t xml:space="preserve"> </w:t>
      </w:r>
      <w:r w:rsidRPr="00EE5B51">
        <w:rPr>
          <w:rFonts w:ascii="GHEA Grapalat" w:hAnsi="GHEA Grapalat" w:cs="Sylfaen"/>
          <w:bCs/>
          <w:iCs/>
          <w:noProof/>
        </w:rPr>
        <w:t>ծախսերի</w:t>
      </w:r>
      <w:r w:rsidRPr="00EE5B51">
        <w:rPr>
          <w:rFonts w:ascii="GHEA Grapalat" w:hAnsi="GHEA Grapalat"/>
          <w:bCs/>
          <w:iCs/>
          <w:noProof/>
        </w:rPr>
        <w:t xml:space="preserve"> էական </w:t>
      </w:r>
      <w:r w:rsidRPr="00EE5B51">
        <w:rPr>
          <w:rFonts w:ascii="GHEA Grapalat" w:hAnsi="GHEA Grapalat" w:cs="Sylfaen"/>
          <w:bCs/>
          <w:iCs/>
          <w:noProof/>
        </w:rPr>
        <w:t>ավելացում</w:t>
      </w:r>
      <w:r w:rsidRPr="00EE5B51">
        <w:rPr>
          <w:rFonts w:ascii="GHEA Grapalat" w:hAnsi="GHEA Grapalat"/>
          <w:bCs/>
          <w:iCs/>
          <w:noProof/>
        </w:rPr>
        <w:t xml:space="preserve"> </w:t>
      </w:r>
      <w:r w:rsidRPr="00EE5B51">
        <w:rPr>
          <w:rFonts w:ascii="GHEA Grapalat" w:hAnsi="GHEA Grapalat" w:cs="Sylfaen"/>
          <w:bCs/>
          <w:iCs/>
          <w:noProof/>
        </w:rPr>
        <w:t>կամ</w:t>
      </w:r>
      <w:r w:rsidRPr="00EE5B51">
        <w:rPr>
          <w:rFonts w:ascii="GHEA Grapalat" w:hAnsi="GHEA Grapalat"/>
          <w:bCs/>
          <w:iCs/>
          <w:noProof/>
        </w:rPr>
        <w:t xml:space="preserve"> </w:t>
      </w:r>
      <w:r w:rsidRPr="00EE5B51">
        <w:rPr>
          <w:rFonts w:ascii="GHEA Grapalat" w:hAnsi="GHEA Grapalat" w:cs="Sylfaen"/>
          <w:bCs/>
          <w:iCs/>
          <w:noProof/>
        </w:rPr>
        <w:t>նվազեցում</w:t>
      </w:r>
      <w:r w:rsidRPr="00EE5B51">
        <w:rPr>
          <w:rFonts w:ascii="GHEA Grapalat" w:hAnsi="GHEA Grapalat"/>
          <w:bCs/>
          <w:iCs/>
          <w:noProof/>
        </w:rPr>
        <w:t xml:space="preserve"> </w:t>
      </w:r>
      <w:r w:rsidRPr="00EE5B51">
        <w:rPr>
          <w:rFonts w:ascii="GHEA Grapalat" w:hAnsi="GHEA Grapalat" w:cs="Sylfaen"/>
          <w:bCs/>
          <w:iCs/>
          <w:noProof/>
        </w:rPr>
        <w:t>չի</w:t>
      </w:r>
      <w:r w:rsidRPr="00EE5B51">
        <w:rPr>
          <w:rFonts w:ascii="GHEA Grapalat" w:hAnsi="GHEA Grapalat"/>
          <w:bCs/>
          <w:iCs/>
          <w:noProof/>
        </w:rPr>
        <w:t xml:space="preserve"> </w:t>
      </w:r>
      <w:r w:rsidRPr="00EE5B51">
        <w:rPr>
          <w:rFonts w:ascii="GHEA Grapalat" w:hAnsi="GHEA Grapalat" w:cs="Sylfaen"/>
          <w:bCs/>
          <w:iCs/>
          <w:noProof/>
        </w:rPr>
        <w:t>նախատեսվում</w:t>
      </w:r>
      <w:r w:rsidRPr="00EE5B51">
        <w:rPr>
          <w:rFonts w:ascii="GHEA Grapalat" w:hAnsi="GHEA Grapalat" w:cs="Tahoma"/>
          <w:bCs/>
          <w:iCs/>
          <w:noProof/>
        </w:rPr>
        <w:t>։</w:t>
      </w:r>
    </w:p>
    <w:p w:rsidR="00F75933" w:rsidRPr="00BA38D4" w:rsidRDefault="00F75933" w:rsidP="0014112A">
      <w:pPr>
        <w:shd w:val="clear" w:color="auto" w:fill="FFFFFF"/>
        <w:spacing w:line="360" w:lineRule="auto"/>
        <w:ind w:firstLine="720"/>
        <w:jc w:val="both"/>
        <w:rPr>
          <w:rFonts w:ascii="GHEA Grapalat" w:hAnsi="GHEA Grapalat"/>
          <w:b/>
        </w:rPr>
      </w:pPr>
      <w:r w:rsidRPr="00BA38D4">
        <w:rPr>
          <w:rFonts w:ascii="GHEA Grapalat" w:eastAsia="GHEA Grapalat" w:hAnsi="GHEA Grapalat" w:cs="GHEA Grapalat"/>
          <w:b/>
        </w:rPr>
        <w:t>6.</w:t>
      </w:r>
      <w:r w:rsidRPr="00B00AAD">
        <w:rPr>
          <w:rFonts w:ascii="GHEA Grapalat" w:hAnsi="GHEA Grapalat"/>
          <w:b/>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r w:rsidRPr="00BA38D4">
        <w:rPr>
          <w:rFonts w:ascii="GHEA Grapalat" w:hAnsi="GHEA Grapalat"/>
          <w:b/>
        </w:rPr>
        <w:t>:</w:t>
      </w:r>
    </w:p>
    <w:p w:rsidR="00F75933" w:rsidRPr="00BA38D4" w:rsidRDefault="000F67DC" w:rsidP="0014112A">
      <w:pPr>
        <w:shd w:val="clear" w:color="auto" w:fill="FFFFFF"/>
        <w:spacing w:line="360" w:lineRule="auto"/>
        <w:ind w:firstLine="720"/>
        <w:jc w:val="both"/>
        <w:rPr>
          <w:rFonts w:ascii="GHEA Grapalat" w:hAnsi="GHEA Grapalat"/>
        </w:rPr>
      </w:pPr>
      <w:r w:rsidRPr="00EE5B51">
        <w:rPr>
          <w:rFonts w:ascii="GHEA Grapalat" w:hAnsi="GHEA Grapalat"/>
          <w:bCs/>
          <w:color w:val="000000"/>
          <w:shd w:val="clear" w:color="auto" w:fill="FFFFFF"/>
        </w:rPr>
        <w:t xml:space="preserve">«Հայաստանի Հանրապետության կառավարության </w:t>
      </w:r>
      <w:r w:rsidRPr="00EE5B51">
        <w:rPr>
          <w:rFonts w:ascii="GHEA Grapalat" w:hAnsi="GHEA Grapalat"/>
          <w:color w:val="000000"/>
          <w:shd w:val="clear" w:color="auto" w:fill="FFFFFF"/>
        </w:rPr>
        <w:t xml:space="preserve">2006 թվականի փետրվարի 2-ի N 79-Ն որոշումն ուժը կորցրած ճանաչելու մասին» </w:t>
      </w:r>
      <w:r w:rsidR="00F75933" w:rsidRPr="00B81D71">
        <w:rPr>
          <w:rFonts w:ascii="GHEA Grapalat" w:hAnsi="GHEA Grapalat"/>
          <w:color w:val="000000"/>
        </w:rPr>
        <w:t>Հայաստանի Հանրապետության կառավարության որոշման նախագ</w:t>
      </w:r>
      <w:r w:rsidR="00F75933" w:rsidRPr="00BA38D4">
        <w:rPr>
          <w:rFonts w:ascii="GHEA Grapalat" w:hAnsi="GHEA Grapalat"/>
          <w:color w:val="000000"/>
        </w:rPr>
        <w:t>իծ</w:t>
      </w:r>
      <w:r w:rsidR="00F75933" w:rsidRPr="00BA38D4">
        <w:rPr>
          <w:rFonts w:ascii="GHEA Grapalat" w:eastAsia="GHEA Grapalat" w:hAnsi="GHEA Grapalat" w:cs="GHEA Grapalat"/>
        </w:rPr>
        <w:t>ը չի բխում համապատասխան ռազմավարական փաստաթղթերից:</w:t>
      </w:r>
    </w:p>
    <w:p w:rsidR="00F75933" w:rsidRPr="00BA38D4" w:rsidRDefault="00F75933" w:rsidP="00F75933">
      <w:pPr>
        <w:spacing w:line="360" w:lineRule="auto"/>
        <w:ind w:firstLine="720"/>
        <w:jc w:val="both"/>
        <w:rPr>
          <w:rFonts w:ascii="GHEA Grapalat" w:hAnsi="GHEA Grapalat"/>
        </w:rPr>
      </w:pPr>
    </w:p>
    <w:p w:rsidR="00F75933" w:rsidRPr="00B87DB1" w:rsidRDefault="00F75933" w:rsidP="00F75933">
      <w:pPr>
        <w:rPr>
          <w:rFonts w:eastAsia="GHEA Grapalat"/>
        </w:rPr>
      </w:pPr>
    </w:p>
    <w:p w:rsidR="00142C5E" w:rsidRPr="00F75933" w:rsidRDefault="00142C5E" w:rsidP="00F75933"/>
    <w:sectPr w:rsidR="00142C5E" w:rsidRPr="00F75933" w:rsidSect="00D71163">
      <w:headerReference w:type="default" r:id="rId6"/>
      <w:footerReference w:type="even" r:id="rId7"/>
      <w:footerReference w:type="default" r:id="rId8"/>
      <w:pgSz w:w="12240" w:h="15840"/>
      <w:pgMar w:top="259" w:right="900" w:bottom="540" w:left="1418"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55" w:rsidRDefault="00C57A55" w:rsidP="0027030D">
      <w:r>
        <w:separator/>
      </w:r>
    </w:p>
  </w:endnote>
  <w:endnote w:type="continuationSeparator" w:id="0">
    <w:p w:rsidR="00C57A55" w:rsidRDefault="00C57A55" w:rsidP="002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Armenian">
    <w:altName w:val="Times New Roman"/>
    <w:charset w:val="00"/>
    <w:family w:val="roman"/>
    <w:pitch w:val="variable"/>
    <w:sig w:usb0="00000003" w:usb1="00000000" w:usb2="00000000" w:usb3="00000000" w:csb0="00000001" w:csb1="00000000"/>
  </w:font>
  <w:font w:name="Art">
    <w:altName w:val="Courier New"/>
    <w:charset w:val="00"/>
    <w:family w:val="decorativ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63" w:rsidRDefault="004932D0">
    <w:pPr>
      <w:pBdr>
        <w:top w:val="nil"/>
        <w:left w:val="nil"/>
        <w:bottom w:val="nil"/>
        <w:right w:val="nil"/>
        <w:between w:val="nil"/>
      </w:pBdr>
      <w:tabs>
        <w:tab w:val="center" w:pos="4320"/>
        <w:tab w:val="right" w:pos="8640"/>
      </w:tabs>
      <w:jc w:val="right"/>
      <w:rPr>
        <w:color w:val="000000"/>
      </w:rPr>
    </w:pPr>
    <w:r>
      <w:rPr>
        <w:color w:val="000000"/>
      </w:rPr>
      <w:fldChar w:fldCharType="begin"/>
    </w:r>
    <w:r w:rsidR="00F75933">
      <w:rPr>
        <w:color w:val="000000"/>
      </w:rPr>
      <w:instrText>PAGE</w:instrText>
    </w:r>
    <w:r>
      <w:rPr>
        <w:color w:val="000000"/>
      </w:rPr>
      <w:fldChar w:fldCharType="end"/>
    </w:r>
  </w:p>
  <w:p w:rsidR="00D71163" w:rsidRDefault="00C57A5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63" w:rsidRDefault="00C57A55"/>
  <w:p w:rsidR="00D71163" w:rsidRDefault="00C57A55"/>
  <w:tbl>
    <w:tblPr>
      <w:tblW w:w="12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6"/>
      <w:gridCol w:w="2024"/>
    </w:tblGrid>
    <w:tr w:rsidR="00D71163">
      <w:trPr>
        <w:trHeight w:val="727"/>
      </w:trPr>
      <w:tc>
        <w:tcPr>
          <w:tcW w:w="10576" w:type="dxa"/>
          <w:tcBorders>
            <w:right w:val="single" w:sz="4" w:space="0" w:color="C00000"/>
          </w:tcBorders>
        </w:tcPr>
        <w:p w:rsidR="00D71163" w:rsidRDefault="00C57A55">
          <w:pPr>
            <w:tabs>
              <w:tab w:val="left" w:pos="620"/>
              <w:tab w:val="center" w:pos="4320"/>
            </w:tabs>
            <w:ind w:right="-1193"/>
            <w:jc w:val="right"/>
            <w:rPr>
              <w:rFonts w:ascii="Cambria" w:eastAsia="Cambria" w:hAnsi="Cambria" w:cs="Cambria"/>
              <w:sz w:val="20"/>
              <w:szCs w:val="20"/>
            </w:rPr>
          </w:pPr>
        </w:p>
        <w:p w:rsidR="00D71163" w:rsidRDefault="00C57A55">
          <w:pPr>
            <w:tabs>
              <w:tab w:val="left" w:pos="620"/>
              <w:tab w:val="center" w:pos="4320"/>
            </w:tabs>
            <w:jc w:val="right"/>
            <w:rPr>
              <w:rFonts w:ascii="Cambria" w:eastAsia="Cambria" w:hAnsi="Cambria" w:cs="Cambria"/>
              <w:sz w:val="20"/>
              <w:szCs w:val="20"/>
            </w:rPr>
          </w:pPr>
        </w:p>
      </w:tc>
      <w:tc>
        <w:tcPr>
          <w:tcW w:w="2024" w:type="dxa"/>
          <w:tcBorders>
            <w:left w:val="single" w:sz="4" w:space="0" w:color="C00000"/>
          </w:tcBorders>
        </w:tcPr>
        <w:p w:rsidR="00D71163" w:rsidRDefault="004932D0">
          <w:pPr>
            <w:tabs>
              <w:tab w:val="left" w:pos="1490"/>
            </w:tabs>
            <w:rPr>
              <w:rFonts w:ascii="Art" w:eastAsia="Art" w:hAnsi="Art" w:cs="Art"/>
              <w:sz w:val="16"/>
              <w:szCs w:val="16"/>
            </w:rPr>
          </w:pPr>
          <w:r>
            <w:rPr>
              <w:rFonts w:ascii="Art" w:eastAsia="Art" w:hAnsi="Art" w:cs="Art"/>
              <w:sz w:val="16"/>
              <w:szCs w:val="16"/>
            </w:rPr>
            <w:fldChar w:fldCharType="begin"/>
          </w:r>
          <w:r w:rsidR="00F75933">
            <w:rPr>
              <w:rFonts w:ascii="Art" w:eastAsia="Art" w:hAnsi="Art" w:cs="Art"/>
              <w:sz w:val="16"/>
              <w:szCs w:val="16"/>
            </w:rPr>
            <w:instrText>PAGE</w:instrText>
          </w:r>
          <w:r>
            <w:rPr>
              <w:rFonts w:ascii="Art" w:eastAsia="Art" w:hAnsi="Art" w:cs="Art"/>
              <w:sz w:val="16"/>
              <w:szCs w:val="16"/>
            </w:rPr>
            <w:fldChar w:fldCharType="separate"/>
          </w:r>
          <w:r w:rsidR="00B7501D">
            <w:rPr>
              <w:rFonts w:ascii="Art" w:eastAsia="Art" w:hAnsi="Art" w:cs="Art"/>
              <w:noProof/>
              <w:sz w:val="16"/>
              <w:szCs w:val="16"/>
            </w:rPr>
            <w:t>2</w:t>
          </w:r>
          <w:r>
            <w:rPr>
              <w:rFonts w:ascii="Art" w:eastAsia="Art" w:hAnsi="Art" w:cs="Art"/>
              <w:sz w:val="16"/>
              <w:szCs w:val="16"/>
            </w:rPr>
            <w:fldChar w:fldCharType="end"/>
          </w:r>
        </w:p>
      </w:tc>
    </w:tr>
  </w:tbl>
  <w:p w:rsidR="00D71163" w:rsidRDefault="00C57A55">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55" w:rsidRDefault="00C57A55" w:rsidP="0027030D">
      <w:r>
        <w:separator/>
      </w:r>
    </w:p>
  </w:footnote>
  <w:footnote w:type="continuationSeparator" w:id="0">
    <w:p w:rsidR="00C57A55" w:rsidRDefault="00C57A55" w:rsidP="0027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63" w:rsidRDefault="00F75933">
    <w:pPr>
      <w:pBdr>
        <w:top w:val="nil"/>
        <w:left w:val="single" w:sz="18" w:space="4" w:color="FF0000"/>
        <w:bottom w:val="nil"/>
        <w:right w:val="nil"/>
        <w:between w:val="nil"/>
      </w:pBdr>
      <w:tabs>
        <w:tab w:val="center" w:pos="4320"/>
        <w:tab w:val="right" w:pos="8640"/>
      </w:tabs>
      <w:ind w:left="-180"/>
      <w:rPr>
        <w:rFonts w:ascii="Arial LatArm" w:eastAsia="Arial LatArm" w:hAnsi="Arial LatArm" w:cs="Arial LatArm"/>
        <w:color w:val="FF0000"/>
        <w:sz w:val="16"/>
        <w:szCs w:val="16"/>
      </w:rPr>
    </w:pPr>
    <w:r>
      <w:rPr>
        <w:rFonts w:ascii="Art" w:eastAsia="Art" w:hAnsi="Art" w:cs="Art"/>
        <w:color w:val="000000"/>
        <w:sz w:val="16"/>
        <w:szCs w:val="16"/>
      </w:rPr>
      <w:t>²</w:t>
    </w:r>
    <w:r>
      <w:rPr>
        <w:rFonts w:ascii="Arial LatArm" w:eastAsia="Arial LatArm" w:hAnsi="Arial LatArm" w:cs="Arial LatArm"/>
        <w:color w:val="000000"/>
        <w:sz w:val="16"/>
        <w:szCs w:val="16"/>
      </w:rPr>
      <w:t>ñ¹³ñ³¹³ïáõÃÛ³</w:t>
    </w:r>
    <w:sdt>
      <w:sdtPr>
        <w:tag w:val="goog_rdk_0"/>
        <w:id w:val="9978838"/>
      </w:sdtPr>
      <w:sdtEndPr/>
      <w:sdtContent>
        <w:r>
          <w:rPr>
            <w:rFonts w:ascii="Tahoma" w:eastAsia="Tahoma" w:hAnsi="Tahoma" w:cs="Tahoma"/>
            <w:color w:val="000000"/>
            <w:sz w:val="16"/>
            <w:szCs w:val="16"/>
          </w:rPr>
          <w:t>ն</w:t>
        </w:r>
      </w:sdtContent>
    </w:sdt>
    <w:r>
      <w:rPr>
        <w:rFonts w:ascii="Art" w:eastAsia="Art" w:hAnsi="Art" w:cs="Art"/>
        <w:color w:val="000000"/>
        <w:sz w:val="16"/>
        <w:szCs w:val="16"/>
      </w:rPr>
      <w:t xml:space="preserve"> </w:t>
    </w:r>
    <w:r>
      <w:rPr>
        <w:rFonts w:ascii="Calibri" w:eastAsia="Calibri" w:hAnsi="Calibri" w:cs="Calibri"/>
        <w:color w:val="000000"/>
        <w:sz w:val="16"/>
        <w:szCs w:val="16"/>
      </w:rPr>
      <w:t xml:space="preserve">                                                                                                                                                                                </w:t>
    </w:r>
    <w:r>
      <w:rPr>
        <w:rFonts w:ascii="Art" w:eastAsia="Art" w:hAnsi="Art" w:cs="Art"/>
        <w:color w:val="000000"/>
        <w:sz w:val="16"/>
        <w:szCs w:val="16"/>
      </w:rPr>
      <w:t>Ü²Ê²¶ÆÌ</w:t>
    </w:r>
    <w:r>
      <w:rPr>
        <w:rFonts w:ascii="Arial LatArm" w:eastAsia="Arial LatArm" w:hAnsi="Arial LatArm" w:cs="Arial LatArm"/>
        <w:color w:val="000000"/>
        <w:sz w:val="16"/>
        <w:szCs w:val="16"/>
      </w:rPr>
      <w:t xml:space="preserve"> </w:t>
    </w:r>
    <w:r>
      <w:rPr>
        <w:rFonts w:ascii="Art" w:eastAsia="Art" w:hAnsi="Art" w:cs="Art"/>
        <w:color w:val="000000"/>
        <w:sz w:val="16"/>
        <w:szCs w:val="16"/>
      </w:rPr>
      <w:t xml:space="preserve">                                       </w:t>
    </w:r>
    <w:r>
      <w:rPr>
        <w:noProof/>
        <w:lang w:val="en-US"/>
      </w:rPr>
      <w:drawing>
        <wp:anchor distT="0" distB="0" distL="0" distR="0" simplePos="0" relativeHeight="251659264" behindDoc="0" locked="0" layoutInCell="1" allowOverlap="1">
          <wp:simplePos x="0" y="0"/>
          <wp:positionH relativeFrom="column">
            <wp:posOffset>-685797</wp:posOffset>
          </wp:positionH>
          <wp:positionV relativeFrom="paragraph">
            <wp:posOffset>-8887</wp:posOffset>
          </wp:positionV>
          <wp:extent cx="457200" cy="444500"/>
          <wp:effectExtent l="0" t="0" r="0" b="0"/>
          <wp:wrapSquare wrapText="bothSides" distT="0" distB="0" distL="0" distR="0"/>
          <wp:docPr id="4" name="image1.jpg" descr="GERB_HH"/>
          <wp:cNvGraphicFramePr/>
          <a:graphic xmlns:a="http://schemas.openxmlformats.org/drawingml/2006/main">
            <a:graphicData uri="http://schemas.openxmlformats.org/drawingml/2006/picture">
              <pic:pic xmlns:pic="http://schemas.openxmlformats.org/drawingml/2006/picture">
                <pic:nvPicPr>
                  <pic:cNvPr id="0" name="image1.jpg" descr="GERB_HH"/>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D71163" w:rsidRDefault="00F75933">
    <w:pPr>
      <w:pBdr>
        <w:top w:val="nil"/>
        <w:left w:val="single" w:sz="18" w:space="4" w:color="0000FF"/>
        <w:bottom w:val="nil"/>
        <w:right w:val="nil"/>
        <w:between w:val="nil"/>
      </w:pBdr>
      <w:tabs>
        <w:tab w:val="center" w:pos="4320"/>
        <w:tab w:val="right" w:pos="8640"/>
      </w:tabs>
      <w:ind w:left="-180"/>
      <w:rPr>
        <w:rFonts w:ascii="Art" w:eastAsia="Art" w:hAnsi="Art" w:cs="Art"/>
        <w:color w:val="000000"/>
        <w:sz w:val="18"/>
        <w:szCs w:val="18"/>
      </w:rPr>
    </w:pPr>
    <w:r>
      <w:rPr>
        <w:rFonts w:ascii="Art" w:eastAsia="Art" w:hAnsi="Art" w:cs="Art"/>
        <w:color w:val="000000"/>
        <w:sz w:val="16"/>
        <w:szCs w:val="16"/>
      </w:rPr>
      <w:t>Ü</w:t>
    </w:r>
    <w:r>
      <w:rPr>
        <w:rFonts w:ascii="Arial LatArm" w:eastAsia="Arial LatArm" w:hAnsi="Arial LatArm" w:cs="Arial LatArm"/>
        <w:color w:val="000000"/>
        <w:sz w:val="16"/>
        <w:szCs w:val="16"/>
      </w:rPr>
      <w:t>³Ë³ñ³ñáõÃÛáõÝ</w:t>
    </w:r>
    <w:r>
      <w:rPr>
        <w:rFonts w:ascii="Art" w:eastAsia="Art" w:hAnsi="Art" w:cs="Art"/>
        <w:color w:val="000000"/>
        <w:sz w:val="16"/>
        <w:szCs w:val="16"/>
      </w:rPr>
      <w:t xml:space="preserve"> </w:t>
    </w:r>
    <w:r>
      <w:rPr>
        <w:rFonts w:ascii="Art" w:eastAsia="Art" w:hAnsi="Art" w:cs="Art"/>
        <w:color w:val="000000"/>
        <w:sz w:val="18"/>
        <w:szCs w:val="18"/>
      </w:rPr>
      <w:t xml:space="preserve">                      </w:t>
    </w:r>
  </w:p>
  <w:p w:rsidR="00D71163" w:rsidRDefault="00F75933">
    <w:pPr>
      <w:pBdr>
        <w:top w:val="nil"/>
        <w:left w:val="single" w:sz="18" w:space="4" w:color="FF6600"/>
        <w:bottom w:val="nil"/>
        <w:right w:val="nil"/>
        <w:between w:val="nil"/>
      </w:pBdr>
      <w:tabs>
        <w:tab w:val="center" w:pos="4320"/>
        <w:tab w:val="right" w:pos="8640"/>
      </w:tabs>
      <w:ind w:left="-180"/>
      <w:rPr>
        <w:rFonts w:ascii="Art" w:eastAsia="Art" w:hAnsi="Art" w:cs="Art"/>
        <w:color w:val="000000"/>
        <w:sz w:val="18"/>
        <w:szCs w:val="18"/>
      </w:rPr>
    </w:pPr>
    <w:r>
      <w:rPr>
        <w:rFonts w:ascii="Art" w:eastAsia="Art" w:hAnsi="Art" w:cs="Art"/>
        <w:color w:val="000000"/>
        <w:sz w:val="18"/>
        <w:szCs w:val="18"/>
      </w:rPr>
      <w:t xml:space="preserve">                                                                                                                                                            </w:t>
    </w:r>
  </w:p>
  <w:p w:rsidR="00D71163" w:rsidRDefault="00F75933">
    <w:pPr>
      <w:pBdr>
        <w:top w:val="nil"/>
        <w:left w:val="nil"/>
        <w:bottom w:val="nil"/>
        <w:right w:val="nil"/>
        <w:between w:val="nil"/>
      </w:pBdr>
      <w:tabs>
        <w:tab w:val="center" w:pos="4320"/>
        <w:tab w:val="right" w:pos="8640"/>
      </w:tabs>
      <w:ind w:left="-907"/>
      <w:rPr>
        <w:rFonts w:ascii="Arial LatArm" w:eastAsia="Arial LatArm" w:hAnsi="Arial LatArm" w:cs="Arial LatArm"/>
        <w:color w:val="000000"/>
        <w:sz w:val="18"/>
        <w:szCs w:val="18"/>
      </w:rPr>
    </w:pPr>
    <w:r>
      <w:rPr>
        <w:rFonts w:ascii="Arial LatArm" w:eastAsia="Arial LatArm" w:hAnsi="Arial LatArm" w:cs="Arial LatArm"/>
        <w:color w:val="000000"/>
      </w:rPr>
      <w:t xml:space="preserve">                </w:t>
    </w:r>
  </w:p>
  <w:p w:rsidR="00D71163" w:rsidRDefault="00F75933">
    <w:pPr>
      <w:tabs>
        <w:tab w:val="left" w:pos="183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A0"/>
    <w:rsid w:val="000704F2"/>
    <w:rsid w:val="00071E29"/>
    <w:rsid w:val="00081BD7"/>
    <w:rsid w:val="00082DA0"/>
    <w:rsid w:val="000A3691"/>
    <w:rsid w:val="000A6177"/>
    <w:rsid w:val="000F67DC"/>
    <w:rsid w:val="00113309"/>
    <w:rsid w:val="0014112A"/>
    <w:rsid w:val="00142C5E"/>
    <w:rsid w:val="00146316"/>
    <w:rsid w:val="001C1E53"/>
    <w:rsid w:val="001C39DC"/>
    <w:rsid w:val="00234208"/>
    <w:rsid w:val="00243F34"/>
    <w:rsid w:val="002678FE"/>
    <w:rsid w:val="0027030D"/>
    <w:rsid w:val="002C20C2"/>
    <w:rsid w:val="002D4F17"/>
    <w:rsid w:val="002F1EDD"/>
    <w:rsid w:val="002F51BF"/>
    <w:rsid w:val="00330C88"/>
    <w:rsid w:val="0035293A"/>
    <w:rsid w:val="00376977"/>
    <w:rsid w:val="00390B85"/>
    <w:rsid w:val="00426512"/>
    <w:rsid w:val="00436C9C"/>
    <w:rsid w:val="0046166D"/>
    <w:rsid w:val="00464664"/>
    <w:rsid w:val="00473E15"/>
    <w:rsid w:val="004775BC"/>
    <w:rsid w:val="004932D0"/>
    <w:rsid w:val="004A5FD1"/>
    <w:rsid w:val="004D3D99"/>
    <w:rsid w:val="004E7D42"/>
    <w:rsid w:val="00521734"/>
    <w:rsid w:val="005B68CF"/>
    <w:rsid w:val="005D2872"/>
    <w:rsid w:val="006223BC"/>
    <w:rsid w:val="006317BE"/>
    <w:rsid w:val="00651B2A"/>
    <w:rsid w:val="0066722B"/>
    <w:rsid w:val="00737418"/>
    <w:rsid w:val="00762062"/>
    <w:rsid w:val="007A6E89"/>
    <w:rsid w:val="00813CA0"/>
    <w:rsid w:val="00823C35"/>
    <w:rsid w:val="008304C4"/>
    <w:rsid w:val="00830C04"/>
    <w:rsid w:val="00857DBE"/>
    <w:rsid w:val="008859D8"/>
    <w:rsid w:val="0089387A"/>
    <w:rsid w:val="008B556B"/>
    <w:rsid w:val="008B5B45"/>
    <w:rsid w:val="008C5D3A"/>
    <w:rsid w:val="008D09FE"/>
    <w:rsid w:val="009C3428"/>
    <w:rsid w:val="009F4FAA"/>
    <w:rsid w:val="00A03478"/>
    <w:rsid w:val="00A31D5F"/>
    <w:rsid w:val="00AA2697"/>
    <w:rsid w:val="00AA755C"/>
    <w:rsid w:val="00AC54B9"/>
    <w:rsid w:val="00B019E7"/>
    <w:rsid w:val="00B03F25"/>
    <w:rsid w:val="00B12858"/>
    <w:rsid w:val="00B16AA4"/>
    <w:rsid w:val="00B24B5A"/>
    <w:rsid w:val="00B60337"/>
    <w:rsid w:val="00B63005"/>
    <w:rsid w:val="00B72D78"/>
    <w:rsid w:val="00B7501D"/>
    <w:rsid w:val="00BA275B"/>
    <w:rsid w:val="00BA38D4"/>
    <w:rsid w:val="00BA79CD"/>
    <w:rsid w:val="00BD1B37"/>
    <w:rsid w:val="00C050BB"/>
    <w:rsid w:val="00C20A46"/>
    <w:rsid w:val="00C57A55"/>
    <w:rsid w:val="00C97B7C"/>
    <w:rsid w:val="00CA10E1"/>
    <w:rsid w:val="00CD69B7"/>
    <w:rsid w:val="00CE4DFD"/>
    <w:rsid w:val="00CE6E59"/>
    <w:rsid w:val="00D0176A"/>
    <w:rsid w:val="00D0279F"/>
    <w:rsid w:val="00D43470"/>
    <w:rsid w:val="00D63F28"/>
    <w:rsid w:val="00DF5957"/>
    <w:rsid w:val="00E1317C"/>
    <w:rsid w:val="00E85C47"/>
    <w:rsid w:val="00EB49BE"/>
    <w:rsid w:val="00EC2B7C"/>
    <w:rsid w:val="00EE1438"/>
    <w:rsid w:val="00F20AAE"/>
    <w:rsid w:val="00F53932"/>
    <w:rsid w:val="00F75933"/>
    <w:rsid w:val="00F846CF"/>
    <w:rsid w:val="00F95BB1"/>
    <w:rsid w:val="00FB00A4"/>
    <w:rsid w:val="00FC6E3F"/>
    <w:rsid w:val="00FC722F"/>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77BE7-BDCE-4181-95D9-C8D17B55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33"/>
    <w:pPr>
      <w:spacing w:after="0" w:line="240" w:lineRule="auto"/>
    </w:pPr>
    <w:rPr>
      <w:rFonts w:ascii="Times New Roman" w:eastAsia="Times New Roman" w:hAnsi="Times New Roman" w:cs="Times New Roman"/>
      <w:sz w:val="24"/>
      <w:szCs w:val="24"/>
      <w:lang w:val="hy-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 webb Знак"/>
    <w:link w:val="a4"/>
    <w:uiPriority w:val="99"/>
    <w:locked/>
    <w:rsid w:val="00082DA0"/>
    <w:rPr>
      <w:sz w:val="24"/>
      <w:szCs w:val="24"/>
      <w:lang w:val="ru-RU" w:eastAsia="zh-CN"/>
    </w:rPr>
  </w:style>
  <w:style w:type="paragraph" w:styleId="a4">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a"/>
    <w:link w:val="a3"/>
    <w:uiPriority w:val="99"/>
    <w:unhideWhenUsed/>
    <w:qFormat/>
    <w:rsid w:val="00082DA0"/>
    <w:pPr>
      <w:suppressAutoHyphens/>
      <w:spacing w:before="280" w:after="280"/>
    </w:pPr>
    <w:rPr>
      <w:rFonts w:asciiTheme="minorHAnsi" w:eastAsiaTheme="minorHAnsi" w:hAnsiTheme="minorHAnsi" w:cstheme="minorBidi"/>
      <w:lang w:val="ru-RU" w:eastAsia="zh-CN"/>
    </w:rPr>
  </w:style>
  <w:style w:type="paragraph" w:styleId="a5">
    <w:name w:val="List Paragraph"/>
    <w:basedOn w:val="a"/>
    <w:uiPriority w:val="34"/>
    <w:qFormat/>
    <w:rsid w:val="00082DA0"/>
    <w:pPr>
      <w:spacing w:after="200" w:line="276" w:lineRule="auto"/>
      <w:ind w:left="720"/>
      <w:contextualSpacing/>
    </w:pPr>
    <w:rPr>
      <w:rFonts w:asciiTheme="minorHAnsi" w:eastAsiaTheme="minorHAnsi" w:hAnsiTheme="minorHAnsi" w:cstheme="minorBidi"/>
      <w:sz w:val="22"/>
      <w:szCs w:val="22"/>
      <w:lang w:val="en-US"/>
    </w:rPr>
  </w:style>
  <w:style w:type="paragraph" w:styleId="a6">
    <w:name w:val="Balloon Text"/>
    <w:basedOn w:val="a"/>
    <w:link w:val="a7"/>
    <w:uiPriority w:val="99"/>
    <w:semiHidden/>
    <w:unhideWhenUsed/>
    <w:rsid w:val="008859D8"/>
    <w:rPr>
      <w:rFonts w:ascii="Tahoma" w:hAnsi="Tahoma" w:cs="Tahoma"/>
      <w:sz w:val="16"/>
      <w:szCs w:val="16"/>
    </w:rPr>
  </w:style>
  <w:style w:type="character" w:customStyle="1" w:styleId="a7">
    <w:name w:val="Текст выноски Знак"/>
    <w:basedOn w:val="a0"/>
    <w:link w:val="a6"/>
    <w:uiPriority w:val="99"/>
    <w:semiHidden/>
    <w:rsid w:val="008859D8"/>
    <w:rPr>
      <w:rFonts w:ascii="Tahoma" w:hAnsi="Tahoma" w:cs="Tahoma"/>
      <w:sz w:val="16"/>
      <w:szCs w:val="16"/>
    </w:rPr>
  </w:style>
  <w:style w:type="character" w:styleId="a8">
    <w:name w:val="Strong"/>
    <w:uiPriority w:val="22"/>
    <w:qFormat/>
    <w:rsid w:val="00F84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00586">
      <w:bodyDiv w:val="1"/>
      <w:marLeft w:val="0"/>
      <w:marRight w:val="0"/>
      <w:marTop w:val="0"/>
      <w:marBottom w:val="0"/>
      <w:divBdr>
        <w:top w:val="none" w:sz="0" w:space="0" w:color="auto"/>
        <w:left w:val="none" w:sz="0" w:space="0" w:color="auto"/>
        <w:bottom w:val="none" w:sz="0" w:space="0" w:color="auto"/>
        <w:right w:val="none" w:sz="0" w:space="0" w:color="auto"/>
      </w:divBdr>
    </w:div>
    <w:div w:id="782841518">
      <w:bodyDiv w:val="1"/>
      <w:marLeft w:val="0"/>
      <w:marRight w:val="0"/>
      <w:marTop w:val="0"/>
      <w:marBottom w:val="0"/>
      <w:divBdr>
        <w:top w:val="none" w:sz="0" w:space="0" w:color="auto"/>
        <w:left w:val="none" w:sz="0" w:space="0" w:color="auto"/>
        <w:bottom w:val="none" w:sz="0" w:space="0" w:color="auto"/>
        <w:right w:val="none" w:sz="0" w:space="0" w:color="auto"/>
      </w:divBdr>
    </w:div>
    <w:div w:id="1357266245">
      <w:bodyDiv w:val="1"/>
      <w:marLeft w:val="0"/>
      <w:marRight w:val="0"/>
      <w:marTop w:val="0"/>
      <w:marBottom w:val="0"/>
      <w:divBdr>
        <w:top w:val="none" w:sz="0" w:space="0" w:color="auto"/>
        <w:left w:val="none" w:sz="0" w:space="0" w:color="auto"/>
        <w:bottom w:val="none" w:sz="0" w:space="0" w:color="auto"/>
        <w:right w:val="none" w:sz="0" w:space="0" w:color="auto"/>
      </w:divBdr>
    </w:div>
    <w:div w:id="1389761247">
      <w:bodyDiv w:val="1"/>
      <w:marLeft w:val="0"/>
      <w:marRight w:val="0"/>
      <w:marTop w:val="0"/>
      <w:marBottom w:val="0"/>
      <w:divBdr>
        <w:top w:val="none" w:sz="0" w:space="0" w:color="auto"/>
        <w:left w:val="none" w:sz="0" w:space="0" w:color="auto"/>
        <w:bottom w:val="none" w:sz="0" w:space="0" w:color="auto"/>
        <w:right w:val="none" w:sz="0" w:space="0" w:color="auto"/>
      </w:divBdr>
    </w:div>
    <w:div w:id="1973945179">
      <w:bodyDiv w:val="1"/>
      <w:marLeft w:val="0"/>
      <w:marRight w:val="0"/>
      <w:marTop w:val="0"/>
      <w:marBottom w:val="0"/>
      <w:divBdr>
        <w:top w:val="none" w:sz="0" w:space="0" w:color="auto"/>
        <w:left w:val="none" w:sz="0" w:space="0" w:color="auto"/>
        <w:bottom w:val="none" w:sz="0" w:space="0" w:color="auto"/>
        <w:right w:val="none" w:sz="0" w:space="0" w:color="auto"/>
      </w:divBdr>
      <w:divsChild>
        <w:div w:id="260768917">
          <w:marLeft w:val="0"/>
          <w:marRight w:val="0"/>
          <w:marTop w:val="0"/>
          <w:marBottom w:val="0"/>
          <w:divBdr>
            <w:top w:val="none" w:sz="0" w:space="0" w:color="auto"/>
            <w:left w:val="none" w:sz="0" w:space="0" w:color="auto"/>
            <w:bottom w:val="none" w:sz="0" w:space="0" w:color="auto"/>
            <w:right w:val="none" w:sz="0" w:space="0" w:color="auto"/>
          </w:divBdr>
        </w:div>
        <w:div w:id="1648590824">
          <w:marLeft w:val="0"/>
          <w:marRight w:val="0"/>
          <w:marTop w:val="0"/>
          <w:marBottom w:val="0"/>
          <w:divBdr>
            <w:top w:val="none" w:sz="0" w:space="0" w:color="auto"/>
            <w:left w:val="none" w:sz="0" w:space="0" w:color="auto"/>
            <w:bottom w:val="none" w:sz="0" w:space="0" w:color="auto"/>
            <w:right w:val="none" w:sz="0" w:space="0" w:color="auto"/>
          </w:divBdr>
        </w:div>
        <w:div w:id="83648320">
          <w:marLeft w:val="0"/>
          <w:marRight w:val="0"/>
          <w:marTop w:val="0"/>
          <w:marBottom w:val="0"/>
          <w:divBdr>
            <w:top w:val="none" w:sz="0" w:space="0" w:color="auto"/>
            <w:left w:val="none" w:sz="0" w:space="0" w:color="auto"/>
            <w:bottom w:val="none" w:sz="0" w:space="0" w:color="auto"/>
            <w:right w:val="none" w:sz="0" w:space="0" w:color="auto"/>
          </w:divBdr>
        </w:div>
        <w:div w:id="1275866431">
          <w:marLeft w:val="0"/>
          <w:marRight w:val="0"/>
          <w:marTop w:val="0"/>
          <w:marBottom w:val="0"/>
          <w:divBdr>
            <w:top w:val="none" w:sz="0" w:space="0" w:color="auto"/>
            <w:left w:val="none" w:sz="0" w:space="0" w:color="auto"/>
            <w:bottom w:val="none" w:sz="0" w:space="0" w:color="auto"/>
            <w:right w:val="none" w:sz="0" w:space="0" w:color="auto"/>
          </w:divBdr>
        </w:div>
        <w:div w:id="1619334540">
          <w:marLeft w:val="0"/>
          <w:marRight w:val="0"/>
          <w:marTop w:val="0"/>
          <w:marBottom w:val="0"/>
          <w:divBdr>
            <w:top w:val="none" w:sz="0" w:space="0" w:color="auto"/>
            <w:left w:val="none" w:sz="0" w:space="0" w:color="auto"/>
            <w:bottom w:val="none" w:sz="0" w:space="0" w:color="auto"/>
            <w:right w:val="none" w:sz="0" w:space="0" w:color="auto"/>
          </w:divBdr>
        </w:div>
        <w:div w:id="986129175">
          <w:marLeft w:val="0"/>
          <w:marRight w:val="0"/>
          <w:marTop w:val="0"/>
          <w:marBottom w:val="0"/>
          <w:divBdr>
            <w:top w:val="none" w:sz="0" w:space="0" w:color="auto"/>
            <w:left w:val="none" w:sz="0" w:space="0" w:color="auto"/>
            <w:bottom w:val="none" w:sz="0" w:space="0" w:color="auto"/>
            <w:right w:val="none" w:sz="0" w:space="0" w:color="auto"/>
          </w:divBdr>
        </w:div>
        <w:div w:id="757799041">
          <w:marLeft w:val="0"/>
          <w:marRight w:val="0"/>
          <w:marTop w:val="0"/>
          <w:marBottom w:val="0"/>
          <w:divBdr>
            <w:top w:val="none" w:sz="0" w:space="0" w:color="auto"/>
            <w:left w:val="none" w:sz="0" w:space="0" w:color="auto"/>
            <w:bottom w:val="none" w:sz="0" w:space="0" w:color="auto"/>
            <w:right w:val="none" w:sz="0" w:space="0" w:color="auto"/>
          </w:divBdr>
        </w:div>
        <w:div w:id="764230387">
          <w:marLeft w:val="0"/>
          <w:marRight w:val="0"/>
          <w:marTop w:val="0"/>
          <w:marBottom w:val="0"/>
          <w:divBdr>
            <w:top w:val="none" w:sz="0" w:space="0" w:color="auto"/>
            <w:left w:val="none" w:sz="0" w:space="0" w:color="auto"/>
            <w:bottom w:val="none" w:sz="0" w:space="0" w:color="auto"/>
            <w:right w:val="none" w:sz="0" w:space="0" w:color="auto"/>
          </w:divBdr>
        </w:div>
        <w:div w:id="34736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2628</Words>
  <Characters>14980</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A-Antonyan</dc:creator>
  <cp:lastModifiedBy>Test</cp:lastModifiedBy>
  <cp:revision>2</cp:revision>
  <cp:lastPrinted>2021-09-13T12:51:00Z</cp:lastPrinted>
  <dcterms:created xsi:type="dcterms:W3CDTF">2021-10-06T07:55:00Z</dcterms:created>
  <dcterms:modified xsi:type="dcterms:W3CDTF">2021-10-06T07:55:00Z</dcterms:modified>
</cp:coreProperties>
</file>