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506"/>
      </w:tblGrid>
      <w:tr w:rsidR="00BD1FEB" w:rsidRPr="004114B1" w:rsidTr="000842F4">
        <w:tc>
          <w:tcPr>
            <w:tcW w:w="10468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Default="004114B1" w:rsidP="00264F3E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Հ</w:t>
            </w: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ԻՄՆԱՎՈՐՈՒՄ</w:t>
            </w:r>
          </w:p>
          <w:p w:rsidR="00337DA6" w:rsidRDefault="00310701" w:rsidP="00310701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 w:rsidRPr="00310701">
              <w:rPr>
                <w:rFonts w:ascii="GHEA Grapalat" w:hAnsi="GHEA Grapalat"/>
                <w:b/>
                <w:lang w:val="pt-BR"/>
              </w:rPr>
              <w:t xml:space="preserve">«Հայաստանի Հանրապետության բարձրագույն ուսումնական հաստատությունների </w:t>
            </w:r>
            <w:r w:rsidRPr="00310701">
              <w:rPr>
                <w:rFonts w:ascii="GHEA Grapalat" w:hAnsi="GHEA Grapalat" w:cs="Tahoma"/>
                <w:b/>
                <w:lang w:val="hy-AM"/>
              </w:rPr>
              <w:t>բակալավրի</w:t>
            </w:r>
            <w:r w:rsidRPr="00310701">
              <w:rPr>
                <w:rFonts w:ascii="GHEA Grapalat" w:hAnsi="GHEA Grapalat"/>
                <w:b/>
                <w:lang w:val="af-ZA"/>
              </w:rPr>
              <w:t xml:space="preserve"> ու </w:t>
            </w:r>
            <w:r w:rsidRPr="00310701">
              <w:rPr>
                <w:rFonts w:ascii="GHEA Grapalat" w:hAnsi="GHEA Grapalat" w:cs="Tahoma"/>
                <w:b/>
                <w:lang w:val="hy-AM"/>
              </w:rPr>
              <w:t>անընդհատ</w:t>
            </w:r>
            <w:r w:rsidRPr="00310701">
              <w:rPr>
                <w:rFonts w:ascii="GHEA Grapalat" w:hAnsi="GHEA Grapalat"/>
                <w:b/>
                <w:lang w:val="af-ZA"/>
              </w:rPr>
              <w:t xml:space="preserve"> և</w:t>
            </w:r>
            <w:r w:rsidRPr="00310701">
              <w:rPr>
                <w:b/>
                <w:lang w:val="af-ZA"/>
              </w:rPr>
              <w:t> </w:t>
            </w:r>
            <w:r w:rsidRPr="00310701">
              <w:rPr>
                <w:rFonts w:ascii="GHEA Grapalat" w:hAnsi="GHEA Grapalat" w:cs="Tahoma"/>
                <w:b/>
                <w:lang w:val="hy-AM"/>
              </w:rPr>
              <w:t>ինտեգրացված կրթական ծրագրերով</w:t>
            </w:r>
            <w:r w:rsidRPr="00310701">
              <w:rPr>
                <w:rFonts w:ascii="GHEA Grapalat" w:hAnsi="GHEA Grapalat" w:cs="Tahoma"/>
                <w:b/>
                <w:lang w:val="pt-BR"/>
              </w:rPr>
              <w:t xml:space="preserve"> (առկա, հեռակա) </w:t>
            </w:r>
            <w:r w:rsidRPr="00310701">
              <w:rPr>
                <w:rFonts w:ascii="GHEA Grapalat" w:hAnsi="GHEA Grapalat"/>
                <w:b/>
                <w:lang w:val="pt-BR"/>
              </w:rPr>
              <w:t>2022/2023 ուսումնական տարվա մասնագիտությունների և ընդունե</w:t>
            </w:r>
            <w:r w:rsidRPr="00310701">
              <w:rPr>
                <w:rFonts w:ascii="GHEA Grapalat" w:hAnsi="GHEA Grapalat"/>
                <w:b/>
                <w:lang w:val="pt-BR"/>
              </w:rPr>
              <w:softHyphen/>
              <w:t>լության քննությունների ցանկը հաստատելու մասին» Հայաստանի Հանրապետության կառավարության որոշման նախագ</w:t>
            </w:r>
            <w:r>
              <w:rPr>
                <w:rFonts w:ascii="GHEA Grapalat" w:hAnsi="GHEA Grapalat"/>
                <w:b/>
                <w:lang w:val="pt-BR"/>
              </w:rPr>
              <w:t>ծի</w:t>
            </w:r>
          </w:p>
          <w:p w:rsidR="0056437F" w:rsidRPr="004114B1" w:rsidRDefault="0056437F" w:rsidP="00310701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lang w:val="pt-BR"/>
              </w:rPr>
            </w:pPr>
          </w:p>
        </w:tc>
      </w:tr>
      <w:tr w:rsidR="00BD1FEB" w:rsidRPr="00201A1A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D1FEB" w:rsidP="00416FE3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1.</w:t>
            </w:r>
            <w:r w:rsidRPr="00B02C0A">
              <w:rPr>
                <w:rFonts w:ascii="Courier New" w:eastAsia="Times New Roman" w:hAnsi="Courier New" w:cs="Courier New"/>
                <w:b/>
                <w:sz w:val="24"/>
                <w:szCs w:val="24"/>
                <w:lang w:val="en-US"/>
              </w:rPr>
              <w:t>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D1FEB" w:rsidP="00264F3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Անհրաժեշտություն</w:t>
            </w:r>
          </w:p>
        </w:tc>
      </w:tr>
      <w:tr w:rsidR="00BD1FEB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01A1A" w:rsidRDefault="00BD1FE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01A1A" w:rsidRDefault="00BD1FE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ՀՀ կառավարության որոշման նախագծի ընդունումը բխում է «Կրթության մասին» ՀՀ օրենքի 15-րդ հոդվածի 5-րդ մասի պահանջներից:  </w:t>
            </w:r>
          </w:p>
        </w:tc>
      </w:tr>
      <w:tr w:rsidR="00BD1FEB" w:rsidRPr="00201A1A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D1FEB" w:rsidP="00416FE3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2.</w:t>
            </w:r>
            <w:r w:rsidRPr="00B02C0A">
              <w:rPr>
                <w:rFonts w:ascii="Courier New" w:eastAsia="Times New Roman" w:hAnsi="Courier New" w:cs="Courier New"/>
                <w:b/>
                <w:sz w:val="24"/>
                <w:szCs w:val="24"/>
                <w:lang w:val="en-US"/>
              </w:rPr>
              <w:t>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D1FEB" w:rsidP="00264F3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Ընթացիկ իրավիճակը և խնդիրները</w:t>
            </w:r>
          </w:p>
        </w:tc>
      </w:tr>
      <w:tr w:rsidR="00BD1FEB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01A1A" w:rsidRDefault="00BD1FE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120B00" w:rsidRDefault="00093321" w:rsidP="00120B00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     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ՀՀ կառավարության կողմից հաստատված ՀՀ բարձրագույն մասնագիտական կրթության մասնագիտությունների ցանկին համապատասխան յուրաքանչյուր տարի հաստատվում է ՀՀ բուհերի ընդունելության հաջորդ տարվա մասնագիտությունների և ընդունելության քննությունների ցանկը:</w:t>
            </w:r>
          </w:p>
          <w:p w:rsidR="00120B00" w:rsidRDefault="00093321" w:rsidP="00120B00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      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Վճարովի ուuուցման համակարգում թափուր տեղեր առաջանալու դեպքում այդ տեղերի մրցույթին մաuնակցելու համար դիմորդներին հնարավորություն է տրվում մաuնագի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softHyphen/>
              <w:t>տու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softHyphen/>
              <w:t>թյունների և քննությունների ցանկում երկու աuտղանիշերով նշված առար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softHyphen/>
              <w:t>կաների համար որպեu մրցութային գնահատական ընդունե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softHyphen/>
              <w:t>լու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softHyphen/>
              <w:t>թյան դիմում-հայտում նախապեu հայտագրել միջնակարգ կրթության ատեu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softHyphen/>
              <w:t>տատի կամ համապատաuխան ավարտական փաuտաթղթի` այդ առարկաների պետական ավարտական քննությունների գնահա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softHyphen/>
              <w:t>տականը, իսկ պետական ավարտական քննական գնահատականի բացակայության դեպքում` տարեկան գնահատականը:</w:t>
            </w:r>
            <w:r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</w:t>
            </w:r>
            <w:r w:rsidR="00120B00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Նպատակը բուհերի թափուր մնացած մասնագիտությունների համալրումն է:</w:t>
            </w:r>
            <w:r w:rsid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</w:t>
            </w:r>
          </w:p>
          <w:p w:rsidR="00120B00" w:rsidRPr="00120B00" w:rsidRDefault="00120B00" w:rsidP="007D47BB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      </w:t>
            </w:r>
            <w:r w:rsidR="00BD1FEB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Կան մասնագիտություններ, որոնց համար սահմանվում են կամընտրական քննություններ՝ հնարավորություն տալով դիմորդներին իրենց ցանկ</w:t>
            </w:r>
            <w:r w:rsidR="00093321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ությամբ ընտրել քննական առարկան:</w:t>
            </w:r>
            <w:r w:rsidR="00281944" w:rsidRPr="00120B00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</w:t>
            </w:r>
            <w:r w:rsidR="00941ECF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Նշենք, որ հ</w:t>
            </w:r>
            <w:r w:rsidRPr="00120B0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ամաձայն 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>«</w:t>
            </w:r>
            <w:r w:rsidRPr="00120B00">
              <w:rPr>
                <w:rFonts w:ascii="GHEA Grapalat" w:hAnsi="GHEA Grapalat"/>
                <w:sz w:val="24"/>
                <w:szCs w:val="24"/>
                <w:lang w:val="hy-AM"/>
              </w:rPr>
              <w:t>Կրթության մասին</w:t>
            </w:r>
            <w:r w:rsidRPr="00120B00">
              <w:rPr>
                <w:rFonts w:ascii="GHEA Grapalat" w:hAnsi="GHEA Grapalat"/>
                <w:sz w:val="24"/>
                <w:szCs w:val="24"/>
                <w:lang w:val="pt-BR"/>
              </w:rPr>
              <w:t>»</w:t>
            </w:r>
            <w:r w:rsidRPr="00120B0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օրենքի 15-րդ հոդվածի 5-րդ մասի 2-րդ պարբերության (4-րդ ենթակետ) դրույթների՝ </w:t>
            </w:r>
            <w:r w:rsidRPr="00120B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բարձրագույն ուսումնական հաստատությունների տվյալ տարվա մասնագիտությունների և ընդունելության քննությունների ցանկը մի քանի պարտադիր բաղադրիչներից բացի, ներառում է նաև ընդունելության քննության ձևը (մրցութային, ոչ մրցութային):</w:t>
            </w:r>
            <w:r w:rsidR="00941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20B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դեպքում,</w:t>
            </w:r>
            <w:r w:rsidR="00941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20B00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բոլոր այն մասնագիտությունների (կրթական ծրագրերի) դեպքում, որոնց համար 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 xml:space="preserve">ՀՀ կառավարության </w:t>
            </w:r>
            <w:r w:rsidRPr="00941ECF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>26</w:t>
            </w:r>
            <w:r w:rsidR="00941ECF" w:rsidRPr="00941ECF">
              <w:rPr>
                <w:rFonts w:ascii="GHEA Grapalat" w:eastAsia="MS Mincho" w:hAnsi="MS Mincho" w:cs="MS Mincho"/>
                <w:sz w:val="24"/>
                <w:szCs w:val="24"/>
                <w:lang w:val="en-US" w:eastAsia="en-US"/>
              </w:rPr>
              <w:t>.</w:t>
            </w:r>
            <w:r w:rsidRPr="00941ECF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>04</w:t>
            </w:r>
            <w:r w:rsidR="00941ECF" w:rsidRPr="00941ECF">
              <w:rPr>
                <w:rFonts w:ascii="GHEA Grapalat" w:eastAsia="MS Mincho" w:hAnsi="MS Mincho" w:cs="MS Mincho"/>
                <w:sz w:val="24"/>
                <w:szCs w:val="24"/>
                <w:lang w:val="en-US" w:eastAsia="en-US"/>
              </w:rPr>
              <w:t>.</w:t>
            </w:r>
            <w:r w:rsidRPr="00941ECF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>2012թ</w:t>
            </w:r>
            <w:r w:rsidR="00941ECF" w:rsidRPr="00941ECF">
              <w:rPr>
                <w:rFonts w:ascii="GHEA Grapalat" w:eastAsia="MS Mincho" w:hAnsi="MS Mincho" w:cs="MS Mincho"/>
                <w:sz w:val="24"/>
                <w:szCs w:val="24"/>
                <w:lang w:val="en-US" w:eastAsia="en-US"/>
              </w:rPr>
              <w:t>.</w:t>
            </w:r>
            <w:r w:rsidRPr="00941ECF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 xml:space="preserve"> </w:t>
            </w:r>
            <w:r w:rsidR="00941ECF" w:rsidRPr="00941ECF">
              <w:rPr>
                <w:rFonts w:ascii="GHEA Grapalat" w:eastAsia="MS Mincho" w:hAnsi="GHEA Grapalat" w:cs="MS Mincho"/>
                <w:sz w:val="24"/>
                <w:szCs w:val="24"/>
                <w:lang w:val="en-US" w:eastAsia="en-US"/>
              </w:rPr>
              <w:t>N</w:t>
            </w:r>
            <w:r w:rsidRPr="00941ECF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>597-Ն</w:t>
            </w:r>
            <w:r w:rsidRPr="00120B00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 xml:space="preserve"> որոշմամբ հաստատված կարգի (</w:t>
            </w:r>
            <w:r w:rsidRPr="00120B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</w:t>
            </w:r>
            <w:r w:rsidRPr="00120B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և ոչ պետական բարձրագույն</w:t>
            </w:r>
            <w:r w:rsidR="00941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20B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ուսումնական հաստատությունների ընդունելության ըստ բակալավրի ու անընդհատ և ինտեգրացված կրթական ծրագրերի) </w:t>
            </w:r>
            <w:r w:rsidRPr="00120B00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 xml:space="preserve">պահանջներից բխող 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>«</w:t>
            </w:r>
            <w:r w:rsidRPr="00120B0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Հայոց լեզու և գրականություն (գրավոր)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 xml:space="preserve">» առարկայի ընդունելության քննությունը </w:t>
            </w:r>
            <w:r w:rsidRPr="00120B00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>չի նախատեսվ</w:t>
            </w:r>
            <w:r w:rsidR="00C72A25">
              <w:rPr>
                <w:rFonts w:ascii="GHEA Grapalat" w:eastAsia="MS Mincho" w:hAnsi="GHEA Grapalat" w:cs="MS Mincho"/>
                <w:sz w:val="24"/>
                <w:szCs w:val="24"/>
                <w:lang w:val="en-US" w:eastAsia="en-US"/>
              </w:rPr>
              <w:t>ում</w:t>
            </w:r>
            <w:r w:rsidRPr="00120B00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 xml:space="preserve"> որպես մրցութային 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>միասնական ընդունելության քննություն (այլ ներառված է որպես կամընտրական), ապա ցանկում «</w:t>
            </w:r>
            <w:r w:rsidRPr="00120B0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Հայոց լեզու և գրականություն (գրավոր)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>» առարկայի ընդունելության քննությունը պարտադիր նախատեսվ</w:t>
            </w:r>
            <w:r w:rsidR="007D47BB">
              <w:rPr>
                <w:rFonts w:ascii="GHEA Grapalat" w:eastAsia="CIDFont+F1" w:hAnsi="GHEA Grapalat" w:cs="CIDFont+F1"/>
                <w:sz w:val="24"/>
                <w:szCs w:val="24"/>
                <w:lang w:val="en-US" w:eastAsia="en-US"/>
              </w:rPr>
              <w:t>ում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 xml:space="preserve"> է որպես ոչ մրցութային ընդունելության քննություն։ Նշենք նաև, որ ՀՀ կառավարության նույն որոշման 42-րդ կետի 1-ին ենթակետի պահանջի համաձայն՝ այդ ենթակետում նշված բոլոր մասնագիտությունների համար պահպանվ</w:t>
            </w:r>
            <w:r w:rsidR="00C72A25" w:rsidRPr="00C72A25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>ում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 xml:space="preserve"> է «</w:t>
            </w:r>
            <w:r w:rsidRPr="00120B0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Հայոց լեզու և գրականություն (գրավոր)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>» առարկայի ընդունելության քննությունն որպես պ</w:t>
            </w:r>
            <w:r w:rsidRPr="00120B00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>արտադիր</w:t>
            </w:r>
            <w:r w:rsidR="00941ECF" w:rsidRPr="00941ECF">
              <w:rPr>
                <w:rFonts w:ascii="GHEA Grapalat" w:eastAsia="MS Mincho" w:hAnsi="GHEA Grapalat" w:cs="MS Mincho"/>
                <w:sz w:val="24"/>
                <w:szCs w:val="24"/>
                <w:lang w:val="hy-AM" w:eastAsia="en-US"/>
              </w:rPr>
              <w:t xml:space="preserve"> </w:t>
            </w:r>
            <w:r w:rsidRPr="00120B00">
              <w:rPr>
                <w:rFonts w:ascii="GHEA Grapalat" w:eastAsia="CIDFont+F1" w:hAnsi="GHEA Grapalat" w:cs="CIDFont+F1"/>
                <w:sz w:val="24"/>
                <w:szCs w:val="24"/>
                <w:lang w:val="hy-AM" w:eastAsia="en-US"/>
              </w:rPr>
              <w:t>միասնական ընդունելության քննություն հանձնելու պայմանը։</w:t>
            </w:r>
          </w:p>
        </w:tc>
      </w:tr>
      <w:tr w:rsidR="00BD1FEB" w:rsidRPr="00201A1A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D1FEB" w:rsidP="00264F3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lastRenderedPageBreak/>
              <w:t>3.    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D1FEB" w:rsidP="00264F3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Տվյալ բնագավառում իրականացվող քաղաքականություն</w:t>
            </w:r>
          </w:p>
        </w:tc>
      </w:tr>
      <w:tr w:rsidR="00BD1FEB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01A1A" w:rsidRDefault="00BD1FE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2356B" w:rsidRPr="00201A1A" w:rsidRDefault="0062356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      </w:t>
            </w:r>
            <w:r w:rsidR="00BD1FEB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ՀՀ բարձրագույն ուսումնական հաստատությունները ինքնուրույնության և ակադեմիական ազատությունների ընդլայնման համատեքստում իրենք են որոշում կայացնում ընդունելության քննությունների վերաբերյալ, սակայն սույն նախագծով կանոնակարգվում է ընդունելության մասնագիտությունների և դրանց համար նախատեսված ընդու</w:t>
            </w: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նելության քննությունների ցանկը:</w:t>
            </w:r>
          </w:p>
          <w:p w:rsidR="00BD1FEB" w:rsidRPr="00201A1A" w:rsidRDefault="0062356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       </w:t>
            </w:r>
            <w:r w:rsidR="00BD1FEB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Դիմորդների գիտելիքների ստուգման գործընթացն իրականացնելիս, անկախ բուհի կարգավիճակից (պետական, ոչ պետական) բոլոր դիմորդների համար ապահովելով ընդունելության միևնույն պայմանները՝ առնվազն 2 ընդունելության քննության հանձնում:</w:t>
            </w:r>
          </w:p>
          <w:p w:rsidR="00526209" w:rsidRPr="00201A1A" w:rsidRDefault="00526209" w:rsidP="00B02C0A">
            <w:pPr>
              <w:spacing w:after="0" w:line="360" w:lineRule="auto"/>
              <w:ind w:firstLine="426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Արդյունքում, դիմորդը կարևորելով մասնագիտության ընտրությունը և ուսումնասիրելով իր հնարավորությունները՝ լինելով ավելի մոտիվացված և նպատակասլաց, բուհ կընդունվի տվյալ մասնագիտությամբ (կրթական ծրագրով) ընդունելության առնվազն 2 քննությունների հանձմամբ և անհրաժեշտ բազային գիտելիքներով, որը կնպաստի բուհերում ուսման որակի բարձրացմանը:</w:t>
            </w:r>
          </w:p>
          <w:p w:rsidR="00526209" w:rsidRPr="00201A1A" w:rsidRDefault="00DC5765" w:rsidP="00DC5765">
            <w:pPr>
              <w:spacing w:after="0" w:line="36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DC5765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GHEA Grapalat" w:eastAsia="Times New Roman" w:hAnsi="GHEA Grapalat" w:cs="GHEA Grapalat"/>
                <w:sz w:val="24"/>
                <w:szCs w:val="24"/>
              </w:rPr>
              <w:t>Ո</w:t>
            </w:r>
            <w:r w:rsidR="00526209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րոշման նախագծով կկանո</w:t>
            </w:r>
            <w:r>
              <w:rPr>
                <w:rFonts w:ascii="GHEA Grapalat" w:eastAsia="Times New Roman" w:hAnsi="GHEA Grapalat" w:cs="GHEA Grapalat"/>
                <w:sz w:val="24"/>
                <w:szCs w:val="24"/>
              </w:rPr>
              <w:t>նա</w:t>
            </w:r>
            <w:r w:rsidR="00526209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կարգվի բուհերում </w:t>
            </w:r>
            <w:r w:rsid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նույն</w:t>
            </w:r>
            <w:r w:rsidR="00526209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մասնագիտությա</w:t>
            </w:r>
            <w:r w:rsid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ն</w:t>
            </w:r>
            <w:r w:rsidR="00526209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(կրթական ծրագրի) համար ընդունելության միասնական չափանիշների սահման</w:t>
            </w:r>
            <w:r w:rsid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ու</w:t>
            </w:r>
            <w:r w:rsidR="00526209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մ</w:t>
            </w:r>
            <w:r w:rsid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ը</w:t>
            </w:r>
            <w:r w:rsidR="00526209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և միևնույն  մուտքային պահանջների համապատասխանությունը, նկատի ունենալով նաև ՀՀ կառավարության որոշմամբ </w:t>
            </w:r>
            <w:r w:rsid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տվյալ</w:t>
            </w:r>
            <w:r w:rsidR="00526209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մասնագիտության </w:t>
            </w:r>
            <w:r w:rsidR="00526209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lastRenderedPageBreak/>
              <w:t>համար շրջանավարտին շնորհվող համապատասխան որակավորումը:</w:t>
            </w:r>
          </w:p>
        </w:tc>
      </w:tr>
      <w:tr w:rsidR="00BD1FEB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D1FEB" w:rsidP="00264F3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lastRenderedPageBreak/>
              <w:t>4.    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06667" w:rsidP="00B06667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Առաջարկվող կ</w:t>
            </w:r>
            <w:r w:rsidR="00BD1FEB"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արգավորման նպատակը և բնույթը</w:t>
            </w:r>
          </w:p>
        </w:tc>
      </w:tr>
      <w:tr w:rsidR="00BD1FEB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01A1A" w:rsidRDefault="00BD1FE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01A1A" w:rsidRDefault="00093321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     </w:t>
            </w:r>
            <w:r w:rsidR="00BD1FEB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Նախագծի ընդունումը նպատակ ունի հստակեցնել և կանոնակարգել բակալավրի ու անընդհատ և ինտեգրացված կրթական ծրագրով ընդունելության մասնագիտությունների և դրանց համար նախատեսված ընդունելության քննությունների ցանկը</w:t>
            </w:r>
            <w:r w:rsidR="00526209"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:</w:t>
            </w:r>
          </w:p>
        </w:tc>
      </w:tr>
      <w:tr w:rsidR="00BD1FEB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D1FEB" w:rsidP="00264F3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5.    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B02C0A" w:rsidRDefault="00BD1FEB" w:rsidP="00264F3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B02C0A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Նախագծի մշակման գործընթացում ներգրավված ինստիտուտներն ու անձինք</w:t>
            </w:r>
          </w:p>
        </w:tc>
      </w:tr>
      <w:tr w:rsidR="00BD1FEB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01A1A" w:rsidRDefault="00BD1FE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01A1A" w:rsidRDefault="00201A1A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Կրթության, գիտության, մշակույթի և սպորտի նախարարություն</w:t>
            </w:r>
          </w:p>
          <w:p w:rsidR="00201A1A" w:rsidRDefault="00201A1A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«Գնահատման և թեստավորման կենտրոն» ՊՈԱԿ</w:t>
            </w:r>
          </w:p>
          <w:p w:rsidR="00BD1FEB" w:rsidRPr="00201A1A" w:rsidRDefault="00BD1FE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ՀՀ բարձրագու</w:t>
            </w:r>
            <w:r w:rsidR="00507E62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յն ուսումնական հաստատություններ</w:t>
            </w: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</w:t>
            </w:r>
          </w:p>
        </w:tc>
      </w:tr>
      <w:tr w:rsidR="00BD1FEB" w:rsidRPr="00201A1A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64F3E" w:rsidRDefault="00BD1FEB" w:rsidP="00264F3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264F3E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6.   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64F3E" w:rsidRDefault="00BD1FEB" w:rsidP="00264F3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</w:pPr>
            <w:r w:rsidRPr="00264F3E">
              <w:rPr>
                <w:rFonts w:ascii="GHEA Grapalat" w:eastAsia="Times New Roman" w:hAnsi="GHEA Grapalat" w:cs="GHEA Grapalat"/>
                <w:b/>
                <w:sz w:val="24"/>
                <w:szCs w:val="24"/>
                <w:lang w:val="en-US"/>
              </w:rPr>
              <w:t>Ակնկալվող արդյունքը</w:t>
            </w:r>
          </w:p>
        </w:tc>
      </w:tr>
      <w:tr w:rsidR="00BD1FEB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1FEB" w:rsidRPr="00201A1A" w:rsidRDefault="00BD1FE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34B53" w:rsidRPr="00093321" w:rsidRDefault="00BD1FEB" w:rsidP="00B02C0A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Բուհերի ընդունելության մրցույթի իրականացում՝ ըստ</w:t>
            </w:r>
            <w:r w:rsidR="00A9687F" w:rsidRP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մրցութային</w:t>
            </w:r>
            <w:r w:rsidR="00A9687F" w:rsidRP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քննությունների</w:t>
            </w:r>
            <w:r w:rsidR="00A9687F" w:rsidRP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093321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արդյունքների:</w:t>
            </w:r>
          </w:p>
        </w:tc>
      </w:tr>
      <w:tr w:rsidR="00362AA5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362AA5" w:rsidRPr="00201A1A" w:rsidRDefault="00362AA5" w:rsidP="00E101AC">
            <w:pPr>
              <w:spacing w:after="0" w:line="240" w:lineRule="auto"/>
              <w:jc w:val="both"/>
              <w:textAlignment w:val="baseline"/>
              <w:rPr>
                <w:rFonts w:ascii="GHEA Grapalat" w:hAnsi="GHEA Grapalat" w:cs="GHEA Grapalat"/>
                <w:b/>
                <w:lang w:val="en-US"/>
              </w:rPr>
            </w:pPr>
            <w:r>
              <w:rPr>
                <w:rFonts w:ascii="GHEA Grapalat" w:hAnsi="GHEA Grapalat" w:cs="GHEA Grapalat"/>
                <w:b/>
                <w:lang w:val="en-US"/>
              </w:rPr>
              <w:t>7</w:t>
            </w:r>
            <w:r w:rsidRPr="00201A1A">
              <w:rPr>
                <w:rFonts w:ascii="GHEA Grapalat" w:hAnsi="GHEA Grapalat" w:cs="GHEA Grapalat"/>
                <w:b/>
                <w:lang w:val="en-US"/>
              </w:rPr>
              <w:t>.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362AA5" w:rsidRPr="00195151" w:rsidRDefault="00362AA5" w:rsidP="00E101AC">
            <w:pPr>
              <w:spacing w:after="0" w:line="240" w:lineRule="auto"/>
              <w:jc w:val="both"/>
              <w:textAlignment w:val="baseline"/>
              <w:rPr>
                <w:rFonts w:ascii="GHEA Grapalat" w:hAnsi="GHEA Grapalat" w:cs="GHEA Grapalat"/>
                <w:sz w:val="24"/>
                <w:szCs w:val="24"/>
                <w:lang w:val="en-US"/>
              </w:rPr>
            </w:pPr>
            <w:r w:rsidRPr="0019515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Այլ տեղեկություններ (եթե այդպիսիք առկա են)</w:t>
            </w:r>
          </w:p>
        </w:tc>
      </w:tr>
      <w:tr w:rsidR="00362AA5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362AA5" w:rsidRPr="00201A1A" w:rsidRDefault="00362AA5" w:rsidP="00E101AC">
            <w:pPr>
              <w:spacing w:after="0" w:line="360" w:lineRule="auto"/>
              <w:jc w:val="both"/>
              <w:textAlignment w:val="baseline"/>
              <w:rPr>
                <w:rFonts w:ascii="GHEA Grapalat" w:hAnsi="GHEA Grapalat" w:cs="GHEA Grapalat"/>
                <w:b/>
                <w:lang w:val="en-US"/>
              </w:rPr>
            </w:pP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362AA5" w:rsidRPr="00195151" w:rsidRDefault="00362AA5" w:rsidP="00E101A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en-US"/>
              </w:rPr>
            </w:pPr>
            <w:r w:rsidRPr="0019515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ընդունման </w:t>
            </w:r>
            <w:r w:rsidRPr="0019515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դեպքում պետական</w:t>
            </w:r>
            <w:r w:rsidRPr="00195151">
              <w:rPr>
                <w:rFonts w:ascii="GHEA Grapalat" w:hAnsi="GHEA Grapalat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19515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կամ</w:t>
            </w:r>
            <w:r w:rsidRPr="00195151">
              <w:rPr>
                <w:rFonts w:ascii="GHEA Grapalat" w:hAnsi="GHEA Grapalat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195151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19515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195151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ինքնակառավարման</w:t>
            </w:r>
            <w:r w:rsidRPr="0019515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195151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19515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բյուջեներում ծախսերի</w:t>
            </w:r>
            <w:r w:rsidRPr="0019515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և </w:t>
            </w:r>
            <w:r w:rsidRPr="0019515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եկամուտների</w:t>
            </w:r>
            <w:r w:rsidRPr="00195151">
              <w:rPr>
                <w:rFonts w:ascii="GHEA Grapalat" w:hAnsi="GHEA Grapalat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195151">
              <w:rPr>
                <w:rFonts w:ascii="GHEA Grapalat" w:hAnsi="GHEA Grapalat"/>
                <w:sz w:val="24"/>
                <w:szCs w:val="24"/>
                <w:lang w:val="hy-AM"/>
              </w:rPr>
              <w:t>էական ավելացումների կամ նվազեցումների մասին տեղեկանքի լրացման անհրաժեշտությունը բացակայում է, քանի որ պետական կամ տեղական ինքնակառավարման մարմինների բյուջեներում ծախսերի և եկամուտների էական ավելացումներ կամ նվազեցումներ չեն նախատեսվում։</w:t>
            </w:r>
          </w:p>
        </w:tc>
      </w:tr>
      <w:tr w:rsidR="00362AA5" w:rsidRPr="00120B00" w:rsidTr="00362AA5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2AA5" w:rsidRPr="00201A1A" w:rsidRDefault="00362AA5" w:rsidP="004114B1">
            <w:pPr>
              <w:spacing w:after="0" w:line="240" w:lineRule="auto"/>
              <w:textAlignment w:val="baseline"/>
              <w:rPr>
                <w:rFonts w:ascii="GHEA Grapalat" w:hAnsi="GHEA Grapalat" w:cs="GHEA Grapalat"/>
                <w:b/>
                <w:lang w:val="en-US"/>
              </w:rPr>
            </w:pPr>
            <w:r>
              <w:rPr>
                <w:rFonts w:ascii="GHEA Grapalat" w:hAnsi="GHEA Grapalat" w:cs="GHEA Grapalat"/>
                <w:b/>
                <w:lang w:val="en-US"/>
              </w:rPr>
              <w:t>8.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362AA5" w:rsidRPr="001B46FB" w:rsidRDefault="00362AA5" w:rsidP="004114B1">
            <w:pPr>
              <w:spacing w:after="0" w:line="240" w:lineRule="auto"/>
              <w:jc w:val="both"/>
              <w:textAlignment w:val="baseline"/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  <w:lang w:val="en-US"/>
              </w:rPr>
            </w:pP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Կապը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ռազմավարական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փաստաթղթերի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1B46FB"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62AA5" w:rsidRPr="001B46FB" w:rsidRDefault="00362AA5" w:rsidP="004114B1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1B46FB"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2050</w:t>
            </w:r>
            <w:r w:rsidRPr="001B46FB"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վերափոխման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46FB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ռազմավարություն</w:t>
            </w:r>
            <w:r w:rsidRPr="001B46FB"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, Կառավարության 2021-2026թթ. ծրագիր, ոլորտային և/կամ այլ ռազմավարություններ</w:t>
            </w:r>
          </w:p>
        </w:tc>
      </w:tr>
      <w:tr w:rsidR="00362AA5" w:rsidRPr="00120B00" w:rsidTr="000842F4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362AA5" w:rsidRPr="00201A1A" w:rsidRDefault="00362AA5" w:rsidP="00B02C0A">
            <w:pPr>
              <w:spacing w:after="0" w:line="360" w:lineRule="auto"/>
              <w:jc w:val="both"/>
              <w:textAlignment w:val="baseline"/>
              <w:rPr>
                <w:rFonts w:ascii="GHEA Grapalat" w:hAnsi="GHEA Grapalat" w:cs="GHEA Grapalat"/>
                <w:b/>
                <w:lang w:val="en-US"/>
              </w:rPr>
            </w:pP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362AA5" w:rsidRPr="0098217B" w:rsidRDefault="00362AA5" w:rsidP="00E101AC">
            <w:pPr>
              <w:spacing w:after="0" w:line="360" w:lineRule="auto"/>
              <w:ind w:right="23" w:firstLine="720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98217B">
              <w:rPr>
                <w:rFonts w:ascii="GHEA Grapalat" w:hAnsi="GHEA Grapalat"/>
                <w:sz w:val="24"/>
                <w:szCs w:val="24"/>
                <w:lang w:val="hy-AM"/>
              </w:rPr>
              <w:t>Նախագիծը բխում է 2050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վերափոխման ռազմավարության </w:t>
            </w: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Կ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>իրթ և կարողունակ քաղաքացի, ժողովուրդ</w:t>
            </w:r>
            <w:r w:rsidRPr="00201A1A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»</w:t>
            </w:r>
            <w:r w:rsidRPr="009821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>1-ին</w:t>
            </w:r>
            <w:r w:rsidRPr="009821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մեգանպատակից և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2021-2026թթ. ծրագրի 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>4.3</w:t>
            </w:r>
            <w:r w:rsidRPr="0098217B">
              <w:rPr>
                <w:rFonts w:ascii="GHEA Grapalat" w:hAnsi="GHEA Grapalat"/>
                <w:sz w:val="24"/>
                <w:szCs w:val="24"/>
                <w:lang w:val="hy-AM"/>
              </w:rPr>
              <w:t xml:space="preserve">-րդ գլխով սահմանված </w:t>
            </w:r>
            <w:r w:rsidRPr="0098217B">
              <w:rPr>
                <w:rFonts w:ascii="GHEA Grapalat" w:hAnsi="GHEA Grapalat"/>
                <w:sz w:val="24"/>
                <w:szCs w:val="24"/>
              </w:rPr>
              <w:t>բարձրագույն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կրթության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ոլորտի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բարեփոխմանը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միտված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բարձրագույն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ուսումնական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հաստատություններ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ընդունելության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սկզբունքների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և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մեխանիզմների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վերանայման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ռազմավարական</w:t>
            </w:r>
            <w:r w:rsidRPr="009821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8217B">
              <w:rPr>
                <w:rFonts w:ascii="GHEA Grapalat" w:hAnsi="GHEA Grapalat"/>
                <w:sz w:val="24"/>
                <w:szCs w:val="24"/>
              </w:rPr>
              <w:t>նպատակներից</w:t>
            </w:r>
            <w:r w:rsidRPr="0098217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</w:tbl>
    <w:p w:rsidR="00BC3E55" w:rsidRPr="007A1BED" w:rsidRDefault="00BC3E55" w:rsidP="00264F3E">
      <w:pPr>
        <w:pStyle w:val="msonormalmrcssattr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sectPr w:rsidR="00BC3E55" w:rsidRPr="007A1BED" w:rsidSect="004114B1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7907"/>
    <w:multiLevelType w:val="multilevel"/>
    <w:tmpl w:val="B058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1D"/>
    <w:rsid w:val="0001233B"/>
    <w:rsid w:val="000842F4"/>
    <w:rsid w:val="00093321"/>
    <w:rsid w:val="00093DEB"/>
    <w:rsid w:val="000C761D"/>
    <w:rsid w:val="000F75D0"/>
    <w:rsid w:val="00120B00"/>
    <w:rsid w:val="00195151"/>
    <w:rsid w:val="001B46FB"/>
    <w:rsid w:val="00201A1A"/>
    <w:rsid w:val="00264F3E"/>
    <w:rsid w:val="002755FD"/>
    <w:rsid w:val="0027610F"/>
    <w:rsid w:val="00281944"/>
    <w:rsid w:val="002B17E6"/>
    <w:rsid w:val="002B3CAC"/>
    <w:rsid w:val="002C3097"/>
    <w:rsid w:val="00310701"/>
    <w:rsid w:val="00337DA6"/>
    <w:rsid w:val="00351EE2"/>
    <w:rsid w:val="00362AA5"/>
    <w:rsid w:val="00386CB4"/>
    <w:rsid w:val="004062E8"/>
    <w:rsid w:val="004114B1"/>
    <w:rsid w:val="00416FE3"/>
    <w:rsid w:val="00432E86"/>
    <w:rsid w:val="00507E62"/>
    <w:rsid w:val="00526209"/>
    <w:rsid w:val="0056437F"/>
    <w:rsid w:val="005C2D21"/>
    <w:rsid w:val="005D32FF"/>
    <w:rsid w:val="005F529F"/>
    <w:rsid w:val="00601907"/>
    <w:rsid w:val="0062356B"/>
    <w:rsid w:val="00681F9F"/>
    <w:rsid w:val="006A2C17"/>
    <w:rsid w:val="00713703"/>
    <w:rsid w:val="00734B53"/>
    <w:rsid w:val="00753E8A"/>
    <w:rsid w:val="00772287"/>
    <w:rsid w:val="00773765"/>
    <w:rsid w:val="007A1BED"/>
    <w:rsid w:val="007D47BB"/>
    <w:rsid w:val="007E44D3"/>
    <w:rsid w:val="00834BF3"/>
    <w:rsid w:val="00865BD0"/>
    <w:rsid w:val="00931B95"/>
    <w:rsid w:val="00941ECF"/>
    <w:rsid w:val="0098217B"/>
    <w:rsid w:val="009E5E1F"/>
    <w:rsid w:val="009F4CE7"/>
    <w:rsid w:val="00A64830"/>
    <w:rsid w:val="00A9687F"/>
    <w:rsid w:val="00AB2D6A"/>
    <w:rsid w:val="00AC39E8"/>
    <w:rsid w:val="00B02C0A"/>
    <w:rsid w:val="00B06667"/>
    <w:rsid w:val="00B21BD7"/>
    <w:rsid w:val="00B55E6E"/>
    <w:rsid w:val="00B84458"/>
    <w:rsid w:val="00BB6D7C"/>
    <w:rsid w:val="00BC3E55"/>
    <w:rsid w:val="00BD1FEB"/>
    <w:rsid w:val="00C51CFE"/>
    <w:rsid w:val="00C72A25"/>
    <w:rsid w:val="00CA6600"/>
    <w:rsid w:val="00D60908"/>
    <w:rsid w:val="00D72F77"/>
    <w:rsid w:val="00DC5765"/>
    <w:rsid w:val="00DE433B"/>
    <w:rsid w:val="00EA53EA"/>
    <w:rsid w:val="00ED259D"/>
    <w:rsid w:val="00F27B25"/>
    <w:rsid w:val="00F77937"/>
    <w:rsid w:val="00F9702F"/>
    <w:rsid w:val="00FA3078"/>
    <w:rsid w:val="00FC0A4B"/>
    <w:rsid w:val="00FE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61D"/>
    <w:rPr>
      <w:b/>
      <w:bCs/>
    </w:rPr>
  </w:style>
  <w:style w:type="character" w:styleId="a5">
    <w:name w:val="Emphasis"/>
    <w:basedOn w:val="a0"/>
    <w:uiPriority w:val="20"/>
    <w:qFormat/>
    <w:rsid w:val="00BD1FEB"/>
    <w:rPr>
      <w:i/>
      <w:iCs/>
    </w:rPr>
  </w:style>
  <w:style w:type="paragraph" w:customStyle="1" w:styleId="msonormalmrcssattr">
    <w:name w:val="msonormal_mr_css_attr"/>
    <w:basedOn w:val="a"/>
    <w:rsid w:val="00EA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61D"/>
    <w:rPr>
      <w:b/>
      <w:bCs/>
    </w:rPr>
  </w:style>
  <w:style w:type="character" w:styleId="a5">
    <w:name w:val="Emphasis"/>
    <w:basedOn w:val="a0"/>
    <w:uiPriority w:val="20"/>
    <w:qFormat/>
    <w:rsid w:val="00BD1FEB"/>
    <w:rPr>
      <w:i/>
      <w:iCs/>
    </w:rPr>
  </w:style>
  <w:style w:type="paragraph" w:customStyle="1" w:styleId="msonormalmrcssattr">
    <w:name w:val="msonormal_mr_css_attr"/>
    <w:basedOn w:val="a"/>
    <w:rsid w:val="00EA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Arsen_2</dc:creator>
  <cp:lastModifiedBy>Пользователь Windows</cp:lastModifiedBy>
  <cp:revision>2</cp:revision>
  <dcterms:created xsi:type="dcterms:W3CDTF">2021-11-08T07:55:00Z</dcterms:created>
  <dcterms:modified xsi:type="dcterms:W3CDTF">2021-11-08T07:55:00Z</dcterms:modified>
</cp:coreProperties>
</file>