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CE" w:rsidRPr="0093638B" w:rsidRDefault="002467CE" w:rsidP="0093638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638B">
        <w:rPr>
          <w:rFonts w:ascii="Courier New" w:eastAsia="Times New Roman" w:hAnsi="Courier New" w:cs="Courier New"/>
          <w:color w:val="000000"/>
          <w:sz w:val="24"/>
          <w:szCs w:val="24"/>
        </w:rPr>
        <w:t>   </w:t>
      </w:r>
    </w:p>
    <w:p w:rsidR="002467CE" w:rsidRPr="0093638B" w:rsidRDefault="002467CE" w:rsidP="0093638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638B">
        <w:rPr>
          <w:rFonts w:ascii="Courier New" w:eastAsia="Times New Roman" w:hAnsi="Courier New" w:cs="Courier New"/>
          <w:color w:val="000000"/>
          <w:sz w:val="24"/>
          <w:szCs w:val="24"/>
        </w:rPr>
        <w:t>   </w:t>
      </w:r>
    </w:p>
    <w:p w:rsidR="002467CE" w:rsidRPr="0093638B" w:rsidRDefault="002467CE" w:rsidP="0093638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93638B">
        <w:rPr>
          <w:rFonts w:ascii="GHEA Grapalat" w:hAnsi="GHEA Grapalat"/>
          <w:b/>
          <w:sz w:val="24"/>
          <w:szCs w:val="24"/>
        </w:rPr>
        <w:t>ԱՄՓՈՓԱԹԵՐԹ</w:t>
      </w:r>
    </w:p>
    <w:p w:rsidR="000D282C" w:rsidRPr="0093638B" w:rsidRDefault="00951AC0" w:rsidP="0093638B">
      <w:pPr>
        <w:spacing w:line="360" w:lineRule="auto"/>
        <w:ind w:firstLine="426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3638B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>«ՀԱՅԱՍՏԱՆԻ ՀԱՆՐԱՊԵՏՈՒԹՅԱՆ ԿԱՌԱՎԱՐՈՒԹՅԱՆ 2005 ԹՎԱԿԱՆԻ ՓԵՏՐՎԱՐԻ 17-Ի N 194-Ն ՈՐՈՇՄԱՆ ՄԵՋ ՓՈՓՈԽՈՒԹՅՈՒՆՆԵՐ ԿԱՏԱՐԵԼՈՒ</w:t>
      </w:r>
      <w:r w:rsidR="000D282C" w:rsidRPr="0093638B">
        <w:rPr>
          <w:rStyle w:val="Strong"/>
          <w:rFonts w:ascii="GHEA Grapalat" w:hAnsi="GHEA Grapalat"/>
          <w:sz w:val="24"/>
          <w:szCs w:val="24"/>
          <w:shd w:val="clear" w:color="auto" w:fill="FFFFFF"/>
          <w:lang w:val="fr-FR"/>
        </w:rPr>
        <w:t>»</w:t>
      </w:r>
      <w:r w:rsidR="000D282C" w:rsidRPr="0093638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D282C" w:rsidRPr="0093638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0D282C" w:rsidRPr="0093638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="000D282C" w:rsidRPr="0093638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D282C" w:rsidRPr="0093638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="000D282C" w:rsidRPr="0093638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D282C" w:rsidRPr="0093638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ՆԱԽԱԳԾԻ</w:t>
      </w:r>
      <w:r w:rsidR="000D282C" w:rsidRPr="0093638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ՎԵՐԱԲԵՐՅԱԼ </w:t>
      </w:r>
      <w:r w:rsidR="000D282C" w:rsidRPr="0093638B">
        <w:rPr>
          <w:rFonts w:ascii="GHEA Grapalat" w:hAnsi="GHEA Grapalat" w:cs="Sylfaen"/>
          <w:b/>
          <w:sz w:val="24"/>
          <w:szCs w:val="24"/>
          <w:lang w:val="af-ZA"/>
        </w:rPr>
        <w:t>ՆԵՐԿԱՅԱՑՐԱԾ ԱՌԱՋԱՐԿՈՒԹՅՈՒՆՆԵՐԻ</w:t>
      </w:r>
    </w:p>
    <w:tbl>
      <w:tblPr>
        <w:tblW w:w="134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9"/>
        <w:gridCol w:w="3118"/>
        <w:gridCol w:w="2754"/>
      </w:tblGrid>
      <w:tr w:rsidR="00105F82" w:rsidRPr="0093638B" w:rsidTr="003B7188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:rsidR="00105F82" w:rsidRPr="0093638B" w:rsidRDefault="00105F82" w:rsidP="00105F82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 w:cs="Arial Unicode"/>
                <w:color w:val="000000"/>
                <w:lang w:val="hy-AM"/>
              </w:rPr>
            </w:pPr>
            <w:r w:rsidRPr="0093638B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t xml:space="preserve">1. 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t>Արդարադատության նախարարություն</w:t>
            </w:r>
          </w:p>
        </w:tc>
        <w:tc>
          <w:tcPr>
            <w:tcW w:w="2754" w:type="dxa"/>
            <w:shd w:val="clear" w:color="auto" w:fill="D0D0D0"/>
            <w:hideMark/>
          </w:tcPr>
          <w:p w:rsidR="00105F82" w:rsidRPr="0093638B" w:rsidRDefault="00105F82" w:rsidP="0035620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04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.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1</w:t>
            </w:r>
            <w:r w:rsidR="0035620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1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.2021թ.</w:t>
            </w:r>
          </w:p>
        </w:tc>
      </w:tr>
      <w:tr w:rsidR="00105F82" w:rsidRPr="0093638B" w:rsidTr="003B7188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:rsidR="00105F82" w:rsidRPr="0093638B" w:rsidRDefault="00105F82" w:rsidP="003B7188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:rsidR="00105F82" w:rsidRPr="0093638B" w:rsidRDefault="00105F82" w:rsidP="003B718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N </w:t>
            </w:r>
            <w:r w:rsidR="00356207" w:rsidRPr="00356207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01/27.1/35095-2021</w:t>
            </w:r>
          </w:p>
        </w:tc>
      </w:tr>
      <w:tr w:rsidR="00356207" w:rsidRPr="0093638B" w:rsidTr="00356207">
        <w:trPr>
          <w:trHeight w:val="593"/>
          <w:tblCellSpacing w:w="0" w:type="dxa"/>
          <w:jc w:val="center"/>
        </w:trPr>
        <w:tc>
          <w:tcPr>
            <w:tcW w:w="7619" w:type="dxa"/>
            <w:shd w:val="clear" w:color="auto" w:fill="FFFFFF"/>
          </w:tcPr>
          <w:p w:rsidR="00356207" w:rsidRDefault="00356207" w:rsidP="00356207">
            <w:pPr>
              <w:pStyle w:val="mechtex"/>
              <w:tabs>
                <w:tab w:val="left" w:pos="239"/>
              </w:tabs>
              <w:spacing w:line="360" w:lineRule="auto"/>
              <w:ind w:left="97" w:right="13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35620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  <w:r w:rsidRPr="00105F8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Ի պատասխան Ձեր՝ 2021 թվականի հոկտեմբերի 12-ի թիվ /51.2/35294-2021 գրության՝ կից ներկայացվում է «Հայաստանի Հանրապետության կառավարության 2005 թվականի փետրվարի 17-ի թիվ 194-Ն որոշման մեջ փոփոխություններ կատարելու մասին» ՀՀ կառավարության որոշման նախագծի վերաբերյալ Հայաստանի Հանրապետության արդարադատության նախարարության պետական փորձագիտական եզրակացությունը։</w:t>
            </w:r>
          </w:p>
          <w:p w:rsidR="00356207" w:rsidRDefault="00356207" w:rsidP="00356207">
            <w:pPr>
              <w:pStyle w:val="mechtex"/>
              <w:tabs>
                <w:tab w:val="left" w:pos="239"/>
              </w:tabs>
              <w:spacing w:line="360" w:lineRule="auto"/>
              <w:ind w:left="97" w:right="13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</w:p>
          <w:p w:rsidR="00356207" w:rsidRDefault="00356207" w:rsidP="00356207">
            <w:pPr>
              <w:tabs>
                <w:tab w:val="left" w:pos="239"/>
              </w:tabs>
              <w:spacing w:after="0" w:line="360" w:lineRule="auto"/>
              <w:ind w:left="97" w:right="137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ՊԵՏԱԿԱՆ ՓՈՐՁԱԳԻՏԱԿԱՆ ԵԶՐԱԿԱՑՈՒԹՅՈՒՆ</w:t>
            </w:r>
          </w:p>
          <w:p w:rsidR="00356207" w:rsidRDefault="00356207" w:rsidP="00356207">
            <w:pPr>
              <w:tabs>
                <w:tab w:val="left" w:pos="239"/>
                <w:tab w:val="left" w:pos="10221"/>
              </w:tabs>
              <w:spacing w:after="0" w:line="360" w:lineRule="auto"/>
              <w:ind w:left="97" w:right="137"/>
              <w:jc w:val="center"/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«Հ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այաստանի Հանրապետության կառավարության 2005 թվականի փետրվարի 17-ի թիվ 194-Ն որոշման մեջ փոփոխություններ կատարելու մասին</w:t>
            </w:r>
            <w:r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noProof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կառավարության որոշման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նախագծի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վերաբերյալ</w:t>
            </w:r>
          </w:p>
          <w:p w:rsidR="00356207" w:rsidRDefault="00356207" w:rsidP="00356207">
            <w:pPr>
              <w:tabs>
                <w:tab w:val="left" w:pos="239"/>
                <w:tab w:val="left" w:pos="10221"/>
              </w:tabs>
              <w:spacing w:after="0" w:line="360" w:lineRule="auto"/>
              <w:ind w:left="97" w:right="137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56207" w:rsidRDefault="00356207" w:rsidP="00356207">
            <w:pPr>
              <w:tabs>
                <w:tab w:val="left" w:pos="239"/>
              </w:tabs>
              <w:spacing w:after="0" w:line="360" w:lineRule="auto"/>
              <w:ind w:left="97" w:right="137"/>
              <w:jc w:val="both"/>
              <w:rPr>
                <w:rFonts w:ascii="GHEA Grapalat" w:hAnsi="GHEA Grapalat" w:cs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Ներկայացված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«Հ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այաստանի Հանրապետության կառավարության 2005 թվականի փետրվարի 17-ի թիվ 194-Ն որոշման մեջ փոփոխություններ կատարելու մասին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noProof/>
                <w:lang w:val="hy-AM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կառավարության որոշման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նախագծով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(այսուհետ՝ Նախագիծ) նախատեսվում է փոփոխություններ կատարել վերոնշյալ որոշմամբ հաստատված  1-ին և 2-րդ հավելվածներում:</w:t>
            </w:r>
          </w:p>
          <w:p w:rsidR="00356207" w:rsidRDefault="00356207" w:rsidP="00356207">
            <w:pPr>
              <w:tabs>
                <w:tab w:val="left" w:pos="239"/>
              </w:tabs>
              <w:spacing w:after="0" w:line="360" w:lineRule="auto"/>
              <w:ind w:left="97" w:right="137"/>
              <w:jc w:val="both"/>
              <w:rPr>
                <w:rFonts w:ascii="GHEA Grapalat" w:hAnsi="GHEA Grapalat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MS Gothic" w:hAnsi="GHEA Grapalat" w:cs="Arial"/>
                <w:sz w:val="24"/>
                <w:szCs w:val="24"/>
                <w:lang w:val="hy-AM"/>
              </w:rPr>
              <w:t>Այս առումով հարկ ենք համարում անդրադառնալ</w:t>
            </w:r>
            <w:r>
              <w:rPr>
                <w:rFonts w:ascii="GHEA Grapalat" w:hAnsi="GHEA Grapalat" w:cs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«Նորմատիվ իրավական ակտերի մասին» օրենքի 13-րդ հոդվածի 1-ին մասի դրույթներին, համաձայն  որոնց՝ ենթաօրենսդրական նորմատիվ 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:rsidR="00356207" w:rsidRDefault="00356207" w:rsidP="00356207">
            <w:pPr>
              <w:tabs>
                <w:tab w:val="left" w:pos="239"/>
              </w:tabs>
              <w:spacing w:after="0" w:line="360" w:lineRule="auto"/>
              <w:ind w:left="97" w:right="137"/>
              <w:jc w:val="both"/>
              <w:rPr>
                <w:rFonts w:ascii="GHEA Grapalat" w:hAnsi="GHEA Grapalat" w:cs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Սահմանադրության 6-րդ հոդվածի 2-րդ մասի համաձայն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՝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</w:t>
            </w:r>
          </w:p>
          <w:p w:rsidR="00356207" w:rsidRDefault="00356207" w:rsidP="00356207">
            <w:pPr>
              <w:tabs>
                <w:tab w:val="left" w:pos="239"/>
              </w:tabs>
              <w:spacing w:after="0" w:line="360" w:lineRule="auto"/>
              <w:ind w:left="97" w:right="13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Տվյալ դեպքում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ՀՀ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2005 թվականի փետրվարի 17-ի թիվ 194-Ն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նախաբանում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որևէ իրավական ակտի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հղում կատարված չէ:</w:t>
            </w:r>
          </w:p>
          <w:p w:rsidR="00356207" w:rsidRDefault="00356207" w:rsidP="00356207">
            <w:pPr>
              <w:tabs>
                <w:tab w:val="left" w:pos="239"/>
              </w:tabs>
              <w:spacing w:after="0" w:line="360" w:lineRule="auto"/>
              <w:ind w:left="97" w:right="137"/>
              <w:jc w:val="both"/>
              <w:rPr>
                <w:rFonts w:ascii="GHEA Grapalat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վերոգրյալից առաջարկում ենք որոշման նախաբանում հղում կատարել այն իրավական ակտին, որով ՀՀ կառավարությունը լիազորվել է ընդունելու հիշյալ որոշումը: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</w:p>
          <w:p w:rsidR="00356207" w:rsidRPr="00105F82" w:rsidRDefault="00356207" w:rsidP="00356207">
            <w:pPr>
              <w:tabs>
                <w:tab w:val="left" w:pos="239"/>
              </w:tabs>
              <w:spacing w:after="0" w:line="360" w:lineRule="auto"/>
              <w:ind w:left="97" w:right="13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Միևնույն ժամանակ, նախագծի վերաբերյալ հարկ ենք համարում ներկայացնել հետևյալ առաջարկությունը.</w:t>
            </w:r>
          </w:p>
        </w:tc>
        <w:tc>
          <w:tcPr>
            <w:tcW w:w="5872" w:type="dxa"/>
            <w:gridSpan w:val="2"/>
            <w:vMerge w:val="restart"/>
            <w:shd w:val="clear" w:color="auto" w:fill="FFFFFF"/>
            <w:hideMark/>
          </w:tcPr>
          <w:p w:rsidR="00356207" w:rsidRDefault="00356207" w:rsidP="00356207">
            <w:pPr>
              <w:pStyle w:val="ListParagraph"/>
              <w:numPr>
                <w:ilvl w:val="0"/>
                <w:numId w:val="49"/>
              </w:numPr>
              <w:spacing w:line="360" w:lineRule="auto"/>
              <w:jc w:val="both"/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 w:rsidRPr="00356207">
              <w:rPr>
                <w:rFonts w:ascii="GHEA Grapalat" w:hAnsi="GHEA Grapalat" w:cs="Sylfaen"/>
                <w:b/>
                <w:color w:val="000000"/>
                <w:lang w:val="hy-AM"/>
              </w:rPr>
              <w:lastRenderedPageBreak/>
              <w:t>Ընդունվել է:</w:t>
            </w:r>
          </w:p>
          <w:p w:rsidR="00356207" w:rsidRPr="00356207" w:rsidRDefault="00356207" w:rsidP="00356207">
            <w:pPr>
              <w:spacing w:line="360" w:lineRule="auto"/>
              <w:ind w:left="225" w:right="48"/>
              <w:jc w:val="both"/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ՀՀ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2005 թվականի փետրվարի 17-ի թիվ 194-Ն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որոշման</w:t>
            </w:r>
            <w:r w:rsidR="000C33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նախաբանում լիազորող իրավական նորմի բացակայության</w:t>
            </w:r>
            <w:bookmarkStart w:id="0" w:name="_GoBack"/>
            <w:bookmarkEnd w:id="0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C33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խնդրին անդրադարձ կկատարվի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առաջիկայում:</w:t>
            </w:r>
          </w:p>
          <w:p w:rsidR="00356207" w:rsidRDefault="00356207" w:rsidP="00356207">
            <w:pPr>
              <w:pStyle w:val="ListParagraph"/>
              <w:numPr>
                <w:ilvl w:val="0"/>
                <w:numId w:val="49"/>
              </w:numPr>
              <w:spacing w:line="360" w:lineRule="auto"/>
              <w:jc w:val="both"/>
              <w:rPr>
                <w:rFonts w:ascii="GHEA Grapalat" w:hAnsi="GHEA Grapalat" w:cs="Arial"/>
                <w:b/>
                <w:color w:val="000000"/>
                <w:lang w:val="hy-AM"/>
              </w:rPr>
            </w:pPr>
            <w:r>
              <w:rPr>
                <w:rFonts w:ascii="GHEA Grapalat" w:hAnsi="GHEA Grapalat" w:cs="Arial"/>
                <w:b/>
                <w:color w:val="000000"/>
                <w:lang w:val="hy-AM"/>
              </w:rPr>
              <w:t>Ընդունվել է:</w:t>
            </w:r>
          </w:p>
          <w:p w:rsidR="00356207" w:rsidRPr="00356207" w:rsidRDefault="00356207" w:rsidP="00356207">
            <w:pPr>
              <w:pStyle w:val="ListParagraph"/>
              <w:spacing w:line="360" w:lineRule="auto"/>
              <w:ind w:left="585"/>
              <w:jc w:val="both"/>
              <w:rPr>
                <w:rFonts w:ascii="GHEA Grapalat" w:hAnsi="GHEA Grapalat" w:cs="Arial"/>
                <w:b/>
                <w:color w:val="000000"/>
                <w:lang w:val="hy-AM"/>
              </w:rPr>
            </w:pPr>
          </w:p>
          <w:p w:rsidR="00356207" w:rsidRPr="00356207" w:rsidRDefault="00356207" w:rsidP="00356207">
            <w:pPr>
              <w:spacing w:line="360" w:lineRule="auto"/>
              <w:ind w:right="159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56207" w:rsidRPr="0093638B" w:rsidTr="00356207">
        <w:trPr>
          <w:trHeight w:val="592"/>
          <w:tblCellSpacing w:w="0" w:type="dxa"/>
          <w:jc w:val="center"/>
        </w:trPr>
        <w:tc>
          <w:tcPr>
            <w:tcW w:w="7619" w:type="dxa"/>
            <w:shd w:val="clear" w:color="auto" w:fill="FFFFFF"/>
          </w:tcPr>
          <w:p w:rsidR="00356207" w:rsidRPr="00105F82" w:rsidRDefault="00356207" w:rsidP="00356207">
            <w:pPr>
              <w:tabs>
                <w:tab w:val="left" w:pos="239"/>
              </w:tabs>
              <w:spacing w:after="0" w:line="360" w:lineRule="auto"/>
              <w:ind w:left="97" w:right="13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562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2.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1-ին կետի 1-ին և 2-րդ ենթակետերի պարբերությունների համարակալումն անհրաժեշտ է համապատասխանեցնել «Նորմատիվ իրավական ակտերի մասին» ՀՀ օրենքի 14-րդ հոդվածի 5-րդ մասի պահանջներին, որոնց համաձայն պարբերությունները համարակալվում են հայերենի այբուբենի փոքրատառերով, որոնք տեքստից բաժանվում են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միջակետով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  <w:tc>
          <w:tcPr>
            <w:tcW w:w="5872" w:type="dxa"/>
            <w:gridSpan w:val="2"/>
            <w:vMerge/>
            <w:shd w:val="clear" w:color="auto" w:fill="FFFFFF"/>
          </w:tcPr>
          <w:p w:rsidR="00356207" w:rsidRPr="00105F82" w:rsidRDefault="00356207" w:rsidP="00356207">
            <w:pPr>
              <w:spacing w:line="360" w:lineRule="auto"/>
              <w:jc w:val="both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356207" w:rsidRPr="0093638B" w:rsidTr="00063B43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:rsidR="00356207" w:rsidRPr="0093638B" w:rsidRDefault="00356207" w:rsidP="00356207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 w:cs="Arial Unicode"/>
                <w:color w:val="000000"/>
                <w:lang w:val="hy-AM"/>
              </w:rPr>
            </w:pPr>
            <w:r w:rsidRPr="0093638B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t>2</w:t>
            </w: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t>. Էկոնոմիկայի նախարարություն</w:t>
            </w:r>
          </w:p>
        </w:tc>
        <w:tc>
          <w:tcPr>
            <w:tcW w:w="2754" w:type="dxa"/>
            <w:shd w:val="clear" w:color="auto" w:fill="D0D0D0"/>
            <w:hideMark/>
          </w:tcPr>
          <w:p w:rsidR="00356207" w:rsidRPr="0093638B" w:rsidRDefault="00356207" w:rsidP="0035620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04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.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10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.2021թ.</w:t>
            </w:r>
          </w:p>
        </w:tc>
      </w:tr>
      <w:tr w:rsidR="00356207" w:rsidRPr="0093638B" w:rsidTr="00063B43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:rsidR="00356207" w:rsidRPr="0093638B" w:rsidRDefault="00356207" w:rsidP="0035620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:rsidR="00356207" w:rsidRPr="0093638B" w:rsidRDefault="00356207" w:rsidP="0035620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N 01/14591-2021</w:t>
            </w:r>
          </w:p>
        </w:tc>
      </w:tr>
      <w:tr w:rsidR="00356207" w:rsidRPr="0093638B" w:rsidTr="007D0AB7">
        <w:trPr>
          <w:tblCellSpacing w:w="0" w:type="dxa"/>
          <w:jc w:val="center"/>
        </w:trPr>
        <w:tc>
          <w:tcPr>
            <w:tcW w:w="7619" w:type="dxa"/>
            <w:shd w:val="clear" w:color="auto" w:fill="FFFFFF"/>
            <w:hideMark/>
          </w:tcPr>
          <w:p w:rsidR="00356207" w:rsidRPr="0093638B" w:rsidRDefault="00356207" w:rsidP="00356207">
            <w:pPr>
              <w:pStyle w:val="mechtex"/>
              <w:tabs>
                <w:tab w:val="left" w:pos="239"/>
              </w:tabs>
              <w:spacing w:line="360" w:lineRule="auto"/>
              <w:ind w:left="97" w:right="13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3638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Հայաստանի Հանրապետության էկոնոմիկայի նախարարությունը ուսումնասիրելով Ձեր կողմից ներկայացված «Հայաստանի Հանրապետության կառավարության 2005 թվականի փետրվարի 17-ի N 194-ն որոշման մեջ փոփոխություններ կատարելու մասին» Հայաստանի Հանրապետության կառավարության որոշման նախագծի վերաբերյալ առարկություններ և առաջարկություններ </w:t>
            </w:r>
            <w:r w:rsidRPr="0093638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lastRenderedPageBreak/>
              <w:t>չունի։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:rsidR="00356207" w:rsidRPr="0093638B" w:rsidRDefault="00356207" w:rsidP="00356207">
            <w:pPr>
              <w:spacing w:line="360" w:lineRule="auto"/>
              <w:jc w:val="both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GB"/>
              </w:rPr>
              <w:lastRenderedPageBreak/>
              <w:t xml:space="preserve">     </w:t>
            </w: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Ընդունվել է:</w:t>
            </w:r>
          </w:p>
          <w:p w:rsidR="00356207" w:rsidRPr="0093638B" w:rsidRDefault="00356207" w:rsidP="00356207">
            <w:pPr>
              <w:pStyle w:val="ListParagraph"/>
              <w:spacing w:line="360" w:lineRule="auto"/>
              <w:ind w:left="91" w:right="159" w:firstLine="359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56207" w:rsidRPr="0093638B" w:rsidTr="00063B43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:rsidR="00356207" w:rsidRPr="0093638B" w:rsidRDefault="00356207" w:rsidP="00356207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 w:cs="Arial Unicode"/>
                <w:color w:val="000000"/>
                <w:lang w:val="en-GB"/>
              </w:rPr>
            </w:pPr>
            <w:r w:rsidRPr="0093638B">
              <w:rPr>
                <w:rFonts w:ascii="Courier New" w:hAnsi="Courier New" w:cs="Courier New"/>
                <w:color w:val="000000"/>
                <w:lang w:val="hy-AM"/>
              </w:rPr>
              <w:lastRenderedPageBreak/>
              <w:t> 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t>3</w:t>
            </w: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t>. Ֆինանսների նախարարություն</w:t>
            </w:r>
          </w:p>
        </w:tc>
        <w:tc>
          <w:tcPr>
            <w:tcW w:w="2754" w:type="dxa"/>
            <w:shd w:val="clear" w:color="auto" w:fill="D0D0D0"/>
            <w:hideMark/>
          </w:tcPr>
          <w:p w:rsidR="00356207" w:rsidRPr="0093638B" w:rsidRDefault="00356207" w:rsidP="0035620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08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.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10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.2021թ.</w:t>
            </w:r>
          </w:p>
        </w:tc>
      </w:tr>
      <w:tr w:rsidR="00356207" w:rsidRPr="0093638B" w:rsidTr="00063B43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:rsidR="00356207" w:rsidRPr="0093638B" w:rsidRDefault="00356207" w:rsidP="0035620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:rsidR="00356207" w:rsidRPr="0093638B" w:rsidRDefault="00356207" w:rsidP="0035620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N 01/11-1/16179-2021</w:t>
            </w:r>
          </w:p>
        </w:tc>
      </w:tr>
      <w:tr w:rsidR="00356207" w:rsidRPr="009D2417" w:rsidTr="009F2581">
        <w:trPr>
          <w:tblCellSpacing w:w="0" w:type="dxa"/>
          <w:jc w:val="center"/>
        </w:trPr>
        <w:tc>
          <w:tcPr>
            <w:tcW w:w="7619" w:type="dxa"/>
            <w:shd w:val="clear" w:color="auto" w:fill="FFFFFF"/>
            <w:hideMark/>
          </w:tcPr>
          <w:p w:rsidR="00356207" w:rsidRPr="0093638B" w:rsidRDefault="00356207" w:rsidP="00356207">
            <w:pPr>
              <w:pStyle w:val="mechtex"/>
              <w:spacing w:line="360" w:lineRule="auto"/>
              <w:ind w:left="97" w:right="13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3638B">
              <w:rPr>
                <w:rFonts w:ascii="GHEA Grapalat" w:hAnsi="GHEA Grapalat" w:cs="Sylfaen"/>
                <w:sz w:val="24"/>
                <w:szCs w:val="24"/>
              </w:rPr>
              <w:t>ՀՀ ֆինանսների նախարարությունն ուսումնասիրել է «Հայաստանի Հանրապետության կառավարության 2005 թվականի փետրվարի 17-ի 194-Ն որոշման մեջ փոփոխություններ կատարելու» Հայաստանի Հանրապետության կառավարության որոշման նախագիծը և հայտնում է հետևյալը.</w:t>
            </w:r>
          </w:p>
          <w:p w:rsidR="00356207" w:rsidRPr="0093638B" w:rsidRDefault="00356207" w:rsidP="00356207">
            <w:pPr>
              <w:pStyle w:val="mechtex"/>
              <w:spacing w:line="360" w:lineRule="auto"/>
              <w:ind w:left="97" w:right="13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3638B">
              <w:rPr>
                <w:rFonts w:ascii="GHEA Grapalat" w:hAnsi="GHEA Grapalat" w:cs="Sylfaen"/>
                <w:sz w:val="24"/>
                <w:szCs w:val="24"/>
              </w:rPr>
              <w:t xml:space="preserve">Նախագծով նախատեսվում է 4-ական միավորով ավելացնել վերոհիշյալ որոշմամբ Բնապահպանության և ընդերքի (31), Քաղաքաշինության, տեխնիկական և հրդեհային անվտանգության (15) և Սննդամթերքի անվտանգության (32) տեսչական մարմինների համար սահմանված սահմանաքանակները: </w:t>
            </w:r>
          </w:p>
          <w:p w:rsidR="00356207" w:rsidRPr="0093638B" w:rsidRDefault="00356207" w:rsidP="00356207">
            <w:pPr>
              <w:pStyle w:val="mechtex"/>
              <w:spacing w:line="360" w:lineRule="auto"/>
              <w:ind w:left="97" w:right="13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3638B">
              <w:rPr>
                <w:rFonts w:ascii="GHEA Grapalat" w:hAnsi="GHEA Grapalat" w:cs="Sylfaen"/>
                <w:sz w:val="24"/>
                <w:szCs w:val="24"/>
              </w:rPr>
              <w:t>Միաժամանակ, Նախագծին կից ներկայացված տեղեկանք-հիմնավորման մեջ նշված է, որ նախագծի ընդունման կապակցությամբ պետական բյուջեում ծախuերի և եկամուտների ավելացում կամ նվազեցում չի նախատեսվում:</w:t>
            </w:r>
          </w:p>
          <w:p w:rsidR="00356207" w:rsidRPr="0093638B" w:rsidRDefault="00356207" w:rsidP="00356207">
            <w:pPr>
              <w:pStyle w:val="mechtex"/>
              <w:spacing w:line="360" w:lineRule="auto"/>
              <w:ind w:left="97" w:right="13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3638B">
              <w:rPr>
                <w:rFonts w:ascii="GHEA Grapalat" w:hAnsi="GHEA Grapalat" w:cs="Sylfaen"/>
                <w:sz w:val="24"/>
                <w:szCs w:val="24"/>
              </w:rPr>
              <w:t xml:space="preserve">Այս կապակցությամբ հայտնում ենք, որ ՀՀ 2022 թվականի պետական բյուջեի նախագծում ծառայողական ավտոմեքենաների պահպանման ծախսերը ծրագրավորվել են համապատասխան </w:t>
            </w:r>
            <w:r w:rsidRPr="0093638B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մարմինների կողմից բյուջետային ֆինանսավորման հայտերով  ներկայացված ծառայողական ավտոմեքենաների քանակին համապատասխան ներկայացված ծախսերի սահմաններում, բայց ոչ ավելի, քան ՀՀ կառավարության 2005 թվականի փետրվարի 17-ի N 194-Ն որոշմամբ նախատեսված սահմանաքանակը (տարեկան 1,2 մլն դրամ՝ 1 մեքենայի համար): </w:t>
            </w:r>
          </w:p>
          <w:p w:rsidR="00356207" w:rsidRPr="0093638B" w:rsidRDefault="00356207" w:rsidP="00356207">
            <w:pPr>
              <w:pStyle w:val="mechtex"/>
              <w:spacing w:line="360" w:lineRule="auto"/>
              <w:ind w:left="97" w:right="13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3638B">
              <w:rPr>
                <w:rFonts w:ascii="GHEA Grapalat" w:hAnsi="GHEA Grapalat" w:cs="Sylfaen"/>
                <w:sz w:val="24"/>
                <w:szCs w:val="24"/>
              </w:rPr>
              <w:t>Ելնելով վերոգրյալից՝ հայտնում ենք, որ ավտոմեքենաների սահմանաքանակի ավելացումը 12 միավորով կարող է հանգեցնել դրանց պահպանման և սպասարկման համար ՀՀ պետական բյուջեում լրացուցիչ ծախսեր նախատեսելու անհրաժեշտության՝ տարեկան մինչև 14.4 մլն դրամի չափով (բյուջետային ֆինանսավորման հայտով սահմանված թվով մեքենաների պահպանման ծախսի համար հայտ ներկայացնելու դեպքում):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:rsidR="00356207" w:rsidRPr="0093638B" w:rsidRDefault="00356207" w:rsidP="00356207">
            <w:pPr>
              <w:spacing w:after="0" w:line="360" w:lineRule="auto"/>
              <w:ind w:left="133" w:right="48"/>
              <w:jc w:val="both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GB"/>
              </w:rPr>
              <w:lastRenderedPageBreak/>
              <w:t xml:space="preserve">     </w:t>
            </w: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Ընդունվել</w:t>
            </w:r>
            <w:r w:rsidRPr="0093638B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է</w:t>
            </w:r>
            <w:r w:rsidRPr="0093638B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:</w:t>
            </w:r>
          </w:p>
          <w:p w:rsidR="00356207" w:rsidRPr="0093638B" w:rsidRDefault="00356207" w:rsidP="00356207">
            <w:pPr>
              <w:spacing w:line="360" w:lineRule="auto"/>
              <w:ind w:left="133" w:right="48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363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 Հիմնավորումը խմբագրվել է համաձայն ներկայացված առարկության: Մի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9363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ժամանակ, խնդրո առարկա հարցին լուծում տալու նպատակով՝ Տեսչական մարմինների աշխատանքների համակարգման գրասենյակի և նշված տեսչական մարմինների կողմից կդիտարկվեն</w:t>
            </w:r>
            <w:r w:rsidRPr="009363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 2022 թվականի պետական բյուջեի նախագծում ծառայողական ավտոմեքենաների պահպանման ծախսերի ավելացման վերաբերյալ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</w:t>
            </w:r>
            <w:r w:rsidRPr="009363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նախաձեռնման, կամ նշված տեսչական մարմինների 2022 թվականի հաստատված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բյուջեներում</w:t>
            </w:r>
            <w:r w:rsidRPr="009363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վերաբաշխումներ կատարելու կամ հաջորդ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տարի</w:t>
            </w:r>
            <w:r w:rsidRPr="0093638B">
              <w:rPr>
                <w:rFonts w:ascii="GHEA Grapalat" w:hAnsi="GHEA Grapalat" w:cs="Sylfaen"/>
                <w:sz w:val="24"/>
                <w:szCs w:val="24"/>
                <w:lang w:val="hy-AM"/>
              </w:rPr>
              <w:t>՝ 2022 թվականին մեքենան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93638B">
              <w:rPr>
                <w:rFonts w:ascii="GHEA Grapalat" w:hAnsi="GHEA Grapalat" w:cs="Sylfaen"/>
                <w:sz w:val="24"/>
                <w:szCs w:val="24"/>
                <w:lang w:val="hy-AM"/>
              </w:rPr>
              <w:t>րի պահպանման ծախսերի գծով լրացուցիչ միջոցներ հայցելու համապատասխան Կառավարությա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9363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որոշման նախագծի ներկայամցան </w:t>
            </w:r>
            <w:r w:rsidRPr="0093638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տարբերակները :</w:t>
            </w:r>
          </w:p>
        </w:tc>
      </w:tr>
      <w:tr w:rsidR="00356207" w:rsidRPr="0093638B" w:rsidTr="00063B43">
        <w:trPr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:rsidR="00356207" w:rsidRPr="0093638B" w:rsidRDefault="00356207" w:rsidP="00356207">
            <w:pPr>
              <w:spacing w:after="0" w:line="360" w:lineRule="auto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lastRenderedPageBreak/>
              <w:t xml:space="preserve"> 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4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. Բնապահպանության և ընդերքի տեսչական մարմին </w:t>
            </w:r>
          </w:p>
        </w:tc>
        <w:tc>
          <w:tcPr>
            <w:tcW w:w="2754" w:type="dxa"/>
            <w:shd w:val="clear" w:color="auto" w:fill="D0D0D0"/>
            <w:hideMark/>
          </w:tcPr>
          <w:p w:rsidR="00356207" w:rsidRPr="0093638B" w:rsidRDefault="00356207" w:rsidP="0035620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ru-RU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30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.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09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.2021թ.</w:t>
            </w:r>
          </w:p>
        </w:tc>
      </w:tr>
      <w:tr w:rsidR="00356207" w:rsidRPr="0093638B" w:rsidTr="00063B43">
        <w:trPr>
          <w:trHeight w:val="499"/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:rsidR="00356207" w:rsidRPr="0093638B" w:rsidRDefault="00356207" w:rsidP="0035620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:rsidR="00356207" w:rsidRPr="0093638B" w:rsidRDefault="00356207" w:rsidP="0035620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N 01/005/4484-2021</w:t>
            </w:r>
          </w:p>
        </w:tc>
      </w:tr>
      <w:tr w:rsidR="00356207" w:rsidRPr="0093638B" w:rsidTr="002B115E">
        <w:trPr>
          <w:tblCellSpacing w:w="0" w:type="dxa"/>
          <w:jc w:val="center"/>
        </w:trPr>
        <w:tc>
          <w:tcPr>
            <w:tcW w:w="7619" w:type="dxa"/>
            <w:shd w:val="clear" w:color="auto" w:fill="FFFFFF"/>
            <w:hideMark/>
          </w:tcPr>
          <w:p w:rsidR="00356207" w:rsidRPr="0093638B" w:rsidRDefault="00356207" w:rsidP="00356207">
            <w:pPr>
              <w:spacing w:line="360" w:lineRule="auto"/>
              <w:ind w:left="97" w:right="13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638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Ի պատասխան Ձեր 2021 թվականի սեպտեմբերի 29-ի N 51.2/33374-2021 գրության՝ հայտնում եմ, որ Հայաստանի Հանրապետության բնապահպանության և ընդերքի տեսչական մարմինը «Հայաստանի Հանրապետության կառավարության 2005 թվականի փետրվարի 17-ի N 194-ն որոշման մեջ փոփոխություններ կատարելու մասին» ՀՀ կառավարության </w:t>
            </w:r>
            <w:r w:rsidRPr="0093638B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>որոշման նախագծի վերաբերյալ առաջարկություններ չունի։</w:t>
            </w:r>
          </w:p>
        </w:tc>
        <w:tc>
          <w:tcPr>
            <w:tcW w:w="5872" w:type="dxa"/>
            <w:gridSpan w:val="2"/>
            <w:shd w:val="clear" w:color="auto" w:fill="FFFFFF"/>
          </w:tcPr>
          <w:p w:rsidR="00356207" w:rsidRPr="0093638B" w:rsidRDefault="00356207" w:rsidP="00356207">
            <w:pPr>
              <w:spacing w:line="360" w:lineRule="auto"/>
              <w:jc w:val="both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GB"/>
              </w:rPr>
              <w:lastRenderedPageBreak/>
              <w:t xml:space="preserve">     </w:t>
            </w: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Ընդունվել</w:t>
            </w:r>
            <w:r w:rsidRPr="0093638B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է</w:t>
            </w:r>
            <w:r w:rsidRPr="0093638B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:</w:t>
            </w:r>
          </w:p>
          <w:p w:rsidR="00356207" w:rsidRPr="0093638B" w:rsidRDefault="00356207" w:rsidP="00356207">
            <w:pPr>
              <w:pStyle w:val="NormalWeb"/>
              <w:tabs>
                <w:tab w:val="left" w:pos="1134"/>
              </w:tabs>
              <w:spacing w:before="0" w:beforeAutospacing="0" w:after="0" w:afterAutospacing="0" w:line="360" w:lineRule="auto"/>
              <w:ind w:left="332" w:right="159"/>
              <w:contextualSpacing/>
              <w:jc w:val="both"/>
              <w:rPr>
                <w:rFonts w:ascii="GHEA Grapalat" w:eastAsia="Batang" w:hAnsi="GHEA Grapalat"/>
                <w:lang w:val="hy-AM" w:eastAsia="ru-RU"/>
              </w:rPr>
            </w:pPr>
          </w:p>
        </w:tc>
      </w:tr>
      <w:tr w:rsidR="00356207" w:rsidRPr="0093638B" w:rsidTr="00063B43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:rsidR="00356207" w:rsidRPr="0093638B" w:rsidRDefault="00356207" w:rsidP="00356207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 w:cs="Arial Unicode"/>
                <w:color w:val="000000"/>
                <w:lang w:val="hy-AM"/>
              </w:rPr>
            </w:pP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lastRenderedPageBreak/>
              <w:t xml:space="preserve"> 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t>5</w:t>
            </w:r>
            <w:r w:rsidRPr="0093638B">
              <w:rPr>
                <w:rFonts w:ascii="GHEA Grapalat" w:hAnsi="GHEA Grapalat" w:cs="Arial Unicode"/>
                <w:color w:val="000000"/>
                <w:lang w:val="en-GB"/>
              </w:rPr>
              <w:t xml:space="preserve">. </w:t>
            </w: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t>Սննդամթերքի անվտանգության տեսչական մարմին</w:t>
            </w:r>
          </w:p>
        </w:tc>
        <w:tc>
          <w:tcPr>
            <w:tcW w:w="2754" w:type="dxa"/>
            <w:shd w:val="clear" w:color="auto" w:fill="D0D0D0"/>
            <w:hideMark/>
          </w:tcPr>
          <w:p w:rsidR="00356207" w:rsidRPr="0093638B" w:rsidRDefault="00356207" w:rsidP="0035620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30.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09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.2021թ.</w:t>
            </w:r>
          </w:p>
        </w:tc>
      </w:tr>
      <w:tr w:rsidR="00356207" w:rsidRPr="0093638B" w:rsidTr="00063B43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:rsidR="00356207" w:rsidRPr="0093638B" w:rsidRDefault="00356207" w:rsidP="0035620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:rsidR="00356207" w:rsidRPr="0093638B" w:rsidRDefault="00356207" w:rsidP="0035620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N 01/06.1/5/6895-2021</w:t>
            </w:r>
          </w:p>
        </w:tc>
      </w:tr>
      <w:tr w:rsidR="00356207" w:rsidRPr="0093638B" w:rsidTr="009F2581">
        <w:trPr>
          <w:tblCellSpacing w:w="0" w:type="dxa"/>
          <w:jc w:val="center"/>
        </w:trPr>
        <w:tc>
          <w:tcPr>
            <w:tcW w:w="7619" w:type="dxa"/>
            <w:shd w:val="clear" w:color="auto" w:fill="FFFFFF"/>
            <w:hideMark/>
          </w:tcPr>
          <w:p w:rsidR="00356207" w:rsidRPr="0093638B" w:rsidRDefault="00356207" w:rsidP="00356207">
            <w:pPr>
              <w:pStyle w:val="mechtex"/>
              <w:tabs>
                <w:tab w:val="left" w:pos="97"/>
              </w:tabs>
              <w:spacing w:line="360" w:lineRule="auto"/>
              <w:ind w:left="97" w:right="17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363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Հայտնում ենք, որ «Հայաստանի Հանրապետության կառավարության 2005 թվականի փետրվարի 17-ի N 194-Ն որոշման մեջ փոփոխություններ կատարելու մասին» Հայաստանի Հանրապետության կառավարության որոշման նախագծի վերաբերյալ առաջարկություններ չկան: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:rsidR="00356207" w:rsidRPr="0093638B" w:rsidRDefault="00356207" w:rsidP="00356207">
            <w:pPr>
              <w:spacing w:line="360" w:lineRule="auto"/>
              <w:jc w:val="both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    Ընդունվել</w:t>
            </w:r>
            <w:r w:rsidRPr="0093638B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է</w:t>
            </w:r>
            <w:r w:rsidRPr="0093638B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:</w:t>
            </w:r>
          </w:p>
          <w:p w:rsidR="00356207" w:rsidRPr="0093638B" w:rsidRDefault="00356207" w:rsidP="00356207">
            <w:pPr>
              <w:pStyle w:val="ListParagraph"/>
              <w:spacing w:line="360" w:lineRule="auto"/>
              <w:ind w:left="91" w:right="159" w:firstLine="359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56207" w:rsidRPr="0093638B" w:rsidTr="00063B43">
        <w:trPr>
          <w:trHeight w:val="463"/>
          <w:tblCellSpacing w:w="0" w:type="dxa"/>
          <w:jc w:val="center"/>
        </w:trPr>
        <w:tc>
          <w:tcPr>
            <w:tcW w:w="10737" w:type="dxa"/>
            <w:gridSpan w:val="2"/>
            <w:vMerge w:val="restart"/>
            <w:shd w:val="clear" w:color="auto" w:fill="D0D0D0"/>
            <w:hideMark/>
          </w:tcPr>
          <w:p w:rsidR="00356207" w:rsidRPr="0093638B" w:rsidRDefault="00356207" w:rsidP="00356207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 w:cs="Arial Unicode"/>
                <w:color w:val="000000"/>
                <w:lang w:val="hy-AM"/>
              </w:rPr>
            </w:pP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lang w:val="hy-AM"/>
              </w:rPr>
              <w:t>6</w:t>
            </w:r>
            <w:r w:rsidRPr="0093638B">
              <w:rPr>
                <w:rFonts w:ascii="GHEA Grapalat" w:hAnsi="GHEA Grapalat" w:cs="Arial Unicode"/>
                <w:color w:val="000000"/>
                <w:lang w:val="hy-AM"/>
              </w:rPr>
              <w:t>. Քաղաքաշինության, տեխնիկական և հրդեհային անվտանգության տեսչական մարմին</w:t>
            </w:r>
          </w:p>
        </w:tc>
        <w:tc>
          <w:tcPr>
            <w:tcW w:w="2754" w:type="dxa"/>
            <w:shd w:val="clear" w:color="auto" w:fill="D0D0D0"/>
            <w:hideMark/>
          </w:tcPr>
          <w:p w:rsidR="00356207" w:rsidRPr="0093638B" w:rsidRDefault="00356207" w:rsidP="00356207">
            <w:pPr>
              <w:spacing w:after="0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GB"/>
              </w:rPr>
              <w:t>01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.10.2021թ.</w:t>
            </w:r>
          </w:p>
        </w:tc>
      </w:tr>
      <w:tr w:rsidR="00356207" w:rsidRPr="0093638B" w:rsidTr="00063B43">
        <w:trPr>
          <w:tblCellSpacing w:w="0" w:type="dxa"/>
          <w:jc w:val="center"/>
        </w:trPr>
        <w:tc>
          <w:tcPr>
            <w:tcW w:w="10737" w:type="dxa"/>
            <w:gridSpan w:val="2"/>
            <w:vMerge/>
            <w:shd w:val="clear" w:color="auto" w:fill="FFFFFF"/>
            <w:vAlign w:val="center"/>
            <w:hideMark/>
          </w:tcPr>
          <w:p w:rsidR="00356207" w:rsidRPr="0093638B" w:rsidRDefault="00356207" w:rsidP="0035620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D0D0D0"/>
            <w:hideMark/>
          </w:tcPr>
          <w:p w:rsidR="00356207" w:rsidRPr="0093638B" w:rsidRDefault="00356207" w:rsidP="0035620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ՔՏՄ/06</w:t>
            </w:r>
            <w:r w:rsidRPr="0093638B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1</w:t>
            </w:r>
            <w:r w:rsidRPr="0093638B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93638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1/12454-21</w:t>
            </w:r>
          </w:p>
        </w:tc>
      </w:tr>
      <w:tr w:rsidR="00356207" w:rsidRPr="0093638B" w:rsidTr="009F2581">
        <w:trPr>
          <w:tblCellSpacing w:w="0" w:type="dxa"/>
          <w:jc w:val="center"/>
        </w:trPr>
        <w:tc>
          <w:tcPr>
            <w:tcW w:w="7619" w:type="dxa"/>
            <w:shd w:val="clear" w:color="auto" w:fill="FFFFFF"/>
            <w:hideMark/>
          </w:tcPr>
          <w:p w:rsidR="00356207" w:rsidRPr="0093638B" w:rsidRDefault="00356207" w:rsidP="00356207">
            <w:pPr>
              <w:pStyle w:val="mechtex"/>
              <w:tabs>
                <w:tab w:val="left" w:pos="97"/>
              </w:tabs>
              <w:spacing w:line="360" w:lineRule="auto"/>
              <w:ind w:left="97" w:right="17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3638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Ի պատասխան  N  /51.2/33374-2021 գրության՝ հայտնում եմ, որ ՀՀ քաղաքաշինության, տեխնիկական և հրդեհային անվտանգության տեսչական մարմինը «Հայաստանի Հանրապետության կառավարության 2005 թվականի փետրվարի 17-ի N 194-ն որոշման մեջ փոփոխություններ կատարելու մասին» ՀՀ կառավարության որոշման նախագծի վերաբերյալ առաջարկություններ չունի։  </w:t>
            </w:r>
          </w:p>
        </w:tc>
        <w:tc>
          <w:tcPr>
            <w:tcW w:w="5872" w:type="dxa"/>
            <w:gridSpan w:val="2"/>
            <w:shd w:val="clear" w:color="auto" w:fill="FFFFFF"/>
            <w:hideMark/>
          </w:tcPr>
          <w:p w:rsidR="00356207" w:rsidRPr="0093638B" w:rsidRDefault="00356207" w:rsidP="00356207">
            <w:pPr>
              <w:spacing w:line="360" w:lineRule="auto"/>
              <w:jc w:val="both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GB"/>
              </w:rPr>
              <w:t xml:space="preserve">     </w:t>
            </w: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Ընդունվել</w:t>
            </w:r>
            <w:r w:rsidRPr="0093638B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638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է</w:t>
            </w:r>
            <w:r w:rsidRPr="0093638B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:</w:t>
            </w:r>
          </w:p>
          <w:p w:rsidR="00356207" w:rsidRPr="0093638B" w:rsidRDefault="00356207" w:rsidP="00356207">
            <w:pPr>
              <w:pStyle w:val="ListParagraph"/>
              <w:spacing w:line="360" w:lineRule="auto"/>
              <w:ind w:left="91" w:right="159" w:firstLine="359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</w:tbl>
    <w:p w:rsidR="00910E74" w:rsidRPr="0093638B" w:rsidRDefault="00910E74" w:rsidP="0093638B">
      <w:pPr>
        <w:spacing w:before="100" w:beforeAutospacing="1" w:after="100" w:afterAutospacing="1" w:line="360" w:lineRule="auto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sectPr w:rsidR="00910E74" w:rsidRPr="0093638B" w:rsidSect="00512AF7">
      <w:pgSz w:w="15840" w:h="12240" w:orient="landscape"/>
      <w:pgMar w:top="284" w:right="1138" w:bottom="127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76" w:rsidRDefault="002F3C76" w:rsidP="00FE0E85">
      <w:pPr>
        <w:spacing w:after="0" w:line="240" w:lineRule="auto"/>
      </w:pPr>
      <w:r>
        <w:separator/>
      </w:r>
    </w:p>
  </w:endnote>
  <w:endnote w:type="continuationSeparator" w:id="0">
    <w:p w:rsidR="002F3C76" w:rsidRDefault="002F3C76" w:rsidP="00FE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76" w:rsidRDefault="002F3C76" w:rsidP="00FE0E85">
      <w:pPr>
        <w:spacing w:after="0" w:line="240" w:lineRule="auto"/>
      </w:pPr>
      <w:r>
        <w:separator/>
      </w:r>
    </w:p>
  </w:footnote>
  <w:footnote w:type="continuationSeparator" w:id="0">
    <w:p w:rsidR="002F3C76" w:rsidRDefault="002F3C76" w:rsidP="00FE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3F4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B8526E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4369DA"/>
    <w:multiLevelType w:val="hybridMultilevel"/>
    <w:tmpl w:val="33D4DC2C"/>
    <w:lvl w:ilvl="0" w:tplc="19F07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839B0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7F6B30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5607C9"/>
    <w:multiLevelType w:val="hybridMultilevel"/>
    <w:tmpl w:val="1FAC8D62"/>
    <w:lvl w:ilvl="0" w:tplc="B51ED1D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 w15:restartNumberingAfterBreak="0">
    <w:nsid w:val="17607B52"/>
    <w:multiLevelType w:val="hybridMultilevel"/>
    <w:tmpl w:val="33D4DC2C"/>
    <w:lvl w:ilvl="0" w:tplc="19F07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20B4F"/>
    <w:multiLevelType w:val="hybridMultilevel"/>
    <w:tmpl w:val="5056601C"/>
    <w:lvl w:ilvl="0" w:tplc="800E12C2">
      <w:start w:val="1"/>
      <w:numFmt w:val="decimal"/>
      <w:lvlText w:val="%1."/>
      <w:lvlJc w:val="left"/>
      <w:pPr>
        <w:ind w:left="1440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AE0AD3"/>
    <w:multiLevelType w:val="hybridMultilevel"/>
    <w:tmpl w:val="D8060C12"/>
    <w:lvl w:ilvl="0" w:tplc="6352A38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A56"/>
    <w:multiLevelType w:val="hybridMultilevel"/>
    <w:tmpl w:val="04F6AEDC"/>
    <w:lvl w:ilvl="0" w:tplc="3D347B5E">
      <w:start w:val="1"/>
      <w:numFmt w:val="decimal"/>
      <w:lvlText w:val="%1."/>
      <w:lvlJc w:val="center"/>
      <w:pPr>
        <w:tabs>
          <w:tab w:val="num" w:pos="3870"/>
        </w:tabs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8" w:hanging="360"/>
      </w:pPr>
    </w:lvl>
    <w:lvl w:ilvl="2" w:tplc="0409001B" w:tentative="1">
      <w:start w:val="1"/>
      <w:numFmt w:val="lowerRoman"/>
      <w:lvlText w:val="%3."/>
      <w:lvlJc w:val="right"/>
      <w:pPr>
        <w:ind w:left="5688" w:hanging="180"/>
      </w:pPr>
    </w:lvl>
    <w:lvl w:ilvl="3" w:tplc="0409000F" w:tentative="1">
      <w:start w:val="1"/>
      <w:numFmt w:val="decimal"/>
      <w:lvlText w:val="%4."/>
      <w:lvlJc w:val="left"/>
      <w:pPr>
        <w:ind w:left="6408" w:hanging="360"/>
      </w:pPr>
    </w:lvl>
    <w:lvl w:ilvl="4" w:tplc="04090019" w:tentative="1">
      <w:start w:val="1"/>
      <w:numFmt w:val="lowerLetter"/>
      <w:lvlText w:val="%5."/>
      <w:lvlJc w:val="left"/>
      <w:pPr>
        <w:ind w:left="7128" w:hanging="360"/>
      </w:pPr>
    </w:lvl>
    <w:lvl w:ilvl="5" w:tplc="0409001B" w:tentative="1">
      <w:start w:val="1"/>
      <w:numFmt w:val="lowerRoman"/>
      <w:lvlText w:val="%6."/>
      <w:lvlJc w:val="right"/>
      <w:pPr>
        <w:ind w:left="7848" w:hanging="180"/>
      </w:pPr>
    </w:lvl>
    <w:lvl w:ilvl="6" w:tplc="0409000F" w:tentative="1">
      <w:start w:val="1"/>
      <w:numFmt w:val="decimal"/>
      <w:lvlText w:val="%7."/>
      <w:lvlJc w:val="left"/>
      <w:pPr>
        <w:ind w:left="8568" w:hanging="360"/>
      </w:pPr>
    </w:lvl>
    <w:lvl w:ilvl="7" w:tplc="04090019" w:tentative="1">
      <w:start w:val="1"/>
      <w:numFmt w:val="lowerLetter"/>
      <w:lvlText w:val="%8."/>
      <w:lvlJc w:val="left"/>
      <w:pPr>
        <w:ind w:left="9288" w:hanging="360"/>
      </w:pPr>
    </w:lvl>
    <w:lvl w:ilvl="8" w:tplc="0409001B" w:tentative="1">
      <w:start w:val="1"/>
      <w:numFmt w:val="lowerRoman"/>
      <w:lvlText w:val="%9."/>
      <w:lvlJc w:val="right"/>
      <w:pPr>
        <w:ind w:left="10008" w:hanging="180"/>
      </w:pPr>
    </w:lvl>
  </w:abstractNum>
  <w:abstractNum w:abstractNumId="10" w15:restartNumberingAfterBreak="0">
    <w:nsid w:val="212F4817"/>
    <w:multiLevelType w:val="hybridMultilevel"/>
    <w:tmpl w:val="BE72B262"/>
    <w:lvl w:ilvl="0" w:tplc="E7B47AE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36ED"/>
    <w:multiLevelType w:val="hybridMultilevel"/>
    <w:tmpl w:val="5494048A"/>
    <w:lvl w:ilvl="0" w:tplc="245C4D5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7D00650"/>
    <w:multiLevelType w:val="hybridMultilevel"/>
    <w:tmpl w:val="A6D48940"/>
    <w:lvl w:ilvl="0" w:tplc="C6067422">
      <w:start w:val="11"/>
      <w:numFmt w:val="decimal"/>
      <w:lvlText w:val="ՀՈԴՎԱԾ %1."/>
      <w:lvlJc w:val="center"/>
      <w:pPr>
        <w:tabs>
          <w:tab w:val="num" w:pos="1440"/>
        </w:tabs>
        <w:ind w:left="22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A3BA0"/>
    <w:multiLevelType w:val="hybridMultilevel"/>
    <w:tmpl w:val="36A24FD0"/>
    <w:lvl w:ilvl="0" w:tplc="B92A118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4" w15:restartNumberingAfterBreak="0">
    <w:nsid w:val="2B866301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130CE0"/>
    <w:multiLevelType w:val="hybridMultilevel"/>
    <w:tmpl w:val="47723A00"/>
    <w:lvl w:ilvl="0" w:tplc="EAB24B2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6" w15:restartNumberingAfterBreak="0">
    <w:nsid w:val="2D3335AE"/>
    <w:multiLevelType w:val="hybridMultilevel"/>
    <w:tmpl w:val="33D4DC2C"/>
    <w:lvl w:ilvl="0" w:tplc="19F07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958B8"/>
    <w:multiLevelType w:val="hybridMultilevel"/>
    <w:tmpl w:val="5056601C"/>
    <w:lvl w:ilvl="0" w:tplc="800E12C2">
      <w:start w:val="1"/>
      <w:numFmt w:val="decimal"/>
      <w:lvlText w:val="%1."/>
      <w:lvlJc w:val="left"/>
      <w:pPr>
        <w:ind w:left="1440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736F7F"/>
    <w:multiLevelType w:val="hybridMultilevel"/>
    <w:tmpl w:val="2486AE8A"/>
    <w:lvl w:ilvl="0" w:tplc="8474DDB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9" w15:restartNumberingAfterBreak="0">
    <w:nsid w:val="33700E8B"/>
    <w:multiLevelType w:val="hybridMultilevel"/>
    <w:tmpl w:val="55761024"/>
    <w:lvl w:ilvl="0" w:tplc="D79AE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709A"/>
    <w:multiLevelType w:val="hybridMultilevel"/>
    <w:tmpl w:val="D09ECBDA"/>
    <w:lvl w:ilvl="0" w:tplc="15ACD646">
      <w:start w:val="1"/>
      <w:numFmt w:val="decimal"/>
      <w:lvlText w:val="%1)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1" w15:restartNumberingAfterBreak="0">
    <w:nsid w:val="33DC2C1E"/>
    <w:multiLevelType w:val="hybridMultilevel"/>
    <w:tmpl w:val="87704CEE"/>
    <w:lvl w:ilvl="0" w:tplc="D4229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2C3F63"/>
    <w:multiLevelType w:val="hybridMultilevel"/>
    <w:tmpl w:val="2800008C"/>
    <w:lvl w:ilvl="0" w:tplc="43C0877C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3" w15:restartNumberingAfterBreak="0">
    <w:nsid w:val="38097250"/>
    <w:multiLevelType w:val="hybridMultilevel"/>
    <w:tmpl w:val="1F3A4E4E"/>
    <w:lvl w:ilvl="0" w:tplc="984ADE6A">
      <w:start w:val="1"/>
      <w:numFmt w:val="decimal"/>
      <w:lvlText w:val="%1."/>
      <w:lvlJc w:val="left"/>
      <w:pPr>
        <w:ind w:left="7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3F4C073E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0856D9C"/>
    <w:multiLevelType w:val="hybridMultilevel"/>
    <w:tmpl w:val="2450602C"/>
    <w:lvl w:ilvl="0" w:tplc="7D4078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5E02"/>
    <w:multiLevelType w:val="hybridMultilevel"/>
    <w:tmpl w:val="08782012"/>
    <w:lvl w:ilvl="0" w:tplc="B7B094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4A770291"/>
    <w:multiLevelType w:val="hybridMultilevel"/>
    <w:tmpl w:val="1276B2DC"/>
    <w:lvl w:ilvl="0" w:tplc="5C2EE162">
      <w:start w:val="1"/>
      <w:numFmt w:val="decimal"/>
      <w:lvlText w:val="%1."/>
      <w:lvlJc w:val="left"/>
      <w:pPr>
        <w:ind w:left="539" w:hanging="360"/>
      </w:pPr>
      <w:rPr>
        <w:rFonts w:ascii="GHEA Grapalat" w:eastAsia="Batang" w:hAnsi="GHEA Grapala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8" w15:restartNumberingAfterBreak="0">
    <w:nsid w:val="4C0B7FA2"/>
    <w:multiLevelType w:val="hybridMultilevel"/>
    <w:tmpl w:val="778E0C34"/>
    <w:lvl w:ilvl="0" w:tplc="9F96EE5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868C2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34959F6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3CD2F87"/>
    <w:multiLevelType w:val="hybridMultilevel"/>
    <w:tmpl w:val="33B4E77C"/>
    <w:lvl w:ilvl="0" w:tplc="3B3255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53D9F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6D32BEC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71E5222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A855D76"/>
    <w:multiLevelType w:val="hybridMultilevel"/>
    <w:tmpl w:val="95CC2160"/>
    <w:lvl w:ilvl="0" w:tplc="0419000F">
      <w:start w:val="1"/>
      <w:numFmt w:val="decimal"/>
      <w:lvlText w:val="%1."/>
      <w:lvlJc w:val="left"/>
      <w:pPr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52D9C"/>
    <w:multiLevelType w:val="hybridMultilevel"/>
    <w:tmpl w:val="4B1E26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B2EA2"/>
    <w:multiLevelType w:val="hybridMultilevel"/>
    <w:tmpl w:val="50229552"/>
    <w:lvl w:ilvl="0" w:tplc="0F244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593E47"/>
    <w:multiLevelType w:val="hybridMultilevel"/>
    <w:tmpl w:val="B32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76091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A587200"/>
    <w:multiLevelType w:val="hybridMultilevel"/>
    <w:tmpl w:val="6E2C267E"/>
    <w:lvl w:ilvl="0" w:tplc="E76240AC">
      <w:start w:val="1"/>
      <w:numFmt w:val="decimal"/>
      <w:lvlText w:val="%1."/>
      <w:lvlJc w:val="left"/>
      <w:pPr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6AA058E3"/>
    <w:multiLevelType w:val="hybridMultilevel"/>
    <w:tmpl w:val="72F49006"/>
    <w:lvl w:ilvl="0" w:tplc="5E149ED2">
      <w:start w:val="1"/>
      <w:numFmt w:val="decimal"/>
      <w:lvlText w:val="%1."/>
      <w:lvlJc w:val="left"/>
      <w:pPr>
        <w:ind w:left="90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2" w15:restartNumberingAfterBreak="0">
    <w:nsid w:val="6B0B51E6"/>
    <w:multiLevelType w:val="hybridMultilevel"/>
    <w:tmpl w:val="56D0C544"/>
    <w:lvl w:ilvl="0" w:tplc="663C9B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E5C13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07C0ADB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2A60838"/>
    <w:multiLevelType w:val="hybridMultilevel"/>
    <w:tmpl w:val="814CAC5A"/>
    <w:lvl w:ilvl="0" w:tplc="745665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F1A601E"/>
    <w:multiLevelType w:val="hybridMultilevel"/>
    <w:tmpl w:val="605625AA"/>
    <w:lvl w:ilvl="0" w:tplc="FF2830F2">
      <w:start w:val="2"/>
      <w:numFmt w:val="decimal"/>
      <w:lvlText w:val="%1)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3176"/>
    <w:multiLevelType w:val="hybridMultilevel"/>
    <w:tmpl w:val="04104E22"/>
    <w:lvl w:ilvl="0" w:tplc="881E54C2">
      <w:start w:val="1"/>
      <w:numFmt w:val="decimal"/>
      <w:lvlText w:val="%1."/>
      <w:lvlJc w:val="left"/>
      <w:pPr>
        <w:ind w:left="17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5"/>
  </w:num>
  <w:num w:numId="2">
    <w:abstractNumId w:val="27"/>
  </w:num>
  <w:num w:numId="3">
    <w:abstractNumId w:val="13"/>
  </w:num>
  <w:num w:numId="4">
    <w:abstractNumId w:val="25"/>
  </w:num>
  <w:num w:numId="5">
    <w:abstractNumId w:val="10"/>
  </w:num>
  <w:num w:numId="6">
    <w:abstractNumId w:val="31"/>
  </w:num>
  <w:num w:numId="7">
    <w:abstractNumId w:val="15"/>
  </w:num>
  <w:num w:numId="8">
    <w:abstractNumId w:val="18"/>
  </w:num>
  <w:num w:numId="9">
    <w:abstractNumId w:val="8"/>
  </w:num>
  <w:num w:numId="10">
    <w:abstractNumId w:val="5"/>
  </w:num>
  <w:num w:numId="11">
    <w:abstractNumId w:val="38"/>
  </w:num>
  <w:num w:numId="12">
    <w:abstractNumId w:val="11"/>
  </w:num>
  <w:num w:numId="13">
    <w:abstractNumId w:val="28"/>
  </w:num>
  <w:num w:numId="14">
    <w:abstractNumId w:val="36"/>
  </w:num>
  <w:num w:numId="15">
    <w:abstractNumId w:val="42"/>
  </w:num>
  <w:num w:numId="16">
    <w:abstractNumId w:val="23"/>
  </w:num>
  <w:num w:numId="17">
    <w:abstractNumId w:val="40"/>
  </w:num>
  <w:num w:numId="18">
    <w:abstractNumId w:val="16"/>
  </w:num>
  <w:num w:numId="19">
    <w:abstractNumId w:val="2"/>
  </w:num>
  <w:num w:numId="20">
    <w:abstractNumId w:val="6"/>
  </w:num>
  <w:num w:numId="21">
    <w:abstractNumId w:val="22"/>
  </w:num>
  <w:num w:numId="22">
    <w:abstractNumId w:val="37"/>
  </w:num>
  <w:num w:numId="23">
    <w:abstractNumId w:val="45"/>
  </w:num>
  <w:num w:numId="24">
    <w:abstractNumId w:val="21"/>
  </w:num>
  <w:num w:numId="25">
    <w:abstractNumId w:val="19"/>
  </w:num>
  <w:num w:numId="26">
    <w:abstractNumId w:val="20"/>
  </w:num>
  <w:num w:numId="27">
    <w:abstractNumId w:val="46"/>
  </w:num>
  <w:num w:numId="28">
    <w:abstractNumId w:val="44"/>
  </w:num>
  <w:num w:numId="29">
    <w:abstractNumId w:val="47"/>
  </w:num>
  <w:num w:numId="30">
    <w:abstractNumId w:val="34"/>
  </w:num>
  <w:num w:numId="31">
    <w:abstractNumId w:val="1"/>
  </w:num>
  <w:num w:numId="32">
    <w:abstractNumId w:val="32"/>
  </w:num>
  <w:num w:numId="33">
    <w:abstractNumId w:val="43"/>
  </w:num>
  <w:num w:numId="34">
    <w:abstractNumId w:val="3"/>
  </w:num>
  <w:num w:numId="35">
    <w:abstractNumId w:val="4"/>
  </w:num>
  <w:num w:numId="36">
    <w:abstractNumId w:val="39"/>
  </w:num>
  <w:num w:numId="37">
    <w:abstractNumId w:val="33"/>
  </w:num>
  <w:num w:numId="38">
    <w:abstractNumId w:val="24"/>
  </w:num>
  <w:num w:numId="39">
    <w:abstractNumId w:val="14"/>
  </w:num>
  <w:num w:numId="40">
    <w:abstractNumId w:val="30"/>
  </w:num>
  <w:num w:numId="41">
    <w:abstractNumId w:val="0"/>
  </w:num>
  <w:num w:numId="42">
    <w:abstractNumId w:val="29"/>
  </w:num>
  <w:num w:numId="43">
    <w:abstractNumId w:val="12"/>
  </w:num>
  <w:num w:numId="44">
    <w:abstractNumId w:val="9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7CE"/>
    <w:rsid w:val="00000555"/>
    <w:rsid w:val="00001BB1"/>
    <w:rsid w:val="00002EBF"/>
    <w:rsid w:val="000163D3"/>
    <w:rsid w:val="00020502"/>
    <w:rsid w:val="000251EF"/>
    <w:rsid w:val="00036364"/>
    <w:rsid w:val="00037857"/>
    <w:rsid w:val="00045B75"/>
    <w:rsid w:val="00062B85"/>
    <w:rsid w:val="00063B43"/>
    <w:rsid w:val="00070CE0"/>
    <w:rsid w:val="000774FF"/>
    <w:rsid w:val="000804F9"/>
    <w:rsid w:val="00091D26"/>
    <w:rsid w:val="0009520C"/>
    <w:rsid w:val="000C332E"/>
    <w:rsid w:val="000D282C"/>
    <w:rsid w:val="000F6CEB"/>
    <w:rsid w:val="000F76B8"/>
    <w:rsid w:val="00100606"/>
    <w:rsid w:val="00100B04"/>
    <w:rsid w:val="001017C8"/>
    <w:rsid w:val="00102D3A"/>
    <w:rsid w:val="001052F6"/>
    <w:rsid w:val="00105F82"/>
    <w:rsid w:val="00115BB3"/>
    <w:rsid w:val="001311F6"/>
    <w:rsid w:val="00131D6D"/>
    <w:rsid w:val="0014478E"/>
    <w:rsid w:val="00145063"/>
    <w:rsid w:val="0016393B"/>
    <w:rsid w:val="001656B5"/>
    <w:rsid w:val="0016669F"/>
    <w:rsid w:val="00171851"/>
    <w:rsid w:val="00180FE5"/>
    <w:rsid w:val="0018161E"/>
    <w:rsid w:val="00182E7B"/>
    <w:rsid w:val="001A4D7A"/>
    <w:rsid w:val="001C1D94"/>
    <w:rsid w:val="001C6DB4"/>
    <w:rsid w:val="001C7E30"/>
    <w:rsid w:val="001D0213"/>
    <w:rsid w:val="001F3229"/>
    <w:rsid w:val="00203A97"/>
    <w:rsid w:val="002173BD"/>
    <w:rsid w:val="002263A0"/>
    <w:rsid w:val="002306B2"/>
    <w:rsid w:val="002467CE"/>
    <w:rsid w:val="00256AC2"/>
    <w:rsid w:val="002627DA"/>
    <w:rsid w:val="00263BFE"/>
    <w:rsid w:val="00265CBC"/>
    <w:rsid w:val="00266091"/>
    <w:rsid w:val="002B0113"/>
    <w:rsid w:val="002B115E"/>
    <w:rsid w:val="002B136E"/>
    <w:rsid w:val="002C0CA0"/>
    <w:rsid w:val="002D0723"/>
    <w:rsid w:val="002D747D"/>
    <w:rsid w:val="002F3C76"/>
    <w:rsid w:val="002F47B8"/>
    <w:rsid w:val="0030134E"/>
    <w:rsid w:val="003025D9"/>
    <w:rsid w:val="00304002"/>
    <w:rsid w:val="0030768C"/>
    <w:rsid w:val="003437C8"/>
    <w:rsid w:val="00352739"/>
    <w:rsid w:val="003553F4"/>
    <w:rsid w:val="0035576E"/>
    <w:rsid w:val="00356207"/>
    <w:rsid w:val="00361FC5"/>
    <w:rsid w:val="00363A75"/>
    <w:rsid w:val="00372631"/>
    <w:rsid w:val="00373263"/>
    <w:rsid w:val="0039588D"/>
    <w:rsid w:val="00395C12"/>
    <w:rsid w:val="003A5874"/>
    <w:rsid w:val="003A7A41"/>
    <w:rsid w:val="003B5B9F"/>
    <w:rsid w:val="003D762D"/>
    <w:rsid w:val="003E2504"/>
    <w:rsid w:val="00414D9A"/>
    <w:rsid w:val="00415180"/>
    <w:rsid w:val="0041564B"/>
    <w:rsid w:val="00415D18"/>
    <w:rsid w:val="00422289"/>
    <w:rsid w:val="0042318C"/>
    <w:rsid w:val="00435617"/>
    <w:rsid w:val="004515A6"/>
    <w:rsid w:val="00462437"/>
    <w:rsid w:val="00462655"/>
    <w:rsid w:val="00467303"/>
    <w:rsid w:val="00472154"/>
    <w:rsid w:val="00474FD8"/>
    <w:rsid w:val="004778B0"/>
    <w:rsid w:val="00481A56"/>
    <w:rsid w:val="004A01C2"/>
    <w:rsid w:val="004B24BF"/>
    <w:rsid w:val="004B28AE"/>
    <w:rsid w:val="004B418D"/>
    <w:rsid w:val="004C36BA"/>
    <w:rsid w:val="004D6683"/>
    <w:rsid w:val="004E21C8"/>
    <w:rsid w:val="004E5DE9"/>
    <w:rsid w:val="005020EA"/>
    <w:rsid w:val="00502CF7"/>
    <w:rsid w:val="0050528F"/>
    <w:rsid w:val="00512AF7"/>
    <w:rsid w:val="005148D2"/>
    <w:rsid w:val="005318B9"/>
    <w:rsid w:val="005420A3"/>
    <w:rsid w:val="00555AA6"/>
    <w:rsid w:val="00567A7F"/>
    <w:rsid w:val="00580659"/>
    <w:rsid w:val="005E0404"/>
    <w:rsid w:val="00600FB0"/>
    <w:rsid w:val="00606BA2"/>
    <w:rsid w:val="00623FC3"/>
    <w:rsid w:val="00626A3B"/>
    <w:rsid w:val="00626CF7"/>
    <w:rsid w:val="00630539"/>
    <w:rsid w:val="00640E0D"/>
    <w:rsid w:val="00642376"/>
    <w:rsid w:val="006647E9"/>
    <w:rsid w:val="0067040F"/>
    <w:rsid w:val="00673FB8"/>
    <w:rsid w:val="0069793B"/>
    <w:rsid w:val="006A0535"/>
    <w:rsid w:val="006A0FA8"/>
    <w:rsid w:val="006B1367"/>
    <w:rsid w:val="006C19AE"/>
    <w:rsid w:val="006C5B03"/>
    <w:rsid w:val="006E4A0F"/>
    <w:rsid w:val="006E755F"/>
    <w:rsid w:val="006F7249"/>
    <w:rsid w:val="00747A72"/>
    <w:rsid w:val="007502B2"/>
    <w:rsid w:val="00752FD7"/>
    <w:rsid w:val="00766481"/>
    <w:rsid w:val="007706ED"/>
    <w:rsid w:val="0077561B"/>
    <w:rsid w:val="007A2360"/>
    <w:rsid w:val="007A288D"/>
    <w:rsid w:val="007A50D9"/>
    <w:rsid w:val="007C1D4A"/>
    <w:rsid w:val="007C2D55"/>
    <w:rsid w:val="007C31EA"/>
    <w:rsid w:val="007D4224"/>
    <w:rsid w:val="007E1C5C"/>
    <w:rsid w:val="007E50B7"/>
    <w:rsid w:val="007E67F4"/>
    <w:rsid w:val="007F03D9"/>
    <w:rsid w:val="008257D4"/>
    <w:rsid w:val="008260EA"/>
    <w:rsid w:val="0083223D"/>
    <w:rsid w:val="00835C6F"/>
    <w:rsid w:val="00841CF2"/>
    <w:rsid w:val="0084229C"/>
    <w:rsid w:val="00844755"/>
    <w:rsid w:val="008532A1"/>
    <w:rsid w:val="00872994"/>
    <w:rsid w:val="00881BD9"/>
    <w:rsid w:val="00885268"/>
    <w:rsid w:val="0088725D"/>
    <w:rsid w:val="0089182E"/>
    <w:rsid w:val="00895E94"/>
    <w:rsid w:val="00897FE5"/>
    <w:rsid w:val="008B2C98"/>
    <w:rsid w:val="008C3380"/>
    <w:rsid w:val="008C6EFC"/>
    <w:rsid w:val="008D7846"/>
    <w:rsid w:val="009055E7"/>
    <w:rsid w:val="00910E74"/>
    <w:rsid w:val="00932166"/>
    <w:rsid w:val="00933301"/>
    <w:rsid w:val="00934B26"/>
    <w:rsid w:val="0093638B"/>
    <w:rsid w:val="00936DDE"/>
    <w:rsid w:val="0094106F"/>
    <w:rsid w:val="00951AC0"/>
    <w:rsid w:val="00951C21"/>
    <w:rsid w:val="009667F0"/>
    <w:rsid w:val="00970BC7"/>
    <w:rsid w:val="00971014"/>
    <w:rsid w:val="00975464"/>
    <w:rsid w:val="009A2B4A"/>
    <w:rsid w:val="009B0671"/>
    <w:rsid w:val="009C0FFA"/>
    <w:rsid w:val="009C50C0"/>
    <w:rsid w:val="009C7BDA"/>
    <w:rsid w:val="009D0D63"/>
    <w:rsid w:val="009D2417"/>
    <w:rsid w:val="009E69BA"/>
    <w:rsid w:val="009F2581"/>
    <w:rsid w:val="009F6602"/>
    <w:rsid w:val="009F7997"/>
    <w:rsid w:val="00A0130A"/>
    <w:rsid w:val="00A02CC7"/>
    <w:rsid w:val="00A0532A"/>
    <w:rsid w:val="00A14F27"/>
    <w:rsid w:val="00A440EC"/>
    <w:rsid w:val="00A5712B"/>
    <w:rsid w:val="00A8242E"/>
    <w:rsid w:val="00A87F75"/>
    <w:rsid w:val="00A909CD"/>
    <w:rsid w:val="00A91991"/>
    <w:rsid w:val="00A92D61"/>
    <w:rsid w:val="00AA039A"/>
    <w:rsid w:val="00AA0BE7"/>
    <w:rsid w:val="00AC002C"/>
    <w:rsid w:val="00AE7CAA"/>
    <w:rsid w:val="00B22DB7"/>
    <w:rsid w:val="00B24A18"/>
    <w:rsid w:val="00B26576"/>
    <w:rsid w:val="00B37535"/>
    <w:rsid w:val="00B409F0"/>
    <w:rsid w:val="00B45668"/>
    <w:rsid w:val="00B55247"/>
    <w:rsid w:val="00B6112D"/>
    <w:rsid w:val="00B64BDD"/>
    <w:rsid w:val="00B724CA"/>
    <w:rsid w:val="00B843C9"/>
    <w:rsid w:val="00B94A52"/>
    <w:rsid w:val="00BA04E3"/>
    <w:rsid w:val="00BB3FDB"/>
    <w:rsid w:val="00BC16AC"/>
    <w:rsid w:val="00BC5EE2"/>
    <w:rsid w:val="00BD5102"/>
    <w:rsid w:val="00BE1E72"/>
    <w:rsid w:val="00BE5B57"/>
    <w:rsid w:val="00BF34D9"/>
    <w:rsid w:val="00C05B70"/>
    <w:rsid w:val="00C1643E"/>
    <w:rsid w:val="00C1694B"/>
    <w:rsid w:val="00C174BE"/>
    <w:rsid w:val="00C26FDB"/>
    <w:rsid w:val="00C364FA"/>
    <w:rsid w:val="00C711F6"/>
    <w:rsid w:val="00C8632D"/>
    <w:rsid w:val="00C96499"/>
    <w:rsid w:val="00C974CD"/>
    <w:rsid w:val="00C97D79"/>
    <w:rsid w:val="00CA54D7"/>
    <w:rsid w:val="00CB18B6"/>
    <w:rsid w:val="00CB5FF6"/>
    <w:rsid w:val="00CD0FBB"/>
    <w:rsid w:val="00CD55C3"/>
    <w:rsid w:val="00CE0C54"/>
    <w:rsid w:val="00D03A4E"/>
    <w:rsid w:val="00D06DEC"/>
    <w:rsid w:val="00D11D7E"/>
    <w:rsid w:val="00D22FE5"/>
    <w:rsid w:val="00D27DA3"/>
    <w:rsid w:val="00D327E3"/>
    <w:rsid w:val="00D33A27"/>
    <w:rsid w:val="00D41691"/>
    <w:rsid w:val="00D52272"/>
    <w:rsid w:val="00D53B14"/>
    <w:rsid w:val="00D56E29"/>
    <w:rsid w:val="00D570A9"/>
    <w:rsid w:val="00D652A7"/>
    <w:rsid w:val="00D855F4"/>
    <w:rsid w:val="00D91C87"/>
    <w:rsid w:val="00D92B42"/>
    <w:rsid w:val="00D93440"/>
    <w:rsid w:val="00D94DBD"/>
    <w:rsid w:val="00DA23DB"/>
    <w:rsid w:val="00DB7E8A"/>
    <w:rsid w:val="00DC0580"/>
    <w:rsid w:val="00DE263F"/>
    <w:rsid w:val="00DF6906"/>
    <w:rsid w:val="00E0654E"/>
    <w:rsid w:val="00E13C33"/>
    <w:rsid w:val="00E14281"/>
    <w:rsid w:val="00E150AE"/>
    <w:rsid w:val="00E22FA1"/>
    <w:rsid w:val="00E34397"/>
    <w:rsid w:val="00E34A57"/>
    <w:rsid w:val="00E47D7C"/>
    <w:rsid w:val="00E64E55"/>
    <w:rsid w:val="00E65052"/>
    <w:rsid w:val="00E70A42"/>
    <w:rsid w:val="00E715E3"/>
    <w:rsid w:val="00E75DC8"/>
    <w:rsid w:val="00E85C11"/>
    <w:rsid w:val="00E927F5"/>
    <w:rsid w:val="00EB45EC"/>
    <w:rsid w:val="00EB48AA"/>
    <w:rsid w:val="00ED0146"/>
    <w:rsid w:val="00EE20A2"/>
    <w:rsid w:val="00EE3D2B"/>
    <w:rsid w:val="00EF5358"/>
    <w:rsid w:val="00F1667A"/>
    <w:rsid w:val="00F20518"/>
    <w:rsid w:val="00F2465B"/>
    <w:rsid w:val="00F276C1"/>
    <w:rsid w:val="00F3373F"/>
    <w:rsid w:val="00F47A0E"/>
    <w:rsid w:val="00F653F3"/>
    <w:rsid w:val="00F73F9E"/>
    <w:rsid w:val="00F74A22"/>
    <w:rsid w:val="00F76F45"/>
    <w:rsid w:val="00F81388"/>
    <w:rsid w:val="00F81E06"/>
    <w:rsid w:val="00F87437"/>
    <w:rsid w:val="00F94B71"/>
    <w:rsid w:val="00F95446"/>
    <w:rsid w:val="00FA0F38"/>
    <w:rsid w:val="00FA6775"/>
    <w:rsid w:val="00FB5892"/>
    <w:rsid w:val="00FD6BF9"/>
    <w:rsid w:val="00FE0E85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5A95"/>
  <w15:docId w15:val="{CBD35A41-A45C-4A40-8C76-172AF66B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52"/>
  </w:style>
  <w:style w:type="paragraph" w:styleId="Heading1">
    <w:name w:val="heading 1"/>
    <w:basedOn w:val="Normal"/>
    <w:next w:val="Normal"/>
    <w:link w:val="Heading1Char"/>
    <w:qFormat/>
    <w:rsid w:val="00AE7C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0BE7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24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467CE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246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246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A039A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A039A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4A01C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8C3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380"/>
    <w:pPr>
      <w:spacing w:after="0" w:line="240" w:lineRule="auto"/>
    </w:pPr>
    <w:rPr>
      <w:rFonts w:ascii="Arial Armenian" w:eastAsia="MS Mincho" w:hAnsi="Arial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8C3380"/>
    <w:rPr>
      <w:rFonts w:ascii="Arial Armenian" w:eastAsia="MS Mincho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8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AA0BE7"/>
    <w:rPr>
      <w:rFonts w:eastAsiaTheme="minorEastAsia"/>
      <w:b/>
      <w:bCs/>
      <w:sz w:val="28"/>
      <w:szCs w:val="28"/>
      <w:lang w:eastAsia="ru-RU"/>
    </w:rPr>
  </w:style>
  <w:style w:type="character" w:styleId="Emphasis">
    <w:name w:val="Emphasis"/>
    <w:basedOn w:val="DefaultParagraphFont"/>
    <w:uiPriority w:val="20"/>
    <w:qFormat/>
    <w:rsid w:val="00D06DE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E7C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E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ED"/>
    <w:rPr>
      <w:rFonts w:ascii="Arial Armenian" w:eastAsia="MS Mincho" w:hAnsi="Arial Armeni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E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E85"/>
  </w:style>
  <w:style w:type="paragraph" w:styleId="Footer">
    <w:name w:val="footer"/>
    <w:basedOn w:val="Normal"/>
    <w:link w:val="FooterChar"/>
    <w:uiPriority w:val="99"/>
    <w:semiHidden/>
    <w:unhideWhenUsed/>
    <w:rsid w:val="00FE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E85"/>
  </w:style>
  <w:style w:type="character" w:customStyle="1" w:styleId="mechtexChar">
    <w:name w:val="mechtex Char"/>
    <w:link w:val="mechtex"/>
    <w:locked/>
    <w:rsid w:val="00D33A27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D33A2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430B-FA18-422B-8D30-D7C12AEB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s.hakobyan</dc:creator>
  <cp:keywords>https://mul2.gov.am/tasks/497686/oneclick/7 Ampopatert_3.docx?token=188ef311d589696594fbd81975afe2fa</cp:keywords>
  <dc:description/>
  <cp:lastModifiedBy>Suren Semerjyan</cp:lastModifiedBy>
  <cp:revision>17</cp:revision>
  <cp:lastPrinted>2021-09-14T06:36:00Z</cp:lastPrinted>
  <dcterms:created xsi:type="dcterms:W3CDTF">2021-09-23T07:02:00Z</dcterms:created>
  <dcterms:modified xsi:type="dcterms:W3CDTF">2021-11-11T08:17:00Z</dcterms:modified>
</cp:coreProperties>
</file>