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B1" w:rsidRPr="009A5579" w:rsidRDefault="001508B1" w:rsidP="0015083E">
      <w:pPr>
        <w:tabs>
          <w:tab w:val="left" w:pos="10800"/>
        </w:tabs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Cs w:val="20"/>
        </w:rPr>
      </w:pPr>
      <w:bookmarkStart w:id="0" w:name="_GoBack"/>
      <w:bookmarkEnd w:id="0"/>
    </w:p>
    <w:p w:rsidR="001508B1" w:rsidRDefault="001508B1" w:rsidP="00635D2B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Cs w:val="20"/>
          <w:lang w:val="hy-AM"/>
        </w:rPr>
      </w:pPr>
    </w:p>
    <w:p w:rsidR="00E40193" w:rsidRPr="00237A60" w:rsidRDefault="00E40193" w:rsidP="00E40193">
      <w:pPr>
        <w:jc w:val="center"/>
        <w:rPr>
          <w:rFonts w:ascii="GHEA Grapalat" w:hAnsi="GHEA Grapalat"/>
          <w:b/>
          <w:sz w:val="24"/>
          <w:szCs w:val="24"/>
        </w:rPr>
      </w:pPr>
      <w:bookmarkStart w:id="1" w:name="OLE_LINK1"/>
      <w:bookmarkStart w:id="2" w:name="OLE_LINK2"/>
      <w:r w:rsidRPr="00237A60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237A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37A60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237A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37A60">
        <w:rPr>
          <w:rFonts w:ascii="GHEA Grapalat" w:hAnsi="GHEA Grapalat" w:cs="Sylfaen"/>
          <w:b/>
          <w:sz w:val="24"/>
          <w:szCs w:val="24"/>
          <w:lang w:val="hy-AM"/>
        </w:rPr>
        <w:t>Փ</w:t>
      </w:r>
      <w:r w:rsidRPr="00237A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37A60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237A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37A60">
        <w:rPr>
          <w:rFonts w:ascii="GHEA Grapalat" w:hAnsi="GHEA Grapalat" w:cs="Sylfaen"/>
          <w:b/>
          <w:sz w:val="24"/>
          <w:szCs w:val="24"/>
          <w:lang w:val="hy-AM"/>
        </w:rPr>
        <w:t>Փ</w:t>
      </w:r>
      <w:r w:rsidRPr="00237A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37A60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237A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37A60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237A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37A60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237A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37A60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237A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37A60">
        <w:rPr>
          <w:rFonts w:ascii="GHEA Grapalat" w:hAnsi="GHEA Grapalat" w:cs="Sylfaen"/>
          <w:b/>
          <w:sz w:val="24"/>
          <w:szCs w:val="24"/>
          <w:lang w:val="hy-AM"/>
        </w:rPr>
        <w:t>Թ</w:t>
      </w:r>
    </w:p>
    <w:p w:rsidR="00E40193" w:rsidRPr="00237A60" w:rsidRDefault="00237A60" w:rsidP="00237A60">
      <w:pPr>
        <w:tabs>
          <w:tab w:val="right" w:pos="9498"/>
        </w:tabs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237A60">
        <w:rPr>
          <w:rFonts w:ascii="GHEA Grapalat" w:eastAsia="GHEA Grapalat" w:hAnsi="GHEA Grapalat" w:cs="GHEA Grapalat"/>
          <w:b/>
          <w:sz w:val="24"/>
          <w:szCs w:val="24"/>
        </w:rPr>
        <w:t>«ՀԱՅԱՍՏԱՆԻ ՀԱՆՐԱՊԵՏՈՒԹՅԱՆ ԿԱՌԱՎԱՐՈՒԹՅԱՆ 2009 ԹՎԱԿԱՆԻ ՆՈՅԵՄԲԵՐԻ 26-Ի ԹԻՎ 1366-Ն ՈՐՈՇՄԱՆ ՄԵՋ ՓՈՓՈԽՈՒԹՅՈՒՆ ԵՎ ԼՐԱՑՈՒՄՆԵՐ ԿԱՏԱՐԵԼՈՒ ՄԱՍԻՆ»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E40193" w:rsidRPr="00237A60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="00E40193" w:rsidRPr="00237A6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40193" w:rsidRPr="00237A60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="00E40193" w:rsidRPr="00237A6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40193" w:rsidRPr="00237A60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="00E40193" w:rsidRPr="00237A6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40193" w:rsidRPr="00237A60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E40193" w:rsidRPr="00237A6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40193" w:rsidRPr="00237A60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</w:p>
    <w:p w:rsidR="001508B1" w:rsidRPr="00E27143" w:rsidRDefault="001508B1" w:rsidP="00635D2B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Cs w:val="20"/>
          <w:lang w:val="hy-AM"/>
        </w:rPr>
      </w:pPr>
    </w:p>
    <w:p w:rsidR="00FA34B5" w:rsidRPr="00E27143" w:rsidRDefault="00FA34B5" w:rsidP="00635D2B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Cs w:val="20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9351"/>
        <w:gridCol w:w="1559"/>
        <w:gridCol w:w="3390"/>
      </w:tblGrid>
      <w:tr w:rsidR="00E40193" w:rsidTr="00B45591">
        <w:trPr>
          <w:trHeight w:val="323"/>
        </w:trPr>
        <w:tc>
          <w:tcPr>
            <w:tcW w:w="10910" w:type="dxa"/>
            <w:gridSpan w:val="2"/>
            <w:vMerge w:val="restart"/>
            <w:shd w:val="clear" w:color="auto" w:fill="BFBFBF" w:themeFill="background1" w:themeFillShade="BF"/>
          </w:tcPr>
          <w:p w:rsidR="00E40193" w:rsidRPr="00E07534" w:rsidRDefault="00E40193" w:rsidP="008573A0">
            <w:pPr>
              <w:pStyle w:val="ListParagraph"/>
              <w:tabs>
                <w:tab w:val="left" w:pos="3435"/>
                <w:tab w:val="left" w:pos="5253"/>
                <w:tab w:val="center" w:pos="5707"/>
              </w:tabs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07534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1.</w:t>
            </w:r>
            <w:r w:rsidRPr="00E07534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73A0">
              <w:rPr>
                <w:rFonts w:ascii="GHEA Grapalat" w:hAnsi="GHEA Grapalat" w:cs="Sylfaen"/>
                <w:b/>
                <w:bCs/>
                <w:sz w:val="24"/>
                <w:szCs w:val="24"/>
              </w:rPr>
              <w:t>Ֆինանսների</w:t>
            </w:r>
            <w:proofErr w:type="spellEnd"/>
            <w:r w:rsidR="008573A0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73A0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390" w:type="dxa"/>
            <w:shd w:val="clear" w:color="auto" w:fill="BFBFBF" w:themeFill="background1" w:themeFillShade="BF"/>
          </w:tcPr>
          <w:p w:rsidR="00E40193" w:rsidRPr="00E07534" w:rsidRDefault="00041B86" w:rsidP="000F2E8C">
            <w:pPr>
              <w:tabs>
                <w:tab w:val="left" w:pos="5253"/>
              </w:tabs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11.10</w:t>
            </w:r>
            <w:r w:rsidR="00E40193" w:rsidRPr="00E07534">
              <w:rPr>
                <w:rFonts w:ascii="GHEA Grapalat" w:hAnsi="GHEA Grapalat"/>
                <w:b/>
                <w:bCs/>
                <w:sz w:val="24"/>
                <w:szCs w:val="24"/>
              </w:rPr>
              <w:t>.2021</w:t>
            </w:r>
          </w:p>
        </w:tc>
      </w:tr>
      <w:tr w:rsidR="00E40193" w:rsidTr="00F13F1C">
        <w:trPr>
          <w:trHeight w:val="170"/>
        </w:trPr>
        <w:tc>
          <w:tcPr>
            <w:tcW w:w="10910" w:type="dxa"/>
            <w:gridSpan w:val="2"/>
            <w:vMerge/>
            <w:shd w:val="clear" w:color="auto" w:fill="BFBFBF" w:themeFill="background1" w:themeFillShade="BF"/>
          </w:tcPr>
          <w:p w:rsidR="00E40193" w:rsidRPr="00E07534" w:rsidRDefault="00E40193" w:rsidP="00635D2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Cs w:val="20"/>
                <w:lang w:val="hy-AM"/>
              </w:rPr>
            </w:pPr>
          </w:p>
        </w:tc>
        <w:tc>
          <w:tcPr>
            <w:tcW w:w="3390" w:type="dxa"/>
            <w:shd w:val="clear" w:color="auto" w:fill="BFBFBF" w:themeFill="background1" w:themeFillShade="BF"/>
          </w:tcPr>
          <w:p w:rsidR="00E40193" w:rsidRPr="00E07534" w:rsidRDefault="00041B86" w:rsidP="0023291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>01/11-11/174-2021</w:t>
            </w:r>
          </w:p>
        </w:tc>
      </w:tr>
      <w:tr w:rsidR="00E40193" w:rsidRPr="007326CB" w:rsidTr="00A938E3">
        <w:trPr>
          <w:trHeight w:val="270"/>
        </w:trPr>
        <w:tc>
          <w:tcPr>
            <w:tcW w:w="9351" w:type="dxa"/>
          </w:tcPr>
          <w:p w:rsidR="00E40193" w:rsidRPr="00041B86" w:rsidRDefault="00041B86" w:rsidP="00041B86">
            <w:pPr>
              <w:spacing w:after="0" w:line="360" w:lineRule="auto"/>
              <w:ind w:left="180" w:right="12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40193">
              <w:rPr>
                <w:rFonts w:ascii="GHEA Grapalat" w:hAnsi="GHEA Grapalat"/>
                <w:bCs/>
                <w:sz w:val="24"/>
                <w:szCs w:val="24"/>
              </w:rPr>
              <w:t>1.</w:t>
            </w:r>
            <w:r w:rsidRPr="00372B6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կառավարության 2009 թվականի նոյեմբերի 26-ի թիվ 1366-Ն որոշման մեջ լրացումներ կատարելու մասին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»</w:t>
            </w:r>
            <w:r w:rsidRPr="00A45E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որոշման նախագծի վերաբերյալ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45E1E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առարկություններ չունի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949" w:type="dxa"/>
            <w:gridSpan w:val="2"/>
          </w:tcPr>
          <w:p w:rsidR="00E40193" w:rsidRPr="00F44561" w:rsidRDefault="00E40193" w:rsidP="00041B86">
            <w:pPr>
              <w:tabs>
                <w:tab w:val="left" w:pos="5253"/>
              </w:tabs>
              <w:spacing w:after="0" w:line="360" w:lineRule="auto"/>
              <w:rPr>
                <w:rFonts w:ascii="GHEA Grapalat" w:hAnsi="GHEA Grapalat" w:cs="Sylfaen"/>
                <w:bCs/>
                <w:color w:val="000000"/>
                <w:szCs w:val="20"/>
                <w:lang w:val="hy-AM"/>
              </w:rPr>
            </w:pPr>
          </w:p>
        </w:tc>
      </w:tr>
      <w:bookmarkEnd w:id="1"/>
      <w:bookmarkEnd w:id="2"/>
      <w:tr w:rsidR="00E40193" w:rsidTr="00B45591">
        <w:tc>
          <w:tcPr>
            <w:tcW w:w="10910" w:type="dxa"/>
            <w:gridSpan w:val="2"/>
            <w:vMerge w:val="restart"/>
            <w:shd w:val="clear" w:color="auto" w:fill="BFBFBF" w:themeFill="background1" w:themeFillShade="BF"/>
          </w:tcPr>
          <w:p w:rsidR="00E40193" w:rsidRPr="00E07534" w:rsidRDefault="00E07534" w:rsidP="008573A0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E07534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  <w:r w:rsidR="008573A0">
              <w:rPr>
                <w:rFonts w:ascii="GHEA Grapalat" w:hAnsi="GHEA Grapalat"/>
                <w:b/>
                <w:bCs/>
                <w:sz w:val="24"/>
                <w:szCs w:val="24"/>
              </w:rPr>
              <w:t>Ոստիկանություն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:rsidR="00E40193" w:rsidRPr="00E07534" w:rsidRDefault="00041B86" w:rsidP="00B46E6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>07.10</w:t>
            </w:r>
            <w:r w:rsidR="00E07534" w:rsidRPr="00E07534">
              <w:rPr>
                <w:rFonts w:ascii="GHEA Grapalat" w:hAnsi="GHEA Grapalat" w:cs="Sylfaen"/>
                <w:b/>
                <w:bCs/>
                <w:sz w:val="24"/>
                <w:szCs w:val="24"/>
              </w:rPr>
              <w:t>.2021</w:t>
            </w:r>
          </w:p>
        </w:tc>
      </w:tr>
      <w:tr w:rsidR="00E40193" w:rsidTr="00B45591">
        <w:tc>
          <w:tcPr>
            <w:tcW w:w="10910" w:type="dxa"/>
            <w:gridSpan w:val="2"/>
            <w:vMerge/>
            <w:tcBorders>
              <w:bottom w:val="nil"/>
            </w:tcBorders>
            <w:shd w:val="clear" w:color="auto" w:fill="BFBFBF" w:themeFill="background1" w:themeFillShade="BF"/>
          </w:tcPr>
          <w:p w:rsidR="00E40193" w:rsidRPr="00E07534" w:rsidRDefault="00E40193" w:rsidP="00635D2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Cs w:val="20"/>
                <w:lang w:val="hy-AM"/>
              </w:rPr>
            </w:pPr>
          </w:p>
        </w:tc>
        <w:tc>
          <w:tcPr>
            <w:tcW w:w="3390" w:type="dxa"/>
            <w:tcBorders>
              <w:bottom w:val="nil"/>
            </w:tcBorders>
            <w:shd w:val="clear" w:color="auto" w:fill="BFBFBF" w:themeFill="background1" w:themeFillShade="BF"/>
          </w:tcPr>
          <w:p w:rsidR="00E40193" w:rsidRPr="00041B86" w:rsidRDefault="00041B86" w:rsidP="0023291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>1/21/67169-21</w:t>
            </w:r>
          </w:p>
        </w:tc>
      </w:tr>
      <w:tr w:rsidR="00E07534" w:rsidRPr="0064564B" w:rsidTr="00E07534">
        <w:trPr>
          <w:trHeight w:val="1190"/>
        </w:trPr>
        <w:tc>
          <w:tcPr>
            <w:tcW w:w="9351" w:type="dxa"/>
          </w:tcPr>
          <w:p w:rsidR="00E07534" w:rsidRPr="00041B86" w:rsidRDefault="00041B86" w:rsidP="00041B86">
            <w:pPr>
              <w:spacing w:line="276" w:lineRule="auto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</w:t>
            </w:r>
            <w:r w:rsidRPr="00041B86">
              <w:rPr>
                <w:rFonts w:ascii="GHEA Grapalat" w:hAnsi="GHEA Grapalat"/>
                <w:sz w:val="24"/>
                <w:szCs w:val="24"/>
              </w:rPr>
              <w:t>1.</w:t>
            </w:r>
            <w:r w:rsidRPr="00041B8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041B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կառավարության 2009 թվականի նոյեմբերի 26-ի թիվ 1366-Ն որոշման մեջ լրացումներ կատարելու մասին</w:t>
            </w:r>
            <w:r w:rsidRPr="00041B8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Կառավարության որոշման նախագծի վերաբերյալ </w:t>
            </w:r>
            <w:r w:rsidRPr="00041B8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041B86">
              <w:rPr>
                <w:rFonts w:ascii="GHEA Grapalat" w:hAnsi="GHEA Grapalat"/>
                <w:sz w:val="24"/>
                <w:szCs w:val="24"/>
              </w:rPr>
              <w:t>ոստիկանությունն</w:t>
            </w:r>
            <w:proofErr w:type="spellEnd"/>
            <w:r w:rsidRPr="00041B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41B86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առարկություններ չունի</w:t>
            </w:r>
            <w:r w:rsidRPr="00041B86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949" w:type="dxa"/>
            <w:gridSpan w:val="2"/>
          </w:tcPr>
          <w:p w:rsidR="00E07534" w:rsidRPr="00B45591" w:rsidRDefault="00E07534" w:rsidP="00D90229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</w:pPr>
          </w:p>
        </w:tc>
      </w:tr>
      <w:tr w:rsidR="00E07534" w:rsidRPr="0064564B" w:rsidTr="00B45591">
        <w:trPr>
          <w:trHeight w:val="270"/>
        </w:trPr>
        <w:tc>
          <w:tcPr>
            <w:tcW w:w="9351" w:type="dxa"/>
            <w:vMerge w:val="restart"/>
            <w:shd w:val="clear" w:color="auto" w:fill="BFBFBF" w:themeFill="background1" w:themeFillShade="BF"/>
          </w:tcPr>
          <w:p w:rsidR="00E07534" w:rsidRPr="00E07534" w:rsidRDefault="00E07534" w:rsidP="00041B86">
            <w:pPr>
              <w:tabs>
                <w:tab w:val="num" w:pos="0"/>
              </w:tabs>
              <w:spacing w:after="0" w:line="360" w:lineRule="auto"/>
              <w:ind w:firstLine="596"/>
              <w:contextualSpacing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3.</w:t>
            </w:r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ՀՀ </w:t>
            </w:r>
            <w:proofErr w:type="spellStart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վարչապետի</w:t>
            </w:r>
            <w:proofErr w:type="spellEnd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աշխատակազմի</w:t>
            </w:r>
            <w:proofErr w:type="spellEnd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իրավաբանական</w:t>
            </w:r>
            <w:proofErr w:type="spellEnd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վարչություն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E07534" w:rsidRPr="00E07534" w:rsidRDefault="00E07534" w:rsidP="00E40193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Cs w:val="20"/>
              </w:rPr>
            </w:pPr>
          </w:p>
        </w:tc>
        <w:tc>
          <w:tcPr>
            <w:tcW w:w="3390" w:type="dxa"/>
            <w:shd w:val="clear" w:color="auto" w:fill="BFBFBF" w:themeFill="background1" w:themeFillShade="BF"/>
          </w:tcPr>
          <w:p w:rsidR="00E07534" w:rsidRPr="00E07534" w:rsidRDefault="00041B86" w:rsidP="00E4019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>01.11</w:t>
            </w:r>
            <w:r w:rsidR="00E07534" w:rsidRPr="00E07534">
              <w:rPr>
                <w:rFonts w:ascii="GHEA Grapalat" w:hAnsi="GHEA Grapalat" w:cs="Sylfaen"/>
                <w:b/>
                <w:bCs/>
                <w:sz w:val="24"/>
                <w:szCs w:val="24"/>
              </w:rPr>
              <w:t>.2021</w:t>
            </w:r>
          </w:p>
        </w:tc>
      </w:tr>
      <w:tr w:rsidR="00E07534" w:rsidRPr="0064564B" w:rsidTr="00B45591">
        <w:trPr>
          <w:trHeight w:val="287"/>
        </w:trPr>
        <w:tc>
          <w:tcPr>
            <w:tcW w:w="9351" w:type="dxa"/>
            <w:vMerge/>
            <w:shd w:val="clear" w:color="auto" w:fill="BFBFBF" w:themeFill="background1" w:themeFillShade="BF"/>
          </w:tcPr>
          <w:p w:rsidR="00E07534" w:rsidRPr="00E07534" w:rsidRDefault="00E07534" w:rsidP="00E40193">
            <w:pPr>
              <w:tabs>
                <w:tab w:val="num" w:pos="0"/>
              </w:tabs>
              <w:spacing w:after="0" w:line="360" w:lineRule="auto"/>
              <w:ind w:firstLine="596"/>
              <w:contextualSpacing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E07534" w:rsidRPr="00E07534" w:rsidRDefault="00E07534" w:rsidP="00E40193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Cs w:val="20"/>
              </w:rPr>
            </w:pPr>
          </w:p>
        </w:tc>
        <w:tc>
          <w:tcPr>
            <w:tcW w:w="3390" w:type="dxa"/>
            <w:shd w:val="clear" w:color="auto" w:fill="BFBFBF" w:themeFill="background1" w:themeFillShade="BF"/>
          </w:tcPr>
          <w:p w:rsidR="00E07534" w:rsidRPr="00E07534" w:rsidRDefault="00041B86" w:rsidP="00B45591">
            <w:pPr>
              <w:spacing w:after="0" w:line="240" w:lineRule="auto"/>
              <w:ind w:left="-110" w:firstLine="11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>02/10.39/37683-2021</w:t>
            </w:r>
          </w:p>
        </w:tc>
      </w:tr>
      <w:tr w:rsidR="00E07534" w:rsidRPr="0064564B" w:rsidTr="00041B86">
        <w:trPr>
          <w:trHeight w:val="2168"/>
        </w:trPr>
        <w:tc>
          <w:tcPr>
            <w:tcW w:w="9351" w:type="dxa"/>
          </w:tcPr>
          <w:p w:rsidR="00E07534" w:rsidRPr="00041B86" w:rsidRDefault="00E07534" w:rsidP="00041B86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40CF8">
              <w:rPr>
                <w:rFonts w:ascii="GHEA Grapalat" w:hAnsi="GHEA Grapalat" w:cs="Sylfaen"/>
                <w:sz w:val="24"/>
                <w:szCs w:val="24"/>
              </w:rPr>
              <w:lastRenderedPageBreak/>
              <w:t>1.</w:t>
            </w:r>
            <w:r w:rsidR="00041B8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Նախագծի, ինչպես նաև </w:t>
            </w:r>
            <w:r w:rsidR="00041B86" w:rsidRPr="00B9422B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="00041B8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041B86" w:rsidRPr="00B9422B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 2009 թվականի նոյեմբերի 26-ի թիվ 1366-Ն որոշման նախաբանում նշված չէ</w:t>
            </w:r>
            <w:r w:rsidR="00041B8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որոշման ընդունման լիազորող նորմը,</w:t>
            </w:r>
            <w:r w:rsidR="00041B86" w:rsidRPr="00B9422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ինչը հակասում է </w:t>
            </w:r>
            <w:r w:rsidR="00041B86" w:rsidRPr="00064EBD">
              <w:rPr>
                <w:rFonts w:ascii="GHEA Grapalat" w:hAnsi="GHEA Grapalat" w:cs="Arial"/>
                <w:sz w:val="24"/>
                <w:szCs w:val="24"/>
                <w:lang w:val="hy-AM"/>
              </w:rPr>
              <w:t>«Նորմատիվ իրավական ակտերի մասին» օրենքի 13-րդ հոդվածի 1-ին մասի</w:t>
            </w:r>
            <w:r w:rsidR="00041B86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041B86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949" w:type="dxa"/>
            <w:gridSpan w:val="2"/>
          </w:tcPr>
          <w:p w:rsidR="00E07534" w:rsidRDefault="00E07534" w:rsidP="00A37FB6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041B86" w:rsidRPr="004F0850" w:rsidRDefault="00041B86" w:rsidP="00041B86">
            <w:pPr>
              <w:tabs>
                <w:tab w:val="left" w:pos="5253"/>
              </w:tabs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4F0850">
              <w:rPr>
                <w:rFonts w:ascii="GHEA Grapalat" w:hAnsi="GHEA Grapalat"/>
                <w:b/>
                <w:color w:val="000000"/>
              </w:rPr>
              <w:t>Ընդունվել</w:t>
            </w:r>
            <w:proofErr w:type="spellEnd"/>
            <w:r w:rsidRPr="004F0850">
              <w:rPr>
                <w:rFonts w:ascii="GHEA Grapalat" w:hAnsi="GHEA Grapalat"/>
                <w:b/>
                <w:color w:val="000000"/>
              </w:rPr>
              <w:t xml:space="preserve"> է</w:t>
            </w:r>
          </w:p>
          <w:p w:rsidR="00E07534" w:rsidRDefault="00041B86" w:rsidP="00041B86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color w:val="00000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Նախագծում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կատարվել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</w:rPr>
              <w:t>համապատասխան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փոփոխություն</w:t>
            </w:r>
            <w:proofErr w:type="spellEnd"/>
            <w:r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E07534" w:rsidRPr="0064564B" w:rsidTr="00B45591">
        <w:trPr>
          <w:trHeight w:val="315"/>
        </w:trPr>
        <w:tc>
          <w:tcPr>
            <w:tcW w:w="9351" w:type="dxa"/>
            <w:vMerge w:val="restart"/>
            <w:shd w:val="clear" w:color="auto" w:fill="BFBFBF" w:themeFill="background1" w:themeFillShade="BF"/>
          </w:tcPr>
          <w:p w:rsidR="00E07534" w:rsidRPr="00E07534" w:rsidRDefault="00E07534" w:rsidP="00041B86">
            <w:pPr>
              <w:tabs>
                <w:tab w:val="num" w:pos="0"/>
              </w:tabs>
              <w:spacing w:after="0" w:line="360" w:lineRule="auto"/>
              <w:ind w:firstLine="596"/>
              <w:contextualSpacing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0753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4. </w:t>
            </w:r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ՀՀ </w:t>
            </w:r>
            <w:proofErr w:type="spellStart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վարչապետի</w:t>
            </w:r>
            <w:proofErr w:type="spellEnd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աշխատակազմի</w:t>
            </w:r>
            <w:proofErr w:type="spellEnd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պետաիրավական</w:t>
            </w:r>
            <w:proofErr w:type="spellEnd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1B8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վարչություն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E07534" w:rsidRPr="00E07534" w:rsidRDefault="00E07534" w:rsidP="00A36B0F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Cs w:val="20"/>
              </w:rPr>
            </w:pPr>
          </w:p>
        </w:tc>
        <w:tc>
          <w:tcPr>
            <w:tcW w:w="3390" w:type="dxa"/>
            <w:shd w:val="clear" w:color="auto" w:fill="BFBFBF" w:themeFill="background1" w:themeFillShade="BF"/>
          </w:tcPr>
          <w:p w:rsidR="00E07534" w:rsidRPr="00E07534" w:rsidRDefault="00041B86" w:rsidP="00A36B0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>01.11.2021</w:t>
            </w:r>
          </w:p>
        </w:tc>
      </w:tr>
      <w:tr w:rsidR="00E07534" w:rsidRPr="0064564B" w:rsidTr="00B45591">
        <w:trPr>
          <w:trHeight w:val="255"/>
        </w:trPr>
        <w:tc>
          <w:tcPr>
            <w:tcW w:w="9351" w:type="dxa"/>
            <w:vMerge/>
            <w:shd w:val="clear" w:color="auto" w:fill="BFBFBF" w:themeFill="background1" w:themeFillShade="BF"/>
          </w:tcPr>
          <w:p w:rsidR="00E07534" w:rsidRPr="00E07534" w:rsidRDefault="00E07534" w:rsidP="00EA3105">
            <w:pPr>
              <w:shd w:val="clear" w:color="auto" w:fill="FFFFFF"/>
              <w:spacing w:line="360" w:lineRule="auto"/>
              <w:ind w:firstLine="567"/>
              <w:contextualSpacing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E07534" w:rsidRPr="00E07534" w:rsidRDefault="00E07534" w:rsidP="00EA310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BFBFBF" w:themeFill="background1" w:themeFillShade="BF"/>
          </w:tcPr>
          <w:p w:rsidR="00E07534" w:rsidRPr="00E07534" w:rsidRDefault="00041B86" w:rsidP="00EA310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>02/10.39/37683-2021</w:t>
            </w:r>
          </w:p>
        </w:tc>
      </w:tr>
      <w:tr w:rsidR="00041B86" w:rsidRPr="0064564B" w:rsidTr="00041B86">
        <w:trPr>
          <w:trHeight w:val="4905"/>
        </w:trPr>
        <w:tc>
          <w:tcPr>
            <w:tcW w:w="9351" w:type="dxa"/>
          </w:tcPr>
          <w:p w:rsidR="004F0850" w:rsidRPr="004F0850" w:rsidRDefault="004F0850" w:rsidP="004F085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9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 xml:space="preserve">        1. </w:t>
            </w:r>
            <w:proofErr w:type="spellStart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Գործող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համաձայն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կրելու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իրավունքով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զենք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հատկացվում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Ոստիկանության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ուսումնական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հաստատությունն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ավարտած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հատուկ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պատրաստություն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վերապատրաստում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անցած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ոստիկանության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ավագ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միջին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կրտսեր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պաշտոններ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զբաղեցնող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այն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ծառայողներին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F0850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ովքեր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հանձնել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են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ստուգարքը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Նախագծով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առաջարկվում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նշված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կարգից</w:t>
            </w:r>
            <w:proofErr w:type="spellEnd"/>
            <w:proofErr w:type="gramStart"/>
            <w:r w:rsidRPr="004F0850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F0850">
              <w:rPr>
                <w:rFonts w:ascii="Sylfaen" w:hAnsi="Sylfaen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բացառություն</w:t>
            </w:r>
            <w:proofErr w:type="spellEnd"/>
            <w:proofErr w:type="gram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սահմանել</w:t>
            </w:r>
            <w:proofErr w:type="spellEnd"/>
            <w:r w:rsidRPr="004F0850">
              <w:rPr>
                <w:rFonts w:cs="Calibri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F0850">
              <w:rPr>
                <w:rFonts w:ascii="Sylfaen" w:hAnsi="Sylfaen" w:cs="Calibri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պարեկային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ծառայողների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F0850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F0850">
              <w:rPr>
                <w:rFonts w:ascii="Sylfaen" w:hAnsi="Sylfaen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GHEA Grapalat"/>
                <w:color w:val="222222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GHEA Grapalat"/>
                <w:color w:val="222222"/>
                <w:sz w:val="24"/>
                <w:szCs w:val="24"/>
                <w:shd w:val="clear" w:color="auto" w:fill="FFFFFF"/>
              </w:rPr>
              <w:t>հիմնավորում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GHEA Grapalat"/>
                <w:color w:val="222222"/>
                <w:sz w:val="24"/>
                <w:szCs w:val="24"/>
                <w:shd w:val="clear" w:color="auto" w:fill="FFFFFF"/>
              </w:rPr>
              <w:t>նշելով</w:t>
            </w:r>
            <w:proofErr w:type="spellEnd"/>
            <w:r w:rsidRPr="004F0850">
              <w:rPr>
                <w:rFonts w:ascii="GHEA Grapalat" w:hAnsi="GHEA Grapalat" w:cs="GHEA Grapalat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մասնավորապես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այն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հանգամանքը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«...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Պարեկային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ծառայությունն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ամենաշատ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ժամաքանակով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կրակային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պատրաստականություն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անցել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հանձնել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քննություններ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:»: </w:t>
            </w:r>
          </w:p>
          <w:p w:rsidR="004F0850" w:rsidRPr="004F0850" w:rsidRDefault="004F0850" w:rsidP="004F0850">
            <w:pPr>
              <w:spacing w:after="0" w:line="360" w:lineRule="auto"/>
              <w:ind w:left="90" w:firstLine="54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Հարկ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նկատել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բացառության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նախատեսման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արդարացվածությունը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գնահատելու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նախ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պարզաբանման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կարիք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ունի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այն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հարցը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թե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արդյոք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օրինակ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ուսումնական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հաստատությունն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ավարտած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հատուկ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պատրաստություն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անցած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ծառայողները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կրակային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պատրաստականություն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անցնում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թե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ապա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ինչ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հարաբերակցության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գտնվում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վերջիններիս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անցած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կրակային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պատրաստականությունը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պարեկային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ծառայողների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կրակային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lastRenderedPageBreak/>
              <w:t>պատրաստականության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քանի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ամենաշատ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ժամաքանակով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ընդհանրական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ձևակերպումը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թույլ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պատկերացում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կազմել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միայն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առ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այն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թե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համեմատությունը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կոնկրետ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ծառայողներին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վերաբերում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այլև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ինչպիսին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տարբերությունն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ըստ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էության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F0850" w:rsidRPr="004F0850" w:rsidRDefault="004F0850" w:rsidP="004F0850">
            <w:pPr>
              <w:spacing w:after="0" w:line="360" w:lineRule="auto"/>
              <w:ind w:left="90" w:firstLine="54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Նշվածի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համատեքստում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փաստարկված</w:t>
            </w:r>
            <w:proofErr w:type="spellEnd"/>
            <w:r w:rsidRPr="004F08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sz w:val="24"/>
                <w:szCs w:val="24"/>
              </w:rPr>
              <w:t>կերպով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հիմնավորման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կարիք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պարեկային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ծառայողների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անցկացվող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կրակային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պատրաստականությունն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այնպիսի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ակնհայտ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առավելություն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պարեկային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ծառայողների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զենքի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տիրապետման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հմտություններն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առնվազն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համարժեք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կրակային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պատրաստականությունից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զատ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ստուգարք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հանձնած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Ոստիկանության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ծառայողների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զենքի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վարվելու</w:t>
            </w:r>
            <w:proofErr w:type="spellEnd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bCs/>
                <w:color w:val="222222"/>
                <w:sz w:val="24"/>
                <w:szCs w:val="24"/>
                <w:shd w:val="clear" w:color="auto" w:fill="FFFFFF"/>
              </w:rPr>
              <w:t>ունակություններին</w:t>
            </w:r>
            <w:proofErr w:type="spellEnd"/>
            <w:r w:rsidRPr="004F08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F0850" w:rsidRPr="004F0850" w:rsidRDefault="004F0850" w:rsidP="004F0850">
            <w:pPr>
              <w:spacing w:after="0" w:line="360" w:lineRule="auto"/>
              <w:ind w:left="90" w:firstLine="567"/>
              <w:jc w:val="both"/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Բացի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ուշադրություն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ենք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հրավիրում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այն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հանգամանքի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գործող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որոշմամբ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ստուգարքն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ընդունվում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պարզելու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ոչ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միայն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կրակային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պատրաստության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գործնական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վարժության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կատարման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ունակությունը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զենքի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վարվելու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կանոնների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զենքի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կանոնակարգող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իմացությունը</w:t>
            </w:r>
            <w:proofErr w:type="spellEnd"/>
            <w:r w:rsidRPr="004F0850">
              <w:rPr>
                <w:rFonts w:ascii="GHEA Grapalat" w:hAnsi="GHEA Grapalat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4F0850" w:rsidRPr="00CB743F" w:rsidRDefault="004F0850" w:rsidP="004F0850">
            <w:pPr>
              <w:spacing w:line="360" w:lineRule="auto"/>
              <w:ind w:left="90" w:firstLine="567"/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</w:pP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Վերոգրյալից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զատ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հարկ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նկատել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եթե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վերոգրյալի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համատեքստում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կհիմնավորվի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պարեկային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ծառայողների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մասով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բացառության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նախատեսումը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ապա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միևնույնն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ներկայումս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կրակային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պատրաստականության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ժամաքանակի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վկայակոչմամբ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հետագայի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ևս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առանց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որևէ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ժամկետային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սահմանափակման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նման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բացառության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նախատեսումը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խնդրահարույց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է,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որպիսի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պայմաններում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են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լրջագույն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երաշքխիքներ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առ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այն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բացառվում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հաջորդիվ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տարիներին</w:t>
            </w:r>
            <w:proofErr w:type="spellEnd"/>
            <w:r w:rsidRPr="004F0850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Arial"/>
                <w:color w:val="222222"/>
                <w:sz w:val="24"/>
                <w:szCs w:val="24"/>
              </w:rPr>
              <w:t>պարեկային</w:t>
            </w:r>
            <w:proofErr w:type="spellEnd"/>
            <w:r w:rsidRPr="004F0850">
              <w:rPr>
                <w:rFonts w:ascii="GHEA Grapalat" w:hAnsi="GHEA Grapalat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>ծառայողների</w:t>
            </w:r>
            <w:proofErr w:type="spellEnd"/>
            <w:r w:rsidRPr="004F0850">
              <w:rPr>
                <w:rFonts w:ascii="GHEA Grapalat" w:hAnsi="GHEA Grapalat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Arial"/>
                <w:color w:val="222222"/>
                <w:sz w:val="24"/>
                <w:szCs w:val="24"/>
              </w:rPr>
              <w:t>ուսումնական</w:t>
            </w:r>
            <w:proofErr w:type="spellEnd"/>
            <w:r w:rsidRPr="004F0850">
              <w:rPr>
                <w:rFonts w:ascii="GHEA Grapalat" w:hAnsi="GHEA Grapalat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Arial"/>
                <w:color w:val="222222"/>
                <w:sz w:val="24"/>
                <w:szCs w:val="24"/>
              </w:rPr>
              <w:t>ծրագրից</w:t>
            </w:r>
            <w:proofErr w:type="spellEnd"/>
            <w:r w:rsidRPr="004F0850">
              <w:rPr>
                <w:rFonts w:ascii="GHEA Grapalat" w:hAnsi="GHEA Grapalat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>կրակային</w:t>
            </w:r>
            <w:proofErr w:type="spellEnd"/>
            <w:r w:rsidRPr="004F0850">
              <w:rPr>
                <w:rFonts w:ascii="GHEA Grapalat" w:hAnsi="GHEA Grapalat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>պատրաստականության</w:t>
            </w:r>
            <w:proofErr w:type="spellEnd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>դուրսբերումը</w:t>
            </w:r>
            <w:proofErr w:type="spellEnd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>կամ</w:t>
            </w:r>
            <w:proofErr w:type="spellEnd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5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անցկացման</w:t>
            </w:r>
            <w:proofErr w:type="spellEnd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>ժամաքանակների</w:t>
            </w:r>
            <w:proofErr w:type="spellEnd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>կրճատումը</w:t>
            </w:r>
            <w:proofErr w:type="spellEnd"/>
            <w:r w:rsidRPr="004F0850">
              <w:rPr>
                <w:rFonts w:ascii="GHEA Grapalat" w:hAnsi="GHEA Grapalat" w:cs="Sylfaen"/>
                <w:color w:val="222222"/>
                <w:sz w:val="24"/>
                <w:szCs w:val="24"/>
              </w:rPr>
              <w:t>:</w:t>
            </w:r>
          </w:p>
          <w:p w:rsidR="00041B86" w:rsidRPr="004F0850" w:rsidRDefault="00041B86" w:rsidP="004F0850">
            <w:pPr>
              <w:spacing w:line="360" w:lineRule="auto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4949" w:type="dxa"/>
            <w:gridSpan w:val="2"/>
          </w:tcPr>
          <w:p w:rsidR="00041B86" w:rsidRDefault="00041B86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921B49" w:rsidRDefault="00921B49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921B49" w:rsidRDefault="00921B49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4F0850" w:rsidRDefault="004F0850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4F0850" w:rsidRDefault="004F0850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4F0850" w:rsidRDefault="004F0850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4F0850" w:rsidRDefault="004F0850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4F0850" w:rsidRDefault="004F0850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4F0850" w:rsidRDefault="004F0850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4F0850" w:rsidRDefault="004F0850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921B49" w:rsidRDefault="00921B49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041B86" w:rsidRDefault="00041B86" w:rsidP="00E07534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041B86" w:rsidRPr="004F0850" w:rsidRDefault="00041B86" w:rsidP="00041B86">
            <w:pPr>
              <w:tabs>
                <w:tab w:val="left" w:pos="5253"/>
              </w:tabs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4F0850">
              <w:rPr>
                <w:rFonts w:ascii="GHEA Grapalat" w:hAnsi="GHEA Grapalat"/>
                <w:b/>
                <w:color w:val="000000"/>
              </w:rPr>
              <w:t>Ընդունվել</w:t>
            </w:r>
            <w:proofErr w:type="spellEnd"/>
            <w:r w:rsidRPr="004F0850">
              <w:rPr>
                <w:rFonts w:ascii="GHEA Grapalat" w:hAnsi="GHEA Grapalat"/>
                <w:b/>
                <w:color w:val="000000"/>
              </w:rPr>
              <w:t xml:space="preserve"> է</w:t>
            </w:r>
          </w:p>
          <w:p w:rsidR="00041B86" w:rsidRDefault="00041B86" w:rsidP="00041B8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Նախագծում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կատարվել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</w:rPr>
              <w:t>համապատասխան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փոփոխություն</w:t>
            </w:r>
            <w:proofErr w:type="spellEnd"/>
            <w:r>
              <w:rPr>
                <w:rFonts w:ascii="GHEA Grapalat" w:hAnsi="GHEA Grapalat"/>
                <w:color w:val="000000"/>
              </w:rPr>
              <w:t>:</w:t>
            </w:r>
          </w:p>
        </w:tc>
      </w:tr>
    </w:tbl>
    <w:p w:rsidR="00EA3105" w:rsidRPr="00EA3105" w:rsidRDefault="00EA3105" w:rsidP="00041B86">
      <w:pPr>
        <w:spacing w:after="0" w:line="240" w:lineRule="auto"/>
        <w:contextualSpacing/>
        <w:rPr>
          <w:rFonts w:ascii="GHEA Grapalat" w:eastAsia="Arial" w:hAnsi="GHEA Grapalat"/>
        </w:rPr>
      </w:pPr>
    </w:p>
    <w:sectPr w:rsidR="00EA3105" w:rsidRPr="00EA3105" w:rsidSect="0039598C">
      <w:pgSz w:w="15840" w:h="12240" w:orient="landscape"/>
      <w:pgMar w:top="810" w:right="81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0CA"/>
    <w:multiLevelType w:val="hybridMultilevel"/>
    <w:tmpl w:val="860E5792"/>
    <w:lvl w:ilvl="0" w:tplc="D38880B0">
      <w:start w:val="1"/>
      <w:numFmt w:val="decimal"/>
      <w:lvlText w:val="%1."/>
      <w:lvlJc w:val="left"/>
      <w:pPr>
        <w:ind w:left="360" w:hanging="360"/>
      </w:pPr>
      <w:rPr>
        <w:rFonts w:eastAsia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D6BB5"/>
    <w:multiLevelType w:val="multilevel"/>
    <w:tmpl w:val="B2B8C22C"/>
    <w:lvl w:ilvl="0">
      <w:start w:val="1"/>
      <w:numFmt w:val="decimal"/>
      <w:lvlText w:val="%1."/>
      <w:lvlJc w:val="left"/>
      <w:pPr>
        <w:tabs>
          <w:tab w:val="num" w:pos="993"/>
        </w:tabs>
        <w:ind w:left="1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1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1" w:hanging="360"/>
      </w:pPr>
      <w:rPr>
        <w:rFonts w:hint="default"/>
      </w:rPr>
    </w:lvl>
  </w:abstractNum>
  <w:abstractNum w:abstractNumId="2">
    <w:nsid w:val="107C0F92"/>
    <w:multiLevelType w:val="hybridMultilevel"/>
    <w:tmpl w:val="85C08174"/>
    <w:lvl w:ilvl="0" w:tplc="2BACD19A">
      <w:start w:val="1"/>
      <w:numFmt w:val="decimal"/>
      <w:lvlText w:val="%1."/>
      <w:lvlJc w:val="left"/>
      <w:pPr>
        <w:ind w:left="1482" w:hanging="91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340EB2"/>
    <w:multiLevelType w:val="hybridMultilevel"/>
    <w:tmpl w:val="FB022F9E"/>
    <w:lvl w:ilvl="0" w:tplc="165ACF2C">
      <w:start w:val="1"/>
      <w:numFmt w:val="decimal"/>
      <w:lvlText w:val="%1."/>
      <w:lvlJc w:val="left"/>
      <w:pPr>
        <w:ind w:left="360" w:hanging="360"/>
      </w:pPr>
      <w:rPr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342"/>
    <w:multiLevelType w:val="hybridMultilevel"/>
    <w:tmpl w:val="BB10CA6C"/>
    <w:lvl w:ilvl="0" w:tplc="BCCA4CA4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E487688"/>
    <w:multiLevelType w:val="hybridMultilevel"/>
    <w:tmpl w:val="972847F2"/>
    <w:lvl w:ilvl="0" w:tplc="8500B238">
      <w:start w:val="1"/>
      <w:numFmt w:val="decimal"/>
      <w:lvlText w:val="%1."/>
      <w:lvlJc w:val="left"/>
      <w:pPr>
        <w:ind w:left="90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96185F"/>
    <w:multiLevelType w:val="hybridMultilevel"/>
    <w:tmpl w:val="5E80E67E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0409000F">
      <w:start w:val="1"/>
      <w:numFmt w:val="decimal"/>
      <w:lvlText w:val="%4."/>
      <w:lvlJc w:val="left"/>
      <w:pPr>
        <w:ind w:left="3519" w:hanging="360"/>
      </w:pPr>
    </w:lvl>
    <w:lvl w:ilvl="4" w:tplc="04090019">
      <w:start w:val="1"/>
      <w:numFmt w:val="lowerLetter"/>
      <w:lvlText w:val="%5."/>
      <w:lvlJc w:val="left"/>
      <w:pPr>
        <w:ind w:left="4239" w:hanging="360"/>
      </w:pPr>
    </w:lvl>
    <w:lvl w:ilvl="5" w:tplc="0409001B">
      <w:start w:val="1"/>
      <w:numFmt w:val="lowerRoman"/>
      <w:lvlText w:val="%6."/>
      <w:lvlJc w:val="right"/>
      <w:pPr>
        <w:ind w:left="4959" w:hanging="180"/>
      </w:pPr>
    </w:lvl>
    <w:lvl w:ilvl="6" w:tplc="0409000F">
      <w:start w:val="1"/>
      <w:numFmt w:val="decimal"/>
      <w:lvlText w:val="%7."/>
      <w:lvlJc w:val="left"/>
      <w:pPr>
        <w:ind w:left="5679" w:hanging="360"/>
      </w:pPr>
    </w:lvl>
    <w:lvl w:ilvl="7" w:tplc="04090019">
      <w:start w:val="1"/>
      <w:numFmt w:val="lowerLetter"/>
      <w:lvlText w:val="%8."/>
      <w:lvlJc w:val="left"/>
      <w:pPr>
        <w:ind w:left="6399" w:hanging="360"/>
      </w:pPr>
    </w:lvl>
    <w:lvl w:ilvl="8" w:tplc="0409001B">
      <w:start w:val="1"/>
      <w:numFmt w:val="lowerRoman"/>
      <w:lvlText w:val="%9."/>
      <w:lvlJc w:val="right"/>
      <w:pPr>
        <w:ind w:left="7119" w:hanging="180"/>
      </w:pPr>
    </w:lvl>
  </w:abstractNum>
  <w:abstractNum w:abstractNumId="7">
    <w:nsid w:val="24212C0D"/>
    <w:multiLevelType w:val="hybridMultilevel"/>
    <w:tmpl w:val="C9185C52"/>
    <w:lvl w:ilvl="0" w:tplc="988E0F1A">
      <w:start w:val="3"/>
      <w:numFmt w:val="decimal"/>
      <w:lvlText w:val="%1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4B30F9C"/>
    <w:multiLevelType w:val="hybridMultilevel"/>
    <w:tmpl w:val="5E80E67E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0409000F">
      <w:start w:val="1"/>
      <w:numFmt w:val="decimal"/>
      <w:lvlText w:val="%4."/>
      <w:lvlJc w:val="left"/>
      <w:pPr>
        <w:ind w:left="3519" w:hanging="360"/>
      </w:pPr>
    </w:lvl>
    <w:lvl w:ilvl="4" w:tplc="04090019">
      <w:start w:val="1"/>
      <w:numFmt w:val="lowerLetter"/>
      <w:lvlText w:val="%5."/>
      <w:lvlJc w:val="left"/>
      <w:pPr>
        <w:ind w:left="4239" w:hanging="360"/>
      </w:pPr>
    </w:lvl>
    <w:lvl w:ilvl="5" w:tplc="0409001B">
      <w:start w:val="1"/>
      <w:numFmt w:val="lowerRoman"/>
      <w:lvlText w:val="%6."/>
      <w:lvlJc w:val="right"/>
      <w:pPr>
        <w:ind w:left="4959" w:hanging="180"/>
      </w:pPr>
    </w:lvl>
    <w:lvl w:ilvl="6" w:tplc="0409000F">
      <w:start w:val="1"/>
      <w:numFmt w:val="decimal"/>
      <w:lvlText w:val="%7."/>
      <w:lvlJc w:val="left"/>
      <w:pPr>
        <w:ind w:left="5679" w:hanging="360"/>
      </w:pPr>
    </w:lvl>
    <w:lvl w:ilvl="7" w:tplc="04090019">
      <w:start w:val="1"/>
      <w:numFmt w:val="lowerLetter"/>
      <w:lvlText w:val="%8."/>
      <w:lvlJc w:val="left"/>
      <w:pPr>
        <w:ind w:left="6399" w:hanging="360"/>
      </w:pPr>
    </w:lvl>
    <w:lvl w:ilvl="8" w:tplc="0409001B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3BCF2B3F"/>
    <w:multiLevelType w:val="hybridMultilevel"/>
    <w:tmpl w:val="BD143E26"/>
    <w:lvl w:ilvl="0" w:tplc="696CBBA8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A4BBE"/>
    <w:multiLevelType w:val="hybridMultilevel"/>
    <w:tmpl w:val="E65CEC78"/>
    <w:lvl w:ilvl="0" w:tplc="9D903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494666"/>
    <w:multiLevelType w:val="hybridMultilevel"/>
    <w:tmpl w:val="1422D68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8634692"/>
    <w:multiLevelType w:val="hybridMultilevel"/>
    <w:tmpl w:val="23EED4CA"/>
    <w:lvl w:ilvl="0" w:tplc="A0BE208C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1011A0"/>
    <w:multiLevelType w:val="hybridMultilevel"/>
    <w:tmpl w:val="6CCC3100"/>
    <w:lvl w:ilvl="0" w:tplc="7902DB4C">
      <w:start w:val="1"/>
      <w:numFmt w:val="decimal"/>
      <w:lvlText w:val="%1)"/>
      <w:lvlJc w:val="left"/>
      <w:pPr>
        <w:ind w:left="1684" w:hanging="975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6F2B4F"/>
    <w:multiLevelType w:val="multilevel"/>
    <w:tmpl w:val="B2B8C22C"/>
    <w:lvl w:ilvl="0">
      <w:start w:val="1"/>
      <w:numFmt w:val="decimal"/>
      <w:lvlText w:val="%1."/>
      <w:lvlJc w:val="left"/>
      <w:pPr>
        <w:tabs>
          <w:tab w:val="num" w:pos="993"/>
        </w:tabs>
        <w:ind w:left="1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1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1" w:hanging="360"/>
      </w:pPr>
      <w:rPr>
        <w:rFonts w:hint="default"/>
      </w:rPr>
    </w:lvl>
  </w:abstractNum>
  <w:abstractNum w:abstractNumId="15">
    <w:nsid w:val="639D4EBC"/>
    <w:multiLevelType w:val="hybridMultilevel"/>
    <w:tmpl w:val="B0FC5A08"/>
    <w:lvl w:ilvl="0" w:tplc="E69EC6B6">
      <w:start w:val="1"/>
      <w:numFmt w:val="decimal"/>
      <w:lvlText w:val="%1."/>
      <w:lvlJc w:val="left"/>
      <w:pPr>
        <w:ind w:left="7200" w:hanging="360"/>
      </w:p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>
      <w:start w:val="1"/>
      <w:numFmt w:val="decimal"/>
      <w:lvlText w:val="%4."/>
      <w:lvlJc w:val="left"/>
      <w:pPr>
        <w:ind w:left="9360" w:hanging="360"/>
      </w:pPr>
    </w:lvl>
    <w:lvl w:ilvl="4" w:tplc="04090019">
      <w:start w:val="1"/>
      <w:numFmt w:val="lowerLetter"/>
      <w:lvlText w:val="%5."/>
      <w:lvlJc w:val="left"/>
      <w:pPr>
        <w:ind w:left="10080" w:hanging="360"/>
      </w:pPr>
    </w:lvl>
    <w:lvl w:ilvl="5" w:tplc="0409001B">
      <w:start w:val="1"/>
      <w:numFmt w:val="lowerRoman"/>
      <w:lvlText w:val="%6."/>
      <w:lvlJc w:val="right"/>
      <w:pPr>
        <w:ind w:left="10800" w:hanging="180"/>
      </w:pPr>
    </w:lvl>
    <w:lvl w:ilvl="6" w:tplc="0409000F">
      <w:start w:val="1"/>
      <w:numFmt w:val="decimal"/>
      <w:lvlText w:val="%7."/>
      <w:lvlJc w:val="left"/>
      <w:pPr>
        <w:ind w:left="11520" w:hanging="360"/>
      </w:pPr>
    </w:lvl>
    <w:lvl w:ilvl="7" w:tplc="04090019">
      <w:start w:val="1"/>
      <w:numFmt w:val="lowerLetter"/>
      <w:lvlText w:val="%8."/>
      <w:lvlJc w:val="left"/>
      <w:pPr>
        <w:ind w:left="12240" w:hanging="360"/>
      </w:pPr>
    </w:lvl>
    <w:lvl w:ilvl="8" w:tplc="0409001B">
      <w:start w:val="1"/>
      <w:numFmt w:val="lowerRoman"/>
      <w:lvlText w:val="%9."/>
      <w:lvlJc w:val="right"/>
      <w:pPr>
        <w:ind w:left="12960" w:hanging="180"/>
      </w:pPr>
    </w:lvl>
  </w:abstractNum>
  <w:abstractNum w:abstractNumId="16">
    <w:nsid w:val="63E23392"/>
    <w:multiLevelType w:val="hybridMultilevel"/>
    <w:tmpl w:val="A81493B6"/>
    <w:lvl w:ilvl="0" w:tplc="67DA715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1689B"/>
    <w:multiLevelType w:val="hybridMultilevel"/>
    <w:tmpl w:val="18BAF534"/>
    <w:lvl w:ilvl="0" w:tplc="3126D7B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A216B0"/>
    <w:multiLevelType w:val="hybridMultilevel"/>
    <w:tmpl w:val="D4F421B4"/>
    <w:lvl w:ilvl="0" w:tplc="DC5EA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2"/>
  </w:num>
  <w:num w:numId="15">
    <w:abstractNumId w:val="16"/>
  </w:num>
  <w:num w:numId="16">
    <w:abstractNumId w:val="2"/>
  </w:num>
  <w:num w:numId="17">
    <w:abstractNumId w:val="10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75570B"/>
    <w:rsid w:val="000009E1"/>
    <w:rsid w:val="00004151"/>
    <w:rsid w:val="00011475"/>
    <w:rsid w:val="00011870"/>
    <w:rsid w:val="000167D3"/>
    <w:rsid w:val="000326D3"/>
    <w:rsid w:val="0003523D"/>
    <w:rsid w:val="00041B86"/>
    <w:rsid w:val="00064715"/>
    <w:rsid w:val="0006549D"/>
    <w:rsid w:val="00066B04"/>
    <w:rsid w:val="000729B0"/>
    <w:rsid w:val="0007701D"/>
    <w:rsid w:val="00083436"/>
    <w:rsid w:val="000855D8"/>
    <w:rsid w:val="000955A2"/>
    <w:rsid w:val="000B261D"/>
    <w:rsid w:val="000C2D75"/>
    <w:rsid w:val="000C4444"/>
    <w:rsid w:val="000C7945"/>
    <w:rsid w:val="000D31DE"/>
    <w:rsid w:val="000E6B8E"/>
    <w:rsid w:val="000F0D59"/>
    <w:rsid w:val="000F2E8C"/>
    <w:rsid w:val="000F5163"/>
    <w:rsid w:val="000F56F4"/>
    <w:rsid w:val="00103D1E"/>
    <w:rsid w:val="00104044"/>
    <w:rsid w:val="001044B5"/>
    <w:rsid w:val="0011365F"/>
    <w:rsid w:val="00115AFF"/>
    <w:rsid w:val="00120CF2"/>
    <w:rsid w:val="00125BA1"/>
    <w:rsid w:val="0012666D"/>
    <w:rsid w:val="00127856"/>
    <w:rsid w:val="0013464E"/>
    <w:rsid w:val="00137EF1"/>
    <w:rsid w:val="001433D6"/>
    <w:rsid w:val="00146C20"/>
    <w:rsid w:val="0015083E"/>
    <w:rsid w:val="001508B1"/>
    <w:rsid w:val="001525AF"/>
    <w:rsid w:val="001605DD"/>
    <w:rsid w:val="00160665"/>
    <w:rsid w:val="00161111"/>
    <w:rsid w:val="001634B4"/>
    <w:rsid w:val="00180364"/>
    <w:rsid w:val="00191334"/>
    <w:rsid w:val="001962A8"/>
    <w:rsid w:val="001A4A8B"/>
    <w:rsid w:val="001B1301"/>
    <w:rsid w:val="001B7A36"/>
    <w:rsid w:val="001C1BA4"/>
    <w:rsid w:val="001C5E1F"/>
    <w:rsid w:val="001F0447"/>
    <w:rsid w:val="001F37B3"/>
    <w:rsid w:val="001F7487"/>
    <w:rsid w:val="002072E8"/>
    <w:rsid w:val="00210970"/>
    <w:rsid w:val="0021473D"/>
    <w:rsid w:val="0022220B"/>
    <w:rsid w:val="00225895"/>
    <w:rsid w:val="00230E6E"/>
    <w:rsid w:val="00232915"/>
    <w:rsid w:val="00237A60"/>
    <w:rsid w:val="00250A72"/>
    <w:rsid w:val="00262772"/>
    <w:rsid w:val="0026542C"/>
    <w:rsid w:val="00267E4E"/>
    <w:rsid w:val="002821CA"/>
    <w:rsid w:val="002855E0"/>
    <w:rsid w:val="002B207A"/>
    <w:rsid w:val="002B3180"/>
    <w:rsid w:val="002C3504"/>
    <w:rsid w:val="002C68C0"/>
    <w:rsid w:val="002D3B9A"/>
    <w:rsid w:val="002E7918"/>
    <w:rsid w:val="002F4605"/>
    <w:rsid w:val="002F580C"/>
    <w:rsid w:val="002F7976"/>
    <w:rsid w:val="003005FF"/>
    <w:rsid w:val="003046BE"/>
    <w:rsid w:val="0031472C"/>
    <w:rsid w:val="00315946"/>
    <w:rsid w:val="00324328"/>
    <w:rsid w:val="00331948"/>
    <w:rsid w:val="00332F01"/>
    <w:rsid w:val="0033754A"/>
    <w:rsid w:val="0034056C"/>
    <w:rsid w:val="003410B1"/>
    <w:rsid w:val="003540CF"/>
    <w:rsid w:val="00363A5D"/>
    <w:rsid w:val="00366223"/>
    <w:rsid w:val="00366DED"/>
    <w:rsid w:val="00393020"/>
    <w:rsid w:val="0039598C"/>
    <w:rsid w:val="003978C6"/>
    <w:rsid w:val="003A04BF"/>
    <w:rsid w:val="003A0E9C"/>
    <w:rsid w:val="003C112E"/>
    <w:rsid w:val="003C26C7"/>
    <w:rsid w:val="003D0DEF"/>
    <w:rsid w:val="003D46D5"/>
    <w:rsid w:val="003D4995"/>
    <w:rsid w:val="003E27E9"/>
    <w:rsid w:val="003E3C44"/>
    <w:rsid w:val="003E4264"/>
    <w:rsid w:val="00411028"/>
    <w:rsid w:val="00420881"/>
    <w:rsid w:val="00422A5B"/>
    <w:rsid w:val="00447603"/>
    <w:rsid w:val="004501C3"/>
    <w:rsid w:val="00456F23"/>
    <w:rsid w:val="00466CD0"/>
    <w:rsid w:val="00472E49"/>
    <w:rsid w:val="00477F1B"/>
    <w:rsid w:val="00485127"/>
    <w:rsid w:val="00490EE7"/>
    <w:rsid w:val="00496416"/>
    <w:rsid w:val="004A104D"/>
    <w:rsid w:val="004C62EE"/>
    <w:rsid w:val="004E3362"/>
    <w:rsid w:val="004E3943"/>
    <w:rsid w:val="004E4BA7"/>
    <w:rsid w:val="004F0850"/>
    <w:rsid w:val="004F5F31"/>
    <w:rsid w:val="00500748"/>
    <w:rsid w:val="00505EEB"/>
    <w:rsid w:val="00507DED"/>
    <w:rsid w:val="00510332"/>
    <w:rsid w:val="005179F4"/>
    <w:rsid w:val="0052456A"/>
    <w:rsid w:val="00527455"/>
    <w:rsid w:val="00531423"/>
    <w:rsid w:val="00533FF5"/>
    <w:rsid w:val="005360C8"/>
    <w:rsid w:val="00536ECF"/>
    <w:rsid w:val="005374C1"/>
    <w:rsid w:val="00552A4C"/>
    <w:rsid w:val="0055492D"/>
    <w:rsid w:val="00564665"/>
    <w:rsid w:val="00576768"/>
    <w:rsid w:val="00580B80"/>
    <w:rsid w:val="00583823"/>
    <w:rsid w:val="005A0899"/>
    <w:rsid w:val="005B024F"/>
    <w:rsid w:val="005B68F6"/>
    <w:rsid w:val="005D2B1D"/>
    <w:rsid w:val="005D6372"/>
    <w:rsid w:val="005E20AB"/>
    <w:rsid w:val="005E4BCF"/>
    <w:rsid w:val="005E6F6A"/>
    <w:rsid w:val="005F5A6A"/>
    <w:rsid w:val="00602985"/>
    <w:rsid w:val="00603252"/>
    <w:rsid w:val="00613316"/>
    <w:rsid w:val="00614CC0"/>
    <w:rsid w:val="00617765"/>
    <w:rsid w:val="00620ACD"/>
    <w:rsid w:val="00635D2B"/>
    <w:rsid w:val="00636765"/>
    <w:rsid w:val="00637780"/>
    <w:rsid w:val="00640D23"/>
    <w:rsid w:val="00644293"/>
    <w:rsid w:val="0064564B"/>
    <w:rsid w:val="00646820"/>
    <w:rsid w:val="00664D3F"/>
    <w:rsid w:val="00666EFB"/>
    <w:rsid w:val="006729F9"/>
    <w:rsid w:val="00672F90"/>
    <w:rsid w:val="00675A9A"/>
    <w:rsid w:val="006931F0"/>
    <w:rsid w:val="00694BE2"/>
    <w:rsid w:val="006969A8"/>
    <w:rsid w:val="006973B8"/>
    <w:rsid w:val="006A149D"/>
    <w:rsid w:val="006A5443"/>
    <w:rsid w:val="006A72BB"/>
    <w:rsid w:val="006B12F3"/>
    <w:rsid w:val="006B7300"/>
    <w:rsid w:val="006C02A3"/>
    <w:rsid w:val="006C60C7"/>
    <w:rsid w:val="006E1381"/>
    <w:rsid w:val="006E41B2"/>
    <w:rsid w:val="007104B4"/>
    <w:rsid w:val="00712174"/>
    <w:rsid w:val="00714ED3"/>
    <w:rsid w:val="007326CB"/>
    <w:rsid w:val="007327A7"/>
    <w:rsid w:val="00732A2C"/>
    <w:rsid w:val="00737786"/>
    <w:rsid w:val="00742236"/>
    <w:rsid w:val="0074443D"/>
    <w:rsid w:val="00754D6D"/>
    <w:rsid w:val="0075570B"/>
    <w:rsid w:val="0075599C"/>
    <w:rsid w:val="007607DF"/>
    <w:rsid w:val="007665C2"/>
    <w:rsid w:val="00766C42"/>
    <w:rsid w:val="00772B5F"/>
    <w:rsid w:val="00772CFB"/>
    <w:rsid w:val="00780522"/>
    <w:rsid w:val="00786E0F"/>
    <w:rsid w:val="007B0DA1"/>
    <w:rsid w:val="007B6258"/>
    <w:rsid w:val="007D6D65"/>
    <w:rsid w:val="007F367A"/>
    <w:rsid w:val="00803061"/>
    <w:rsid w:val="00806BDC"/>
    <w:rsid w:val="00816562"/>
    <w:rsid w:val="00816BAB"/>
    <w:rsid w:val="00816CCE"/>
    <w:rsid w:val="008176B6"/>
    <w:rsid w:val="008301CD"/>
    <w:rsid w:val="008304B5"/>
    <w:rsid w:val="0083325B"/>
    <w:rsid w:val="00837A3D"/>
    <w:rsid w:val="00841217"/>
    <w:rsid w:val="008465D2"/>
    <w:rsid w:val="00856A5C"/>
    <w:rsid w:val="008573A0"/>
    <w:rsid w:val="00857A8D"/>
    <w:rsid w:val="008613C1"/>
    <w:rsid w:val="00862963"/>
    <w:rsid w:val="0086656C"/>
    <w:rsid w:val="0086793A"/>
    <w:rsid w:val="00880146"/>
    <w:rsid w:val="008806C2"/>
    <w:rsid w:val="00894DB5"/>
    <w:rsid w:val="008953CB"/>
    <w:rsid w:val="00897374"/>
    <w:rsid w:val="008C21B1"/>
    <w:rsid w:val="008C3812"/>
    <w:rsid w:val="008D198F"/>
    <w:rsid w:val="008D2DDC"/>
    <w:rsid w:val="008D4C9A"/>
    <w:rsid w:val="008E74F9"/>
    <w:rsid w:val="008F0112"/>
    <w:rsid w:val="008F5CA4"/>
    <w:rsid w:val="00900098"/>
    <w:rsid w:val="00920BE8"/>
    <w:rsid w:val="00921B49"/>
    <w:rsid w:val="0092325C"/>
    <w:rsid w:val="00924D16"/>
    <w:rsid w:val="0094036B"/>
    <w:rsid w:val="009457C9"/>
    <w:rsid w:val="00955A08"/>
    <w:rsid w:val="0095627F"/>
    <w:rsid w:val="009A09B0"/>
    <w:rsid w:val="009A5579"/>
    <w:rsid w:val="009B6E5A"/>
    <w:rsid w:val="009C2E49"/>
    <w:rsid w:val="009D7B9A"/>
    <w:rsid w:val="009E11AB"/>
    <w:rsid w:val="009E3319"/>
    <w:rsid w:val="009E5D41"/>
    <w:rsid w:val="009E70A2"/>
    <w:rsid w:val="009F01B6"/>
    <w:rsid w:val="00A03BAB"/>
    <w:rsid w:val="00A1314A"/>
    <w:rsid w:val="00A14EC0"/>
    <w:rsid w:val="00A228D2"/>
    <w:rsid w:val="00A30FD4"/>
    <w:rsid w:val="00A31509"/>
    <w:rsid w:val="00A35971"/>
    <w:rsid w:val="00A37FB6"/>
    <w:rsid w:val="00A40E93"/>
    <w:rsid w:val="00A44313"/>
    <w:rsid w:val="00A4787B"/>
    <w:rsid w:val="00A551CF"/>
    <w:rsid w:val="00A61BFF"/>
    <w:rsid w:val="00A62FEC"/>
    <w:rsid w:val="00A938E3"/>
    <w:rsid w:val="00AB420C"/>
    <w:rsid w:val="00AB4870"/>
    <w:rsid w:val="00AC0554"/>
    <w:rsid w:val="00AC37B7"/>
    <w:rsid w:val="00AC628F"/>
    <w:rsid w:val="00AD0A48"/>
    <w:rsid w:val="00AD6986"/>
    <w:rsid w:val="00AD7CC0"/>
    <w:rsid w:val="00AE0270"/>
    <w:rsid w:val="00AF10C0"/>
    <w:rsid w:val="00AF1411"/>
    <w:rsid w:val="00AF42D0"/>
    <w:rsid w:val="00AF5A20"/>
    <w:rsid w:val="00AF6527"/>
    <w:rsid w:val="00B07B11"/>
    <w:rsid w:val="00B122C6"/>
    <w:rsid w:val="00B246DD"/>
    <w:rsid w:val="00B40AB0"/>
    <w:rsid w:val="00B42CBC"/>
    <w:rsid w:val="00B45591"/>
    <w:rsid w:val="00B46E63"/>
    <w:rsid w:val="00B5014F"/>
    <w:rsid w:val="00B52AF2"/>
    <w:rsid w:val="00B70061"/>
    <w:rsid w:val="00B74F79"/>
    <w:rsid w:val="00B83EDF"/>
    <w:rsid w:val="00B85B60"/>
    <w:rsid w:val="00B96FB4"/>
    <w:rsid w:val="00BD2F59"/>
    <w:rsid w:val="00BF1FEC"/>
    <w:rsid w:val="00BF27CC"/>
    <w:rsid w:val="00BF6748"/>
    <w:rsid w:val="00C0629E"/>
    <w:rsid w:val="00C12D1E"/>
    <w:rsid w:val="00C132AA"/>
    <w:rsid w:val="00C22353"/>
    <w:rsid w:val="00C22929"/>
    <w:rsid w:val="00C23415"/>
    <w:rsid w:val="00C24830"/>
    <w:rsid w:val="00C2733D"/>
    <w:rsid w:val="00C4067A"/>
    <w:rsid w:val="00C424A8"/>
    <w:rsid w:val="00C42E5F"/>
    <w:rsid w:val="00C57108"/>
    <w:rsid w:val="00C57142"/>
    <w:rsid w:val="00C66F14"/>
    <w:rsid w:val="00C711A9"/>
    <w:rsid w:val="00C72AD3"/>
    <w:rsid w:val="00C8117A"/>
    <w:rsid w:val="00C81E7B"/>
    <w:rsid w:val="00C925F7"/>
    <w:rsid w:val="00C943FF"/>
    <w:rsid w:val="00CA5BC8"/>
    <w:rsid w:val="00CB6492"/>
    <w:rsid w:val="00CD071F"/>
    <w:rsid w:val="00CD374F"/>
    <w:rsid w:val="00CE6021"/>
    <w:rsid w:val="00CE6867"/>
    <w:rsid w:val="00D0277D"/>
    <w:rsid w:val="00D14F2C"/>
    <w:rsid w:val="00D15AE5"/>
    <w:rsid w:val="00D27599"/>
    <w:rsid w:val="00D3023D"/>
    <w:rsid w:val="00D400C3"/>
    <w:rsid w:val="00D526B1"/>
    <w:rsid w:val="00D64C31"/>
    <w:rsid w:val="00D75132"/>
    <w:rsid w:val="00D77C11"/>
    <w:rsid w:val="00D81BE0"/>
    <w:rsid w:val="00D82C48"/>
    <w:rsid w:val="00D84C18"/>
    <w:rsid w:val="00D91CCD"/>
    <w:rsid w:val="00D92839"/>
    <w:rsid w:val="00DA3B61"/>
    <w:rsid w:val="00DA6AC0"/>
    <w:rsid w:val="00DB2DEB"/>
    <w:rsid w:val="00DB3C0A"/>
    <w:rsid w:val="00DB5191"/>
    <w:rsid w:val="00DD3BC1"/>
    <w:rsid w:val="00DE44C2"/>
    <w:rsid w:val="00DE5AEF"/>
    <w:rsid w:val="00DE78AD"/>
    <w:rsid w:val="00DF0FFD"/>
    <w:rsid w:val="00DF35EA"/>
    <w:rsid w:val="00DF58EE"/>
    <w:rsid w:val="00DF6F90"/>
    <w:rsid w:val="00DF7766"/>
    <w:rsid w:val="00E07534"/>
    <w:rsid w:val="00E218F8"/>
    <w:rsid w:val="00E27143"/>
    <w:rsid w:val="00E40193"/>
    <w:rsid w:val="00E5427F"/>
    <w:rsid w:val="00E60AE2"/>
    <w:rsid w:val="00E61E36"/>
    <w:rsid w:val="00E66672"/>
    <w:rsid w:val="00E7770A"/>
    <w:rsid w:val="00E95054"/>
    <w:rsid w:val="00E9542C"/>
    <w:rsid w:val="00EA3105"/>
    <w:rsid w:val="00EA7915"/>
    <w:rsid w:val="00EC082D"/>
    <w:rsid w:val="00EC1A47"/>
    <w:rsid w:val="00EC7CD0"/>
    <w:rsid w:val="00ED64F9"/>
    <w:rsid w:val="00ED7418"/>
    <w:rsid w:val="00EE07A7"/>
    <w:rsid w:val="00EE4A48"/>
    <w:rsid w:val="00EE6773"/>
    <w:rsid w:val="00EF132C"/>
    <w:rsid w:val="00EF3200"/>
    <w:rsid w:val="00F014FC"/>
    <w:rsid w:val="00F047BD"/>
    <w:rsid w:val="00F13F1C"/>
    <w:rsid w:val="00F17CAD"/>
    <w:rsid w:val="00F217D5"/>
    <w:rsid w:val="00F23E81"/>
    <w:rsid w:val="00F26FE8"/>
    <w:rsid w:val="00F27626"/>
    <w:rsid w:val="00F27875"/>
    <w:rsid w:val="00F40CF8"/>
    <w:rsid w:val="00F41BCF"/>
    <w:rsid w:val="00F44561"/>
    <w:rsid w:val="00F47679"/>
    <w:rsid w:val="00F52761"/>
    <w:rsid w:val="00F54BED"/>
    <w:rsid w:val="00F5688C"/>
    <w:rsid w:val="00F624DD"/>
    <w:rsid w:val="00F76859"/>
    <w:rsid w:val="00F7695C"/>
    <w:rsid w:val="00F823AB"/>
    <w:rsid w:val="00FA2B12"/>
    <w:rsid w:val="00FA34B5"/>
    <w:rsid w:val="00FA5F01"/>
    <w:rsid w:val="00FB27C8"/>
    <w:rsid w:val="00FC0400"/>
    <w:rsid w:val="00FC313E"/>
    <w:rsid w:val="00FD0D7F"/>
    <w:rsid w:val="00FD6919"/>
    <w:rsid w:val="00FE4BCF"/>
    <w:rsid w:val="00FF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1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A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A31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31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locked/>
    <w:rsid w:val="00A31509"/>
    <w:rPr>
      <w:rFonts w:cs="Calibri"/>
    </w:rPr>
  </w:style>
  <w:style w:type="paragraph" w:styleId="NoSpacing">
    <w:name w:val="No Spacing"/>
    <w:link w:val="NoSpacingChar"/>
    <w:qFormat/>
    <w:rsid w:val="00A31509"/>
    <w:pPr>
      <w:ind w:left="576" w:hanging="576"/>
    </w:pPr>
    <w:rPr>
      <w:rFonts w:cs="Calibri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 nowy,Liste 1,Dot pt"/>
    <w:basedOn w:val="Normal"/>
    <w:link w:val="ListParagraphChar"/>
    <w:uiPriority w:val="34"/>
    <w:qFormat/>
    <w:rsid w:val="00A31509"/>
    <w:pPr>
      <w:ind w:left="720"/>
      <w:contextualSpacing/>
    </w:pPr>
  </w:style>
  <w:style w:type="character" w:customStyle="1" w:styleId="Heading2Char">
    <w:name w:val="Heading 2 Char"/>
    <w:link w:val="Heading2"/>
    <w:semiHidden/>
    <w:rsid w:val="00363A5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363A5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3A5D"/>
    <w:rPr>
      <w:color w:val="954F72"/>
      <w:u w:val="single"/>
    </w:rPr>
  </w:style>
  <w:style w:type="character" w:customStyle="1" w:styleId="HeaderChar">
    <w:name w:val="Header Char"/>
    <w:link w:val="Header"/>
    <w:semiHidden/>
    <w:locked/>
    <w:rsid w:val="00363A5D"/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363A5D"/>
    <w:rPr>
      <w:sz w:val="24"/>
      <w:szCs w:val="24"/>
    </w:rPr>
  </w:style>
  <w:style w:type="character" w:customStyle="1" w:styleId="BodyTextChar">
    <w:name w:val="Body Text Char"/>
    <w:link w:val="BodyText"/>
    <w:locked/>
    <w:rsid w:val="00363A5D"/>
    <w:rPr>
      <w:rFonts w:ascii="Times Armenian" w:hAnsi="Times Armenian"/>
      <w:sz w:val="24"/>
    </w:rPr>
  </w:style>
  <w:style w:type="character" w:customStyle="1" w:styleId="BalloonTextChar">
    <w:name w:val="Balloon Text Char"/>
    <w:link w:val="BalloonText"/>
    <w:semiHidden/>
    <w:locked/>
    <w:rsid w:val="00363A5D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uiPriority w:val="99"/>
    <w:locked/>
    <w:rsid w:val="00363A5D"/>
    <w:pPr>
      <w:spacing w:line="240" w:lineRule="auto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apple-style-span">
    <w:name w:val="apple-style-span"/>
    <w:rsid w:val="00363A5D"/>
  </w:style>
  <w:style w:type="paragraph" w:styleId="BalloonText">
    <w:name w:val="Balloon Text"/>
    <w:basedOn w:val="Normal"/>
    <w:link w:val="BalloonTextChar"/>
    <w:semiHidden/>
    <w:unhideWhenUsed/>
    <w:rsid w:val="003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63A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363A5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semiHidden/>
    <w:rsid w:val="00363A5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63A5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uiPriority w:val="99"/>
    <w:semiHidden/>
    <w:rsid w:val="00363A5D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363A5D"/>
    <w:pPr>
      <w:spacing w:after="120" w:line="240" w:lineRule="auto"/>
    </w:pPr>
    <w:rPr>
      <w:rFonts w:ascii="Times Armenian" w:hAnsi="Times Armenian"/>
      <w:sz w:val="24"/>
      <w:szCs w:val="20"/>
    </w:rPr>
  </w:style>
  <w:style w:type="character" w:customStyle="1" w:styleId="BodyTextChar1">
    <w:name w:val="Body Text Char1"/>
    <w:semiHidden/>
    <w:rsid w:val="00363A5D"/>
    <w:rPr>
      <w:sz w:val="22"/>
      <w:szCs w:val="22"/>
    </w:rPr>
  </w:style>
  <w:style w:type="character" w:customStyle="1" w:styleId="FontStyle25">
    <w:name w:val="Font Style25"/>
    <w:uiPriority w:val="99"/>
    <w:rsid w:val="00363A5D"/>
    <w:rPr>
      <w:rFonts w:ascii="Tahoma" w:hAnsi="Tahoma" w:cs="Tahoma" w:hint="default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qFormat/>
    <w:locked/>
    <w:rsid w:val="008C3812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52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7C4F-8F29-49B8-A2C7-F94AD9C5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Tamazyan</dc:creator>
  <cp:keywords>https://mul2.gov.am/tasks/527655/oneclick/ampopatert.docx?token=7d77d758c857c1b8d8fa1d4599f19c53</cp:keywords>
  <cp:lastModifiedBy>A-Ghahramanyan</cp:lastModifiedBy>
  <cp:revision>34</cp:revision>
  <dcterms:created xsi:type="dcterms:W3CDTF">2021-09-24T13:18:00Z</dcterms:created>
  <dcterms:modified xsi:type="dcterms:W3CDTF">2021-11-05T12:12:00Z</dcterms:modified>
</cp:coreProperties>
</file>