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 w:conformance="strict">
  <w:body>
    <w:p w14:paraId="7205FCB6" w14:textId="77777777" w:rsidR="006117FD" w:rsidRPr="00A3769D" w:rsidRDefault="006117FD" w:rsidP="006117FD">
      <w:pPr>
        <w:spacing w:line="18pt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3769D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64D29417" w14:textId="5351BE40" w:rsidR="006117FD" w:rsidRPr="00A3769D" w:rsidRDefault="006117FD" w:rsidP="009C5BAE">
      <w:pPr>
        <w:spacing w:line="18pt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A3769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«ՀԱՅԱՍՏԱՆԻ ՀԱՆՐԱՊԵՏՈՒԹՅԱՆ ԿԱՌԱՎԱՐՈՒԹՅԱՆ 1998 ԹՎԱԿԱՆԻ ՀՈՒՆՎԱՐԻ 22-Ի N 74 ՈՐՈՇՄԱՆ ՄԵՋ ՓՈՓՈԽՈՒԹՅՈՒՆ ԿԱՏԱՐԵԼՈՒ ՄԱՍԻՆ» ՀՀ ԿԱՌԱՎԱՐՈՒԹՅԱՆ ՈՐՈՇՄԱՆ ԸՆԴՈՒՆՄԱՆ</w:t>
      </w:r>
    </w:p>
    <w:p w14:paraId="170E0E74" w14:textId="6E4B018D" w:rsidR="00BB41D0" w:rsidRPr="00BB41D0" w:rsidRDefault="00BB41D0" w:rsidP="00BB41D0">
      <w:pPr>
        <w:pStyle w:val="ListParagraph"/>
        <w:numPr>
          <w:ilvl w:val="0"/>
          <w:numId w:val="3"/>
        </w:numPr>
        <w:shd w:val="clear" w:color="auto" w:fill="FFFFFF"/>
        <w:spacing w:before="13.45pt" w:after="13.45pt" w:line="18pt" w:lineRule="auto"/>
        <w:jc w:val="both"/>
        <w:rPr>
          <w:rFonts w:ascii="GHEA Grapalat" w:eastAsia="Times New Roman" w:hAnsi="GHEA Grapalat" w:cs="Calibri"/>
          <w:b/>
          <w:bCs/>
          <w:color w:val="222222"/>
          <w:sz w:val="24"/>
          <w:szCs w:val="24"/>
          <w:lang w:val="hy-AM"/>
        </w:rPr>
      </w:pPr>
      <w:r w:rsidRPr="00BB41D0">
        <w:rPr>
          <w:rFonts w:ascii="GHEA Grapalat" w:eastAsia="Times New Roman" w:hAnsi="GHEA Grapalat" w:cs="Calibri"/>
          <w:b/>
          <w:bCs/>
          <w:i/>
          <w:iCs/>
          <w:color w:val="222222"/>
          <w:sz w:val="24"/>
          <w:szCs w:val="24"/>
          <w:lang w:val="hy-AM"/>
        </w:rPr>
        <w:t>Նախագծի կ</w:t>
      </w:r>
      <w:r w:rsidR="009E0A9A" w:rsidRPr="00BB41D0">
        <w:rPr>
          <w:rFonts w:ascii="GHEA Grapalat" w:eastAsia="Times New Roman" w:hAnsi="GHEA Grapalat" w:cs="Calibri"/>
          <w:b/>
          <w:bCs/>
          <w:i/>
          <w:iCs/>
          <w:color w:val="222222"/>
          <w:sz w:val="24"/>
          <w:szCs w:val="24"/>
          <w:lang w:val="hy-AM"/>
        </w:rPr>
        <w:t>արգավորման առարկան</w:t>
      </w:r>
      <w:r w:rsidR="009C5BAE" w:rsidRPr="00BB41D0">
        <w:rPr>
          <w:rFonts w:ascii="GHEA Grapalat" w:eastAsia="Times New Roman" w:hAnsi="GHEA Grapalat" w:cs="Calibri"/>
          <w:b/>
          <w:bCs/>
          <w:i/>
          <w:iCs/>
          <w:color w:val="222222"/>
          <w:sz w:val="24"/>
          <w:szCs w:val="24"/>
          <w:lang w:val="hy-AM"/>
        </w:rPr>
        <w:t xml:space="preserve"> և ակնկալվող արդյունքը</w:t>
      </w:r>
      <w:r w:rsidR="009E0A9A" w:rsidRPr="00BB41D0">
        <w:rPr>
          <w:rFonts w:ascii="GHEA Grapalat" w:eastAsia="Times New Roman" w:hAnsi="GHEA Grapalat" w:cs="Calibri"/>
          <w:b/>
          <w:bCs/>
          <w:i/>
          <w:iCs/>
          <w:color w:val="222222"/>
          <w:sz w:val="24"/>
          <w:szCs w:val="24"/>
          <w:lang w:val="hy-AM"/>
        </w:rPr>
        <w:t>.</w:t>
      </w:r>
      <w:r w:rsidR="006117FD" w:rsidRPr="00BB41D0">
        <w:rPr>
          <w:rFonts w:ascii="GHEA Grapalat" w:eastAsia="Times New Roman" w:hAnsi="GHEA Grapalat" w:cs="Calibri"/>
          <w:b/>
          <w:bCs/>
          <w:color w:val="222222"/>
          <w:sz w:val="24"/>
          <w:szCs w:val="24"/>
          <w:lang w:val="hy-AM"/>
        </w:rPr>
        <w:t xml:space="preserve"> </w:t>
      </w:r>
    </w:p>
    <w:p w14:paraId="7D88307C" w14:textId="5AC85D76" w:rsidR="006117FD" w:rsidRPr="004329BF" w:rsidRDefault="006117FD" w:rsidP="006117FD">
      <w:pPr>
        <w:shd w:val="clear" w:color="auto" w:fill="FFFFFF"/>
        <w:spacing w:before="13.45pt" w:after="13.45pt" w:line="18pt" w:lineRule="auto"/>
        <w:ind w:firstLine="35.45pt"/>
        <w:jc w:val="both"/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</w:pPr>
      <w:r w:rsidRPr="00A3769D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«ՀՀ</w:t>
      </w:r>
      <w:r w:rsidRPr="00A3769D">
        <w:rPr>
          <w:rFonts w:ascii="Calibri" w:eastAsia="Times New Roman" w:hAnsi="Calibri" w:cs="Calibri"/>
          <w:color w:val="222222"/>
          <w:sz w:val="24"/>
          <w:szCs w:val="24"/>
          <w:lang w:val="hy-AM"/>
        </w:rPr>
        <w:t> </w:t>
      </w:r>
      <w:r w:rsidRPr="00A3769D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կառավարության</w:t>
      </w:r>
      <w:r w:rsidRPr="00A3769D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1998 </w:t>
      </w:r>
      <w:r w:rsidRPr="00A3769D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թվականի</w:t>
      </w:r>
      <w:r w:rsidRPr="00A3769D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Pr="00A3769D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հունվարի</w:t>
      </w:r>
      <w:r w:rsidRPr="00A3769D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22-</w:t>
      </w:r>
      <w:r w:rsidRPr="00A3769D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ի</w:t>
      </w:r>
      <w:r w:rsidRPr="00A3769D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Pr="00A3769D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թիվ</w:t>
      </w:r>
      <w:r w:rsidRPr="00A3769D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74 </w:t>
      </w:r>
      <w:r w:rsidRPr="00A3769D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որոշման</w:t>
      </w:r>
      <w:r w:rsidRPr="00A3769D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Pr="00A3769D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մեջ</w:t>
      </w:r>
      <w:r w:rsidRPr="00A3769D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Pr="00A3769D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փոփոխություն</w:t>
      </w:r>
      <w:r w:rsidRPr="00A3769D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Pr="00A3769D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կատարելու</w:t>
      </w:r>
      <w:r w:rsidR="00BB41D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 մասին</w:t>
      </w:r>
      <w:r w:rsidRPr="00A3769D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»</w:t>
      </w:r>
      <w:r w:rsidRPr="00A3769D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 </w:t>
      </w:r>
      <w:r w:rsidR="009E0A9A" w:rsidRPr="009E0A9A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ո</w:t>
      </w:r>
      <w:r w:rsidRPr="00A3769D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րոշման</w:t>
      </w:r>
      <w:r w:rsidRPr="00A3769D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Pr="00A3769D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նախագծ</w:t>
      </w:r>
      <w:r w:rsidR="009E0A9A" w:rsidRPr="009E0A9A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ով առաջ</w:t>
      </w:r>
      <w:r w:rsidR="009A0C02" w:rsidRPr="009A0C02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ա</w:t>
      </w:r>
      <w:r w:rsidR="009E0A9A" w:rsidRPr="009E0A9A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րկվում է</w:t>
      </w:r>
      <w:r w:rsidRPr="00A3769D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="009E0A9A" w:rsidRPr="00A3769D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«Արմենպրես» </w:t>
      </w:r>
      <w:r w:rsidR="009E0A9A" w:rsidRPr="00A3769D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փակ բաժնետիրական ընկերության</w:t>
      </w:r>
      <w:r w:rsidR="009E0A9A" w:rsidRPr="009E0A9A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(այսուհետ՝ ՓԲԸ</w:t>
      </w:r>
      <w:r w:rsidR="009E0A9A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) </w:t>
      </w:r>
      <w:r w:rsidR="009E0A9A" w:rsidRPr="009E0A9A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bookmarkStart w:id="0" w:name="_Hlk89802526"/>
      <w:r w:rsidR="009E0A9A" w:rsidRPr="009E0A9A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հիմնադրի կողմից լիազորված</w:t>
      </w:r>
      <w:r w:rsidR="00BB41D0" w:rsidRPr="00A376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B41D0" w:rsidRPr="00CB3213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և բաժնետոմսերի կառավարման լիազորություններ</w:t>
      </w:r>
      <w:r w:rsidR="00BB41D0" w:rsidRPr="004329B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 ունեցող</w:t>
      </w:r>
      <w:r w:rsidR="009E0A9A" w:rsidRPr="004329B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 ներկայացուցիչների ցանկում </w:t>
      </w:r>
      <w:bookmarkEnd w:id="0"/>
      <w:r w:rsidR="009E0A9A" w:rsidRPr="004329B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ներառել նաև համապատասխան</w:t>
      </w:r>
      <w:r w:rsidR="00BB41D0" w:rsidRPr="004329B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 մասնագիտացված </w:t>
      </w:r>
      <w:r w:rsidR="009E0A9A" w:rsidRPr="004329B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կազմակերպության</w:t>
      </w:r>
      <w:r w:rsidR="00DF562F" w:rsidRPr="004329B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՝ հանձին </w:t>
      </w:r>
      <w:r w:rsidR="009E0A9A" w:rsidRPr="004329B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 </w:t>
      </w:r>
      <w:bookmarkStart w:id="1" w:name="_Hlk89802791"/>
      <w:r w:rsidR="00DF562F" w:rsidRPr="004329BF">
        <w:rPr>
          <w:rFonts w:ascii="GHEA Grapalat" w:eastAsia="Times New Roman" w:hAnsi="GHEA Grapalat" w:cs="GHEA Grapalat"/>
          <w:b/>
          <w:bCs/>
          <w:color w:val="222222"/>
          <w:sz w:val="24"/>
          <w:szCs w:val="24"/>
          <w:lang w:val="hy-AM"/>
        </w:rPr>
        <w:t>«</w:t>
      </w:r>
      <w:r w:rsidR="00DF562F" w:rsidRPr="00DF562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Հանրային կապերի և տեղեկատվության կենտրոն» պետական ոչ առ</w:t>
      </w:r>
      <w:r w:rsidR="004329B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և</w:t>
      </w:r>
      <w:r w:rsidR="00DF562F" w:rsidRPr="00DF562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տրային կազմակերպությանը </w:t>
      </w:r>
      <w:bookmarkEnd w:id="1"/>
      <w:r w:rsidR="00DF562F" w:rsidRPr="00DF562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(այսուհետ՝ կազմակերպություն)</w:t>
      </w:r>
      <w:r w:rsidR="009A0C02" w:rsidRPr="009A0C02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, որի </w:t>
      </w:r>
      <w:r w:rsidR="009A0C02" w:rsidRPr="004329B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կառավարման, ինչպես նաև «Պետական ոչ առևտրային կազմակերպությունների մասին» օրենքի 14-րդ հոդվածով նախատեսված լիազորությունները վերապահվել  են Վարչապետի աշխատակազմին:</w:t>
      </w:r>
      <w:r w:rsidR="00DF562F" w:rsidRPr="004329BF">
        <w:rPr>
          <w:rFonts w:ascii="GHEA Grapalat" w:eastAsia="Times New Roman" w:hAnsi="GHEA Grapalat" w:cs="GHEA Grapalat"/>
          <w:b/>
          <w:bCs/>
          <w:color w:val="222222"/>
          <w:sz w:val="24"/>
          <w:szCs w:val="24"/>
          <w:lang w:val="hy-AM"/>
        </w:rPr>
        <w:t xml:space="preserve"> </w:t>
      </w:r>
      <w:r w:rsidR="00DF562F" w:rsidRPr="00CB3213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Մասնավորապես հաշվի առնելով </w:t>
      </w:r>
      <w:r w:rsidR="009A0C02" w:rsidRPr="00CB3213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նաև Քաղաքացիական օրենսգրքի 129-րդ հոդվածի 3-րդ մասը</w:t>
      </w:r>
      <w:r w:rsidR="009A0C02" w:rsidRPr="004329B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, ինչպես նաև նկատի ունենալով կազմակերպության</w:t>
      </w:r>
      <w:r w:rsidR="00DF562F" w:rsidRPr="004329B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 </w:t>
      </w:r>
      <w:r w:rsidR="004329BF" w:rsidRPr="004329B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մասնագիտական</w:t>
      </w:r>
      <w:r w:rsidR="00DF562F" w:rsidRPr="004329B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 գործառույթների և նպատակների շրջանակը,  </w:t>
      </w:r>
      <w:r w:rsidR="00BB41D0" w:rsidRPr="004329B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հետևաբար</w:t>
      </w:r>
      <w:r w:rsidR="004329BF" w:rsidRPr="004329B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 վերջինիս</w:t>
      </w:r>
      <w:r w:rsidR="00C5724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՝</w:t>
      </w:r>
      <w:r w:rsidR="009A0C02" w:rsidRPr="004329B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 </w:t>
      </w:r>
      <w:r w:rsidR="00731633" w:rsidRPr="004329B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ՓԲԸ-</w:t>
      </w:r>
      <w:r w:rsidR="009C5BAE" w:rsidRPr="004329B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ի</w:t>
      </w:r>
      <w:r w:rsidR="004329BF" w:rsidRPr="004329B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 </w:t>
      </w:r>
      <w:r w:rsidR="009C5BAE" w:rsidRPr="004329B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ընդհանուր ժողով</w:t>
      </w:r>
      <w:r w:rsidR="004329BF" w:rsidRPr="004329B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ում </w:t>
      </w:r>
      <w:r w:rsidR="009C5BAE" w:rsidRPr="004329B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հիմնադրի կողմից լիազորված սուբյեկտների ցանկում </w:t>
      </w:r>
      <w:r w:rsidR="004329BF" w:rsidRPr="004329B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ընդգրկելը կապահովվի՝ </w:t>
      </w:r>
      <w:r w:rsidR="009C5BAE" w:rsidRPr="004329B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ներկայացուցչականություն</w:t>
      </w:r>
      <w:r w:rsidR="004329BF" w:rsidRPr="004329B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 և</w:t>
      </w:r>
      <w:r w:rsidR="009C5BAE" w:rsidRPr="004329B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 պետական մարմինների հետ փոխգործակցությ</w:t>
      </w:r>
      <w:r w:rsidR="004329BF" w:rsidRPr="004329B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ունը կլինի </w:t>
      </w:r>
      <w:r w:rsidR="009E0A9A" w:rsidRPr="00A3769D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առավել</w:t>
      </w:r>
      <w:r w:rsidR="009E0A9A" w:rsidRPr="004329B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 </w:t>
      </w:r>
      <w:r w:rsidR="009E0A9A" w:rsidRPr="00A3769D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արդյունավետ</w:t>
      </w:r>
      <w:r w:rsidR="004329B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:</w:t>
      </w:r>
      <w:r w:rsidR="009C5BAE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 </w:t>
      </w:r>
    </w:p>
    <w:p w14:paraId="42513C3D" w14:textId="35772C33" w:rsidR="00BB41D0" w:rsidRPr="00170B56" w:rsidRDefault="00BB41D0" w:rsidP="00170B56">
      <w:pPr>
        <w:pStyle w:val="ListParagraph"/>
        <w:numPr>
          <w:ilvl w:val="0"/>
          <w:numId w:val="3"/>
        </w:numPr>
        <w:spacing w:after="0pt" w:line="18pt" w:lineRule="auto"/>
        <w:jc w:val="both"/>
        <w:rPr>
          <w:rFonts w:ascii="GHEA Grapalat" w:eastAsia="Times New Roman" w:hAnsi="GHEA Grapalat" w:cs="GHEA Grapalat"/>
          <w:b/>
          <w:bCs/>
          <w:color w:val="222222"/>
          <w:sz w:val="24"/>
          <w:szCs w:val="24"/>
          <w:lang w:val="hy-AM"/>
        </w:rPr>
      </w:pPr>
      <w:r w:rsidRPr="00170B56">
        <w:rPr>
          <w:rFonts w:ascii="GHEA Grapalat" w:eastAsia="Times New Roman" w:hAnsi="GHEA Grapalat" w:cs="GHEA Grapalat"/>
          <w:b/>
          <w:bCs/>
          <w:color w:val="222222"/>
          <w:sz w:val="24"/>
          <w:szCs w:val="24"/>
          <w:lang w:val="hy-AM"/>
        </w:rPr>
        <w:t>Նախագծի ընդունման կապակցությամբ ֆինանսական միջոցների անհրաժեշտության և պետական բյուջեի եկամուտներում և ծախսերում սպասվելիք փոփոխությունների մասին.</w:t>
      </w:r>
    </w:p>
    <w:p w14:paraId="54A412EF" w14:textId="059E9007" w:rsidR="00170B56" w:rsidRPr="00170B56" w:rsidRDefault="00170B56" w:rsidP="00170B56">
      <w:pPr>
        <w:tabs>
          <w:tab w:val="start" w:pos="54pt"/>
        </w:tabs>
        <w:spacing w:after="0pt" w:line="18pt" w:lineRule="auto"/>
        <w:ind w:firstLine="36pt"/>
        <w:jc w:val="both"/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lastRenderedPageBreak/>
        <w:t xml:space="preserve">Սույն նախագծի </w:t>
      </w:r>
      <w:proofErr w:type="spellStart"/>
      <w:r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ընդունմամբ</w:t>
      </w:r>
      <w:proofErr w:type="spellEnd"/>
      <w:r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 լրացուցիչ ֆինանսական միջոցների անհրաժեշտություն կամ ՀՀ պետական բյուջեի </w:t>
      </w:r>
      <w:proofErr w:type="spellStart"/>
      <w:r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եկամուտներում</w:t>
      </w:r>
      <w:proofErr w:type="spellEnd"/>
      <w:r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 և ծախսերում փոփոխություններ չեն սպասվում:</w:t>
      </w:r>
    </w:p>
    <w:p w14:paraId="204A9F8A" w14:textId="77777777" w:rsidR="00170B56" w:rsidRPr="00170B56" w:rsidRDefault="00BB41D0" w:rsidP="00170B56">
      <w:pPr>
        <w:pStyle w:val="ListParagraph"/>
        <w:numPr>
          <w:ilvl w:val="0"/>
          <w:numId w:val="3"/>
        </w:numPr>
        <w:tabs>
          <w:tab w:val="start" w:pos="54pt"/>
        </w:tabs>
        <w:spacing w:after="0pt" w:line="18pt" w:lineRule="auto"/>
        <w:jc w:val="both"/>
        <w:rPr>
          <w:rFonts w:ascii="GHEA Grapalat" w:eastAsia="Times New Roman" w:hAnsi="GHEA Grapalat" w:cs="GHEA Grapalat"/>
          <w:b/>
          <w:bCs/>
          <w:color w:val="222222"/>
          <w:sz w:val="24"/>
          <w:szCs w:val="24"/>
          <w:lang w:val="hy-AM"/>
        </w:rPr>
      </w:pPr>
      <w:r w:rsidRPr="006C2DBC">
        <w:rPr>
          <w:rFonts w:ascii="GHEA Grapalat" w:eastAsia="Times New Roman" w:hAnsi="GHEA Grapalat" w:cs="GHEA Grapalat"/>
          <w:b/>
          <w:bCs/>
          <w:color w:val="222222"/>
          <w:sz w:val="24"/>
          <w:szCs w:val="24"/>
          <w:lang w:val="hy-AM"/>
        </w:rPr>
        <w:t>Որոշման նախագիծը չի բխում ռազմավարական փաստաթղթերից:</w:t>
      </w:r>
    </w:p>
    <w:p w14:paraId="413A4C2A" w14:textId="11B1C51F" w:rsidR="00170B56" w:rsidRPr="00170B56" w:rsidRDefault="00170B56" w:rsidP="00170B56">
      <w:pPr>
        <w:tabs>
          <w:tab w:val="start" w:pos="54pt"/>
        </w:tabs>
        <w:spacing w:after="0pt" w:line="18pt" w:lineRule="auto"/>
        <w:jc w:val="both"/>
        <w:rPr>
          <w:rFonts w:ascii="GHEA Grapalat" w:eastAsia="Times New Roman" w:hAnsi="GHEA Grapalat" w:cs="GHEA Grapalat"/>
          <w:b/>
          <w:bCs/>
          <w:color w:val="222222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   </w:t>
      </w:r>
      <w:r w:rsidRPr="00170B56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Նախագիծն ուղղակիորեն չի բխում </w:t>
      </w:r>
      <w:proofErr w:type="spellStart"/>
      <w:r w:rsidRPr="00170B56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որևէ</w:t>
      </w:r>
      <w:proofErr w:type="spellEnd"/>
      <w:r w:rsidRPr="00170B56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 ռազմավարական փաստաթղթից: Սակայն</w:t>
      </w:r>
      <w:r w:rsidR="00B227B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 նախագծի ընդունումը և դրա արդյունքում կազմակերպության</w:t>
      </w:r>
      <w:r w:rsidRPr="00170B56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 հետագա </w:t>
      </w:r>
      <w:r w:rsidR="00B227B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արդյունավետ գործունեությունն անուղղակիորեն</w:t>
      </w:r>
      <w:r w:rsidRPr="00170B56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 բխում է </w:t>
      </w:r>
      <w:r w:rsidR="00B227BF" w:rsidRPr="00170B56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Կառավարության կողմից</w:t>
      </w:r>
      <w:r w:rsidR="00B227B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 իրականացվող ծրագրերի վերաբերյալ հանրային լայն իրազեկում ապահովելու, ինչպես նաև՝</w:t>
      </w:r>
      <w:r w:rsidR="00B227BF" w:rsidRPr="00170B56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 </w:t>
      </w:r>
      <w:r w:rsidRPr="00170B56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ՀՀ կառավարության 2021-2026թթ.  5-ամյա ծրագրի</w:t>
      </w:r>
      <w:r w:rsidR="00835B46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 </w:t>
      </w:r>
      <w:r w:rsidR="00835B46" w:rsidRPr="00170B56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5.2  բաժնի պահանջն</w:t>
      </w:r>
      <w:r w:rsidR="00835B46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երից՝</w:t>
      </w:r>
      <w:r w:rsidR="00835B46" w:rsidRPr="00170B56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 </w:t>
      </w:r>
      <w:r w:rsidRPr="00170B56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բռնության, ատելության,  թշնամանքի դեպքերը կանխելու և հանրային համերաշխություն ապահովելու նպատակով իրականացվող օրենսդրական բարեփոխումների շրջանակնե</w:t>
      </w:r>
      <w:r w:rsidR="00B227B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րում </w:t>
      </w:r>
      <w:r w:rsidR="00F935B4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զանգ</w:t>
      </w:r>
      <w:r w:rsidRPr="00170B56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վածային լրա</w:t>
      </w:r>
      <w:r w:rsidR="00F935B4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տվության միջոցների ազատությունը չսահմանափակելու մասով:</w:t>
      </w:r>
    </w:p>
    <w:p w14:paraId="11787516" w14:textId="77777777" w:rsidR="006117FD" w:rsidRPr="004329BF" w:rsidRDefault="006117FD" w:rsidP="006117FD">
      <w:pPr>
        <w:spacing w:after="0pt" w:line="18pt" w:lineRule="auto"/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</w:pPr>
    </w:p>
    <w:p w14:paraId="553083EA" w14:textId="77777777" w:rsidR="00FC21CC" w:rsidRPr="004329BF" w:rsidRDefault="00FC21CC" w:rsidP="006117FD">
      <w:pPr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</w:pPr>
    </w:p>
    <w:sectPr w:rsidR="00FC21CC" w:rsidRPr="004329BF">
      <w:pgSz w:w="612pt" w:h="792pt"/>
      <w:pgMar w:top="72pt" w:right="72pt" w:bottom="72pt" w:left="72pt" w:header="36pt" w:footer="36pt" w:gutter="0pt"/>
      <w:cols w:space="36pt"/>
      <w:docGrid w:linePitch="360"/>
    </w:sectPr>
  </w:body>
</w:document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characterSet="iso-8859-1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characterSet="iso-8859-1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characterSet="iso-8859-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cx="http://schemas.microsoft.com/office/drawing/2014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start"/>
      <w:pPr>
        <w:ind w:start="45pt" w:hanging="18pt"/>
      </w:pPr>
      <w:rPr>
        <w:rFonts w:cs="Times New Roman"/>
      </w:rPr>
    </w:lvl>
    <w:lvl w:ilvl="1" w:tplc="04090019">
      <w:start w:val="1"/>
      <w:numFmt w:val="lowerLetter"/>
      <w:lvlText w:val="%2."/>
      <w:lvlJc w:val="start"/>
      <w:pPr>
        <w:ind w:start="81pt" w:hanging="18pt"/>
      </w:pPr>
    </w:lvl>
    <w:lvl w:ilvl="2" w:tplc="0409001B">
      <w:start w:val="1"/>
      <w:numFmt w:val="lowerRoman"/>
      <w:lvlText w:val="%3."/>
      <w:lvlJc w:val="end"/>
      <w:pPr>
        <w:ind w:start="117pt" w:hanging="9pt"/>
      </w:pPr>
    </w:lvl>
    <w:lvl w:ilvl="3" w:tplc="0409000F">
      <w:start w:val="1"/>
      <w:numFmt w:val="decimal"/>
      <w:lvlText w:val="%4."/>
      <w:lvlJc w:val="start"/>
      <w:pPr>
        <w:ind w:start="153pt" w:hanging="18pt"/>
      </w:pPr>
    </w:lvl>
    <w:lvl w:ilvl="4" w:tplc="04090019">
      <w:start w:val="1"/>
      <w:numFmt w:val="lowerLetter"/>
      <w:lvlText w:val="%5."/>
      <w:lvlJc w:val="start"/>
      <w:pPr>
        <w:ind w:start="189pt" w:hanging="18pt"/>
      </w:pPr>
    </w:lvl>
    <w:lvl w:ilvl="5" w:tplc="0409001B">
      <w:start w:val="1"/>
      <w:numFmt w:val="lowerRoman"/>
      <w:lvlText w:val="%6."/>
      <w:lvlJc w:val="end"/>
      <w:pPr>
        <w:ind w:start="225pt" w:hanging="9pt"/>
      </w:pPr>
    </w:lvl>
    <w:lvl w:ilvl="6" w:tplc="0409000F">
      <w:start w:val="1"/>
      <w:numFmt w:val="decimal"/>
      <w:lvlText w:val="%7."/>
      <w:lvlJc w:val="start"/>
      <w:pPr>
        <w:ind w:start="261pt" w:hanging="18pt"/>
      </w:pPr>
    </w:lvl>
    <w:lvl w:ilvl="7" w:tplc="04090019">
      <w:start w:val="1"/>
      <w:numFmt w:val="lowerLetter"/>
      <w:lvlText w:val="%8."/>
      <w:lvlJc w:val="start"/>
      <w:pPr>
        <w:ind w:start="297pt" w:hanging="18pt"/>
      </w:pPr>
    </w:lvl>
    <w:lvl w:ilvl="8" w:tplc="0409001B">
      <w:start w:val="1"/>
      <w:numFmt w:val="lowerRoman"/>
      <w:lvlText w:val="%9."/>
      <w:lvlJc w:val="end"/>
      <w:pPr>
        <w:ind w:start="333pt" w:hanging="9pt"/>
      </w:pPr>
    </w:lvl>
  </w:abstractNum>
  <w:abstractNum w:abstractNumId="1" w15:restartNumberingAfterBreak="0">
    <w:nsid w:val="2C514C9E"/>
    <w:multiLevelType w:val="hybridMultilevel"/>
    <w:tmpl w:val="375C1D0E"/>
    <w:lvl w:ilvl="0" w:tplc="FB6C1B86">
      <w:start w:val="3"/>
      <w:numFmt w:val="decimal"/>
      <w:lvlText w:val="%1."/>
      <w:lvlJc w:val="start"/>
      <w:pPr>
        <w:ind w:start="63pt" w:hanging="18pt"/>
      </w:pPr>
      <w:rPr>
        <w:rFonts w:hint="default"/>
      </w:rPr>
    </w:lvl>
    <w:lvl w:ilvl="1" w:tplc="04190019" w:tentative="1">
      <w:start w:val="1"/>
      <w:numFmt w:val="lowerLetter"/>
      <w:lvlText w:val="%2."/>
      <w:lvlJc w:val="start"/>
      <w:pPr>
        <w:ind w:start="99pt" w:hanging="18pt"/>
      </w:pPr>
    </w:lvl>
    <w:lvl w:ilvl="2" w:tplc="0419001B" w:tentative="1">
      <w:start w:val="1"/>
      <w:numFmt w:val="lowerRoman"/>
      <w:lvlText w:val="%3."/>
      <w:lvlJc w:val="end"/>
      <w:pPr>
        <w:ind w:start="135pt" w:hanging="9pt"/>
      </w:pPr>
    </w:lvl>
    <w:lvl w:ilvl="3" w:tplc="0419000F" w:tentative="1">
      <w:start w:val="1"/>
      <w:numFmt w:val="decimal"/>
      <w:lvlText w:val="%4."/>
      <w:lvlJc w:val="start"/>
      <w:pPr>
        <w:ind w:start="171pt" w:hanging="18pt"/>
      </w:pPr>
    </w:lvl>
    <w:lvl w:ilvl="4" w:tplc="04190019" w:tentative="1">
      <w:start w:val="1"/>
      <w:numFmt w:val="lowerLetter"/>
      <w:lvlText w:val="%5."/>
      <w:lvlJc w:val="start"/>
      <w:pPr>
        <w:ind w:start="207pt" w:hanging="18pt"/>
      </w:pPr>
    </w:lvl>
    <w:lvl w:ilvl="5" w:tplc="0419001B" w:tentative="1">
      <w:start w:val="1"/>
      <w:numFmt w:val="lowerRoman"/>
      <w:lvlText w:val="%6."/>
      <w:lvlJc w:val="end"/>
      <w:pPr>
        <w:ind w:start="243pt" w:hanging="9pt"/>
      </w:pPr>
    </w:lvl>
    <w:lvl w:ilvl="6" w:tplc="0419000F" w:tentative="1">
      <w:start w:val="1"/>
      <w:numFmt w:val="decimal"/>
      <w:lvlText w:val="%7."/>
      <w:lvlJc w:val="start"/>
      <w:pPr>
        <w:ind w:start="279pt" w:hanging="18pt"/>
      </w:pPr>
    </w:lvl>
    <w:lvl w:ilvl="7" w:tplc="04190019" w:tentative="1">
      <w:start w:val="1"/>
      <w:numFmt w:val="lowerLetter"/>
      <w:lvlText w:val="%8."/>
      <w:lvlJc w:val="start"/>
      <w:pPr>
        <w:ind w:start="315pt" w:hanging="18pt"/>
      </w:pPr>
    </w:lvl>
    <w:lvl w:ilvl="8" w:tplc="0419001B" w:tentative="1">
      <w:start w:val="1"/>
      <w:numFmt w:val="lowerRoman"/>
      <w:lvlText w:val="%9."/>
      <w:lvlJc w:val="end"/>
      <w:pPr>
        <w:ind w:start="351pt" w:hanging="9pt"/>
      </w:pPr>
    </w:lvl>
  </w:abstractNum>
  <w:abstractNum w:abstractNumId="2" w15:restartNumberingAfterBreak="0">
    <w:nsid w:val="4E863A38"/>
    <w:multiLevelType w:val="hybridMultilevel"/>
    <w:tmpl w:val="8EDAE6EA"/>
    <w:lvl w:ilvl="0" w:tplc="CFFECD38">
      <w:start w:val="1"/>
      <w:numFmt w:val="decimal"/>
      <w:lvlText w:val="%1."/>
      <w:lvlJc w:val="start"/>
      <w:pPr>
        <w:ind w:start="36pt" w:hanging="18pt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start"/>
      <w:pPr>
        <w:ind w:start="89.45pt" w:hanging="18pt"/>
      </w:pPr>
    </w:lvl>
    <w:lvl w:ilvl="2" w:tplc="0419001B" w:tentative="1">
      <w:start w:val="1"/>
      <w:numFmt w:val="lowerRoman"/>
      <w:lvlText w:val="%3."/>
      <w:lvlJc w:val="end"/>
      <w:pPr>
        <w:ind w:start="125.45pt" w:hanging="9pt"/>
      </w:pPr>
    </w:lvl>
    <w:lvl w:ilvl="3" w:tplc="0419000F" w:tentative="1">
      <w:start w:val="1"/>
      <w:numFmt w:val="decimal"/>
      <w:lvlText w:val="%4."/>
      <w:lvlJc w:val="start"/>
      <w:pPr>
        <w:ind w:start="161.45pt" w:hanging="18pt"/>
      </w:pPr>
    </w:lvl>
    <w:lvl w:ilvl="4" w:tplc="04190019" w:tentative="1">
      <w:start w:val="1"/>
      <w:numFmt w:val="lowerLetter"/>
      <w:lvlText w:val="%5."/>
      <w:lvlJc w:val="start"/>
      <w:pPr>
        <w:ind w:start="197.45pt" w:hanging="18pt"/>
      </w:pPr>
    </w:lvl>
    <w:lvl w:ilvl="5" w:tplc="0419001B" w:tentative="1">
      <w:start w:val="1"/>
      <w:numFmt w:val="lowerRoman"/>
      <w:lvlText w:val="%6."/>
      <w:lvlJc w:val="end"/>
      <w:pPr>
        <w:ind w:start="233.45pt" w:hanging="9pt"/>
      </w:pPr>
    </w:lvl>
    <w:lvl w:ilvl="6" w:tplc="0419000F" w:tentative="1">
      <w:start w:val="1"/>
      <w:numFmt w:val="decimal"/>
      <w:lvlText w:val="%7."/>
      <w:lvlJc w:val="start"/>
      <w:pPr>
        <w:ind w:start="269.45pt" w:hanging="18pt"/>
      </w:pPr>
    </w:lvl>
    <w:lvl w:ilvl="7" w:tplc="04190019" w:tentative="1">
      <w:start w:val="1"/>
      <w:numFmt w:val="lowerLetter"/>
      <w:lvlText w:val="%8."/>
      <w:lvlJc w:val="start"/>
      <w:pPr>
        <w:ind w:start="305.45pt" w:hanging="18pt"/>
      </w:pPr>
    </w:lvl>
    <w:lvl w:ilvl="8" w:tplc="0419001B" w:tentative="1">
      <w:start w:val="1"/>
      <w:numFmt w:val="lowerRoman"/>
      <w:lvlText w:val="%9."/>
      <w:lvlJc w:val="end"/>
      <w:pPr>
        <w:ind w:start="341.45pt" w:hanging="9pt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%"/>
  <w:proofState w:spelling="clean" w:grammar="clean"/>
  <w:defaultTabStop w:val="36pt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7FD"/>
    <w:rsid w:val="00170B56"/>
    <w:rsid w:val="004329BF"/>
    <w:rsid w:val="006117FD"/>
    <w:rsid w:val="006C2DBC"/>
    <w:rsid w:val="00731633"/>
    <w:rsid w:val="00835B46"/>
    <w:rsid w:val="009A0C02"/>
    <w:rsid w:val="009C5BAE"/>
    <w:rsid w:val="009E0A9A"/>
    <w:rsid w:val="009F59C3"/>
    <w:rsid w:val="00B227BF"/>
    <w:rsid w:val="00BB41D0"/>
    <w:rsid w:val="00C57240"/>
    <w:rsid w:val="00CB3213"/>
    <w:rsid w:val="00DB4F32"/>
    <w:rsid w:val="00DF562F"/>
    <w:rsid w:val="00F42ED5"/>
    <w:rsid w:val="00F935B4"/>
    <w:rsid w:val="00FC2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F10A11"/>
  <w15:chartTrackingRefBased/>
  <w15:docId w15:val="{75E51970-5817-4163-B18F-53863CA6B0EA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pt" w:line="12.95pt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17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F562F"/>
    <w:rPr>
      <w:b/>
      <w:bCs/>
    </w:rPr>
  </w:style>
  <w:style w:type="paragraph" w:styleId="ListParagraph">
    <w:name w:val="List Paragraph"/>
    <w:basedOn w:val="Normal"/>
    <w:uiPriority w:val="34"/>
    <w:qFormat/>
    <w:rsid w:val="00BB41D0"/>
    <w:pPr>
      <w:ind w:start="36pt"/>
      <w:contextualSpacing/>
    </w:p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ivs>
    <w:div w:id="645090084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5846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8334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purl.oclc.org/ooxml/officeDocument/relationships/settings" Target="settings.xml"/><Relationship Id="rId2" Type="http://purl.oclc.org/ooxml/officeDocument/relationships/styles" Target="styles.xml"/><Relationship Id="rId1" Type="http://purl.oclc.org/ooxml/officeDocument/relationships/numbering" Target="numbering.xml"/><Relationship Id="rId6" Type="http://purl.oclc.org/ooxml/officeDocument/relationships/theme" Target="theme/theme1.xml"/><Relationship Id="rId5" Type="http://purl.oclc.org/ooxml/officeDocument/relationships/fontTable" Target="fontTable.xml"/><Relationship Id="rId4" Type="http://purl.oclc.org/ooxml/officeDocument/relationships/webSettings" Target="webSettings.xml"/></Relationships>
</file>

<file path=word/theme/theme1.xml><?xml version="1.0" encoding="utf-8"?>
<a:theme xmlns:a="http://purl.oclc.org/ooxml/drawingml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</Template>
  <TotalTime>3</TotalTime>
  <Pages>2</Pages>
  <Words>320</Words>
  <Characters>1830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Mirzoyan</dc:creator>
  <cp:keywords/>
  <dc:description/>
  <cp:lastModifiedBy>Gohar Mirzoyan</cp:lastModifiedBy>
  <cp:revision>3</cp:revision>
  <dcterms:created xsi:type="dcterms:W3CDTF">2021-12-08T06:38:00Z</dcterms:created>
  <dcterms:modified xsi:type="dcterms:W3CDTF">2021-12-08T06:43:00Z</dcterms:modified>
</cp:coreProperties>
</file>