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09C3F" w14:textId="77777777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/>
          <w:lang w:val="hy-AM"/>
        </w:rPr>
        <w:t>ԱՄՓՈՓԱԹԵՐԹ</w:t>
      </w:r>
    </w:p>
    <w:p w14:paraId="6CD70290" w14:textId="77777777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ՆՈՐ ՓՐՈՋԵԿՏՍ» ՍԱՀՄԱՆԱՓԱԿ ՊԱՏԱՍԽԱՆԱՏՎՈՒԹՅԱՄԲ</w:t>
      </w:r>
      <w:r w:rsidRPr="00B6505A">
        <w:rPr>
          <w:rFonts w:ascii="GHEA Grapalat" w:hAnsi="GHEA Grapalat" w:cs="Sylfaen"/>
          <w:lang w:val="hy-AM"/>
        </w:rPr>
        <w:t xml:space="preserve"> ԸՆԿԵՐՈՒԹՅԱՆ </w:t>
      </w:r>
      <w:r>
        <w:rPr>
          <w:rFonts w:ascii="GHEA Grapalat" w:hAnsi="GHEA Grapalat" w:cs="Sylfaen"/>
          <w:lang w:val="hy-AM"/>
        </w:rPr>
        <w:t>ԳՈՐԾԱՐԱՐ</w:t>
      </w:r>
      <w:r w:rsidRPr="00B6505A">
        <w:rPr>
          <w:rFonts w:ascii="GHEA Grapalat" w:hAnsi="GHEA Grapalat" w:cs="Sylfaen"/>
          <w:lang w:val="hy-AM"/>
        </w:rPr>
        <w:t xml:space="preserve"> ԾՐԱԳՐԻ ՎԵՐԱԲԵՐՅԱԼ</w:t>
      </w:r>
      <w:r w:rsidRPr="00B6505A">
        <w:rPr>
          <w:rFonts w:ascii="GHEA Grapalat" w:hAnsi="GHEA Grapalat"/>
          <w:lang w:val="hy-AM"/>
        </w:rPr>
        <w:t xml:space="preserve"> ՇԱՀԱԳՐԳԻՌ ՄԱՐՄԻՆՆԵՐԻ ԱՌԱՐԿՈՒԹՅՈՒՆՆԵՐԻ ԵՎ ԱՌԱՋԱՐԿՈՒԹՅՈՒՆՆԵՐԻ</w:t>
      </w:r>
    </w:p>
    <w:p w14:paraId="0F8A3AD0" w14:textId="77777777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A0165D" w:rsidRPr="00C22640" w14:paraId="1918426C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4FEF1A3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0388DD46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9D7EDA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25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-</w:t>
            </w:r>
            <w:r>
              <w:rPr>
                <w:rFonts w:ascii="GHEA Grapalat" w:eastAsia="Calibri" w:hAnsi="GHEA Grapalat"/>
                <w:lang w:val="hy-AM" w:eastAsia="en-US"/>
              </w:rPr>
              <w:t>11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-2021թ.</w:t>
            </w:r>
          </w:p>
        </w:tc>
      </w:tr>
      <w:tr w:rsidR="00A0165D" w:rsidRPr="00C22640" w14:paraId="1768B376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2B8D8D0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28A84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1B2B35">
              <w:rPr>
                <w:rFonts w:ascii="GHEA Grapalat" w:eastAsia="Calibri" w:hAnsi="GHEA Grapalat"/>
                <w:lang w:eastAsia="en-US"/>
              </w:rPr>
              <w:t>01/2-3/18766-2021</w:t>
            </w:r>
          </w:p>
        </w:tc>
      </w:tr>
      <w:tr w:rsidR="00A0165D" w:rsidRPr="00280698" w14:paraId="40EE7566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B9709D" w14:textId="77777777" w:rsidR="00A0165D" w:rsidRPr="0086305B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6305B">
              <w:rPr>
                <w:rFonts w:ascii="GHEA Grapalat" w:eastAsia="Calibri" w:hAnsi="GHEA Grapalat"/>
                <w:lang w:val="hy-AM" w:eastAsia="en-US"/>
              </w:rPr>
              <w:t>ՀՀ ֆինանսների նախարարությունը քննարկել է «Նոր Փրոջեկտս» ՍՊԸ-ի կող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մից իրա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նաց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վող գործա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րար ծրագրի շրջանակներում ստեղծ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վող նոր աշխա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տե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ղերի մասով հաշ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վարկ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ված լրա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ցու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ցիչ աշխատավարձի և դրան հավա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սա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րեցված վճա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րում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ների գումարը շահու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թահարկի գումա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րից նվազեցնելու նպա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կով ՀՀ վարչապետի աշխա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կազմ ներ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կայա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ց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ված դիմումը, որի կապակ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ցու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թյամբ կից ներկայացնում ենք ՀՀ կառա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րու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թյան 2017 թվականի հոկտեմ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բերի 5-ի թիվ 1235-Ն որոշման 1-ին կետով սահ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ման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ված կարգի 8-րդ կետով նախատեսված չափո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րո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շիչների գնա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հատականները:</w:t>
            </w:r>
          </w:p>
          <w:p w14:paraId="3321FA19" w14:textId="77777777" w:rsidR="00A0165D" w:rsidRPr="0086305B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6305B">
              <w:rPr>
                <w:rFonts w:ascii="GHEA Grapalat" w:eastAsia="Calibri" w:hAnsi="GHEA Grapalat"/>
                <w:lang w:val="hy-AM" w:eastAsia="en-US"/>
              </w:rPr>
              <w:t>Միևնույն ժամանակ, հայտնում ենք, որ անհասկանալի է ՀՀ հարկային օրենսգրքի 127-րդ հոդվածի 1-ին մասի համաձայն՝ գործարար ծրագրի հավանության արժանացման դեպ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>քում նույն Օրենսգրքի 120-րդ հոդվածով նախատեսված արտոնությունից օգտվելու՝ ընկերության ցանկությունը՝ հաշվի առնելով այն հանգամանքը, որ ՀՀ հարկային օրենս</w:t>
            </w:r>
            <w:r w:rsidRPr="0086305B">
              <w:rPr>
                <w:rFonts w:ascii="GHEA Grapalat" w:eastAsia="Calibri" w:hAnsi="GHEA Grapalat"/>
                <w:lang w:val="hy-AM" w:eastAsia="en-US"/>
              </w:rPr>
              <w:softHyphen/>
              <w:t xml:space="preserve">գրքի 120-րդ հոդվածով ընդամենը սահմանված են շահութահարկով հարկման նպատակով այլ ծախսեր համարվող նվազեցումները:  </w:t>
            </w:r>
          </w:p>
          <w:p w14:paraId="39845A5D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8B6DFD" w14:textId="77777777" w:rsidR="00A0165D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  <w:p w14:paraId="71075255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A0165D" w:rsidRPr="00C22640" w14:paraId="678FCF09" w14:textId="77777777" w:rsidTr="00A93F24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1AA0E6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0" w:name="_Hlk69199583"/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>2. ՀՀ պետական եկամուտների կոմիտե</w:t>
            </w:r>
          </w:p>
          <w:p w14:paraId="739B5F09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99C10D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19</w:t>
            </w:r>
            <w:r w:rsidRPr="00C22640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11</w:t>
            </w:r>
            <w:r w:rsidRPr="00C22640">
              <w:rPr>
                <w:rFonts w:ascii="GHEA Grapalat" w:hAnsi="GHEA Grapalat"/>
                <w:lang w:val="hy-AM" w:eastAsia="en-US"/>
              </w:rPr>
              <w:t>-2021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C2264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0165D" w:rsidRPr="00C22640" w14:paraId="7C9E63A1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0678C5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53D1A3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1B2B35">
              <w:rPr>
                <w:rFonts w:ascii="GHEA Grapalat" w:eastAsia="Calibri" w:hAnsi="GHEA Grapalat"/>
                <w:lang w:eastAsia="en-US"/>
              </w:rPr>
              <w:t>01/3-3/74203-2021</w:t>
            </w:r>
          </w:p>
        </w:tc>
      </w:tr>
      <w:tr w:rsidR="00A0165D" w:rsidRPr="00386C19" w14:paraId="64CE75E8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11CC9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Կազմակերպության գործունեության մասին Ձև N1 «Գործարար ծրագիր» աղյուսակով ներկայացված հակիրճ տեղեկատվության` </w:t>
            </w:r>
          </w:p>
          <w:p w14:paraId="1F9A2A41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- 7-րդ կետի համաձայն` կազմակերպությունը հիմնադրվել է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2018թ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-ին, գործունեության մեկնարկի ժամկետն է՝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2018թ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</w:p>
          <w:p w14:paraId="7853D447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- 8-րդ կետով նախատեսված` «Ծրագրի նպատակը/տեղեկատվություն իրականացվող ծրագրի մասին» տողում լրացված տեղեկատվությունը թերի է և կրում է ընդհանրական բնույթ, քանի որ Որոշմամբ սահմանված կարգի «N1 ձևի լրացման ուղեցույց»-ի 1-ին կետի 4-րդ ենթակետի համաձայն` այդ տողում նկարագրվում է ծրագրի նպատակը, որտեղ կատարվում է նշում նաև արդեն իսկ իրականացված և անհրաժեշտ աշխատանքների, ինչպես նաև դրանց ժամկետների մասին (բացակայում է ծրագրի իրականացման ժամկետների վերաբերյալ տեղեկատվությունը, ինչպես նաև կոնկրետ նշված չէ՝ թե հիմնադրման օրվանից առ 31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դրությամբ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730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278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458 դրամ իրացումից որքան մասն է կազմում սեփական արտադրանքի իրացումից հասույթը՝ հաշվի առնելով այն հանգամանքը, որ ըստ ներկայացված տեղեկատվության, Ընկերությունը հանդիսանում է Կարպիզա, Ջեոքս և Հենդերսոն համաշխարհային ապրանքանիշերի խանութների կահույքի պաշտոնական մատակարարը՝ ԵՄ-ում, ԱՊՀ-ում, Միջին Արևելքում և Ասիական երկրներում),</w:t>
            </w:r>
          </w:p>
          <w:p w14:paraId="4303B1BC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- 9-րդ կետով նախատեսված` «Մարքեթինգային քաղաքականության նկարագրությունը» տողում ներկայացված տեղեկատվությունը թերի է, քանի որ  Որոշմամբ սահմանված կարգի «N1 ձևի լրացման ուղեցույց»-ի 1-ին կետի 5-րդ ենթակետի համաձայն` այդ տողում նկարագրվում է իրականացվող և նախատեսվող մարքեթինգային քաղաքականու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softHyphen/>
              <w:t>թյունը` նշելով նաև դրա համար անհրաժեշտ ֆինանսական միջոցների մասին։ Տվյալ դեպքում բացակայում է իրականացվող և նախատեսվող մարքեթինգային քաղաքականության իրականացման համար անհրաժեշտ ֆինանսական միջոցների վերաբերյալ տեղեկատվությունը,</w:t>
            </w:r>
          </w:p>
          <w:p w14:paraId="7FC66291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- 2-րդ` «Ներդրումներ» բաժնում ներկայացված տվյալների համաձայն՝ սեփական միջոցների հաշվին ներդրումները կազմում են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որից՝ նոր արտադրական շենքի ձեռքբերում և կապիտալ վերանորոգում՝ 700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նոր արտադրական սարքավորումների և ծրագրային լուծումների ձեռք բերում՝ 800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շրջանառու կապիտալի մեջ ներդրումներ՝ 500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դրամ։</w:t>
            </w:r>
          </w:p>
          <w:p w14:paraId="78C05CBE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Հաշվի առնելով վերոգրյալը, ինչպես նաև վերլուծելով կազմակերպության գործունեության մասին Ձև N2 «Տեղեկատվություն ռեզիդենտ շահութահարկ վճարողի տնտեսական գործունեության մասին» աղյուսակով ներկայացված տեղեկատվությունը` հայտնում ենք, որ.</w:t>
            </w:r>
          </w:p>
          <w:p w14:paraId="06B2DFD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1. «Տնտեսության վրա մուլտիպլիկատիվ ազդեցություն» չափորոշիչի գնահատման համար հիմք է ընդունվել Ընկերության կողմից ներկայացված՝ ծրագրի նպատակը և գործընկերների մասին տեղեկատվությունը։ Ըստ ներկայացված տեղեկատվության՝ Ընկերությունը հանդիսանում է Կարպիզա, Ջեոքս և Հենդերսոն համաշխարհային ապրանքանիշերի խանութների կահույքի պաշտոնական մատակարարը՝ ԵՄ-ում, 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ԱՊՀ-ում, Միջին Արևելքում և Ասիական երկրներում։ Գործունեության ընթացքում կատարվել է շուրջ 235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դրամի ներդրում, որի արդյունքում ձեռք է բերվել շրջանառու կապիտալ և ստեղծվել անհրաժեշտ արդի սարքավորումներով հագեցած կահույքի արտադրամաս և 70 աշխատատեղ՝ 342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000 դրամ միջին ամսական աշխատավարձով։ Հիմնադրման օրվանից առ 31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դրությամբ կատարվել է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730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278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458 դրամի իրացում, որից Հայաստանում՝ 218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146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998 դրամ (ընդհանուր իրացման 12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6%-ը), իսկ մնացած մասը՝ Ռուսաստանում, Ուկրաինայիում, Չեխիայում, Լատվիայում, Հունաստանում, Սերբիայում, Ուզբեկստանում, Վրաստանում, Մավրիկիոսում, Մոնղոլիայում, Ղազախստանում։ Ներդրումային ծրագրի շրջանակներում նախատեսվում է ձեռք բերել նոր արտադրական տարածք, շենք շինություններ, ժամանակակից արտադրական սարքավորումներ և տեխնիկա, ինչպես նաև հագեցնել արտադրությունը նորարարական տեխնոլոգիաներով և ծրագրային լուծումներով, ինչը հնարավորություն է ընձեռելու մի քանի անգամ ավելացնել արտադրության ծավալները, աշխատատեղերի քանակը և արտադրողականությունը։</w:t>
            </w:r>
          </w:p>
          <w:p w14:paraId="1741BD22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2. «Զբաղվածության ընդլայնում և ոլորտի միջին աշխատավարձի չափը» չափորոշիչի գնահատման համար հիմք են ընդունվել ծրագրի 2-րդ աղյուսակում ներկայացված՝ աշխատողների միջին տարեկան թվաքանակի, միջին տարեկան աշխատավարձի և եկամտային հարկի ցուցանիշները։  Ընկերության կողմից ներկայացված տեղեկատվության համաձայն՝ </w:t>
            </w:r>
          </w:p>
          <w:p w14:paraId="50017128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աշխատողների միջին տարեկան թվաքանակը կազմել է 31 հոգի, միջին տարեկան աշխատավարձը՝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017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եկամտային հարկը՝ 13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106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</w:t>
            </w:r>
          </w:p>
          <w:p w14:paraId="625EE10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- 2020թ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աշխատողների միջին տարեկան թվաքանակը կազմել է 45 հոգի (2019թ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45,1%-ով), միջին տարեկան աշխատավարձը՝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146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4%-ով), եկամտային հարկը՝ 23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076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76,0 %),</w:t>
            </w:r>
          </w:p>
          <w:p w14:paraId="6CEB86AF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աշխատողների միջին տարեկան թվաքանակը կազմել է 70 հոգի (2020թ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55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5%-ով), միջին տարեկան աշխատավարձը՝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535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1%-ով), եկամտային հարկը՝ 51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186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121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8%-ով),</w:t>
            </w:r>
          </w:p>
          <w:p w14:paraId="229AC9CF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95 հոգի (2021թ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7%-ով), միջին տարեկան աշխատավարձը՝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991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 եկամտային հարկը՝ 68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518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8%-ով),</w:t>
            </w:r>
          </w:p>
          <w:p w14:paraId="273CC2C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174 հոգի (2022թ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83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1%-ով), միջին տարեկան աշխատավարձը՝ 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529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 եկամտային հարկը՝ 147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002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114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5%-ով),</w:t>
            </w:r>
          </w:p>
          <w:p w14:paraId="6108DEB9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- 2024թ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237 հոգի (2023թ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2%-ով), միջին տարեկան աշխատավարձը՝ 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164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9%), եկամտային հարկը՝ 236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539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60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</w:t>
            </w:r>
          </w:p>
          <w:p w14:paraId="2C55534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- 2025թ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301 հոգի (2024թ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-ի համեմատ աճ՝ 27%-ով), միջին տարեկան 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աշխատավարձը՝ 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914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(2024թ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18%-ով), եկամտային հարկը՝ 355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238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(2024թ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50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1%-ով),</w:t>
            </w:r>
          </w:p>
          <w:p w14:paraId="606865C4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- 2026թ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356 հոգի (2025թ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2%-ով), միջին տարեկան աշխատավարձը՝ 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799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(2025թ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18%-ով), եկամտային հարկը՝ 495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396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(2025թ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4%-ով)։</w:t>
            </w:r>
          </w:p>
          <w:p w14:paraId="2014F908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Հաշվի առնելով այն հանգամանքը, որ ՀՀ հարկային օրենսգրքի 127-րդ հոդվածի 1-ին մասով սահմանված շահութահարկի արտոնությունը կիրառվում է գործարար ծրագրի մեկնարկման ու դրան հաջորդող հինգ հարկային տարիներից յուրաքանչյուրի համար առանձին, հետևաբար՝ վերլուծելով վերոգրյալ ցուցանիշները յուրաքանչյուր հարկային տարվա կտրվածքով առանձին-առանձին, հանգում ենք այն եզրակացության, որ  իրացման (ներառյալ արտահանումը) ծավալների սպասվող աճը պայմանավորված է և տեխնիկական վերազինման հանգամանքով, և նոր աշխատատեղերի ստեղծմամբ։ </w:t>
            </w:r>
          </w:p>
          <w:p w14:paraId="5FA25FCD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Միաժամանակ տեղեկացնում ենք, որ եկամտային հարկի ցուցանիշը ներառում է ինչպես աշխատավարձ և դրան հավասարեցված վճարումներից, այնպես էլ ֆիզիկական անձանց վճարած այլ եկամուտներից որպես հարկային գործակալ պահած եկամտային հարկի գումարները։</w:t>
            </w:r>
          </w:p>
          <w:p w14:paraId="734228A4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3. «Նորարարություն և աշխատանքի արտադրողականության բարձրացում» չափորոշիչի գնահատման առումով հարկ է նկատի ունենալ, որ.</w:t>
            </w:r>
          </w:p>
          <w:p w14:paraId="4C1E0E5E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արտադրողականությունը կազմել է 13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609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արտադրանքը՝ 421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873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աշխատողների միջին տարեկան թվաքանակը՝ 31 հոգի,</w:t>
            </w:r>
          </w:p>
          <w:p w14:paraId="381A107A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- 2020թ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արտադրողականությունը կազմել է 11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249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արտադրանքը՝ 506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աշխատողների միջին տարեկան թվաքանակը՝ 45 հոգի,</w:t>
            </w:r>
          </w:p>
          <w:p w14:paraId="5AF6FA7A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արտադրողականությունը կազմել է 13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752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արտադրանքը՝ 962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635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աշխատողների միջին տարեկան թվաքանակը՝ 70 հոգի,</w:t>
            </w:r>
          </w:p>
          <w:p w14:paraId="4FF3F23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- 2022թ. ընթացքում արտադրողականությունը գնահատված է 15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127 հազ. դրամ (2021թ.-ի համեմատ աճ՝ 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 պլանավորվում է արտադրել 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443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953 հազ. դրամի արտադրանք, իսկ աշխատողների միջին տարեկան թվաքանակը` 95 հոգի (2021թ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7%-ով), </w:t>
            </w:r>
          </w:p>
          <w:p w14:paraId="5C9FDDED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- 2023թ. ընթացքում արտադրողականությունը գնահատված է 16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640 հազ. դրամ (2022թ.-ի համեմատ աճ՝ 10%-ով), պլանավորվում է արտադրել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905 հազ. դրամի արտադրանք, իսկ աշխատողների միջին տարեկան թվաքանակը` 174 հոգի (2022թ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83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1%-ով),</w:t>
            </w:r>
          </w:p>
          <w:p w14:paraId="7C11C4E8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- 2024թ. ընթացքում արտադրողականությունը գնահատված է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304 հազ. դրամ (2023թ. համեմատ աճ՝ 10%-ով),  սակայն, արտադրողականության աճի նույն տեմպի պայմաններում պլանավորվում է արտադրել 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331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858 հազ. դրամի արտադրանք, աշխատողների միջին տարեկան թվաքանակը` 237 հոգի (2023թ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36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2%-ով),</w:t>
            </w:r>
          </w:p>
          <w:p w14:paraId="50BBE321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- 2025թ. ընթացքում արտադրողականությունը գնահատված է 20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134 հազ. դրամ (2024թ. համեմատ աճ՝ 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 պլանավորվում է արտադրել 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064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601 հազ. դրամի 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արտադրանք, իսկ աշխատողների միջին տարեկան թվաքանակը` 301 հոգի (2024թ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27%-ով),</w:t>
            </w:r>
          </w:p>
          <w:p w14:paraId="530543BA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- 2026թ. ընթացքում արտադրողականությունը գնահատված է 22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148 հազ. դրամ (2025թ.-ի համեմատ աճ՝ 10%-ով), պլանավորվում է արտադրել 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981 հազ. դրամի արտադրանք, իսկ աշխատողների միջին տարեկան թվաքանակը` 356 հոգի (2025թ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-ի համեմատ աճ՝ 18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2%-ով):</w:t>
            </w:r>
          </w:p>
          <w:p w14:paraId="0C040F24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Վերլուծելով ցուցանիշները հանգում ենք այն եզրակացության, որ արտադրողականության ցուցանիշների աճի տեմպերը պայմանավորված են ինչպես նոր աշխատատեղերի ստեղծմամբ, այնպես էլ տեխնիկական վերազինմամբ։</w:t>
            </w:r>
          </w:p>
          <w:p w14:paraId="12C58005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4. «Արտահանման ուղղվածություն» չափորոշիչի գնահատման համար հարկ է նկատի ունենալ, որ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  <w:p w14:paraId="3DCCEC2D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- 2019թ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արտադրանքը կազմել է 421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873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իրացումը՝ 421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873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արտահանումը՝ 350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181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</w:t>
            </w:r>
          </w:p>
          <w:p w14:paraId="798D4233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- 2020թ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արտադրանքը կազմել է 506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իրացումը՝ 506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209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արտահանումը՝ 439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848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</w:t>
            </w:r>
          </w:p>
          <w:p w14:paraId="3B31A62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- 2021թ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արտադրանքը կազմել է 962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635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իրացումը՝ 962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635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արտահանումը՝ 866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523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(2020թ.-ի համեմատ աճ՝ 97%-ով),</w:t>
            </w:r>
          </w:p>
          <w:p w14:paraId="7ABFD0F3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- 2022թ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նախատեսվում է՝ արտադրանք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443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953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իրացում՝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443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953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արտահանում՝ 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299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557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(2021թ.-ի համեմատ աճ՝ 49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</w:t>
            </w:r>
          </w:p>
          <w:p w14:paraId="2BBFEF9E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- 2023թ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ընթացքում նախատեսվում է՝ արտադրանք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905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905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արտահանում՝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599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115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(2022թ.-ի համեմատ աճ՝ 100%-ով), </w:t>
            </w:r>
          </w:p>
          <w:p w14:paraId="7D584541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- 2024թ. ընթացքում նախատեսվում է՝ արտադրանք 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331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858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 իրացում 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331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858 հազ. դրամ, որից արտահանում՝ 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898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672 հազ. դրամ (2023թ.-ի համեմատ աճ՝ 49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9%-ով),</w:t>
            </w:r>
          </w:p>
          <w:p w14:paraId="3E65CC0B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- 2025թ. ընթացքում նախատեսվում է՝ արտադրանք 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064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601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 6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064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601 հազ. դրամ, որից արտահանում՝ 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458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141 հազ. դրամ (2024թ.-ի համեմատ աճ՝ 130%-ով),</w:t>
            </w:r>
          </w:p>
          <w:p w14:paraId="62519E88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- 2026թ. ընթացքում նախատեսվում է՝ արտադրանք 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981 հազ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իրացում 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883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981 հազ. դրամ, որից արտահանում՝ 7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095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583 հազ. դրամ (2025թ.-ի համեմատ աճ՝ 29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9%-ով)։</w:t>
            </w:r>
          </w:p>
          <w:p w14:paraId="703BADC1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5. «Պատշաճ մարքեթինգային քաղաքականություն» չափորոշիչի գնահատման առումով նկատի է առնվել, որ ընկերության կողմից ներկայացված տվյալները թերի են (բացակայում է իրականացվող և նախատեսվող մարքեթինգային քաղաքականության իրականացման համար անհրաժեշտ ֆինանսական միջոցների վերաբերյալ տեղեկատվությունը): Բացի այդ, ըստ ներկայացված մարքեթինգային քաղաքականության` մարքեթինգային քաղաքականության հիմնական ուղղվածությունն է` արտաքին շուկան։ Սակայն, ներկայացված չեն արտաքին շուկայում իրենց կողմից արտադրվող արտադրանքի պահանջարկի ուսումնասիրության, գնի որոշման նպատակով կոնկրետ իրականացված աշխատանքների արդյունքները։ </w:t>
            </w:r>
          </w:p>
          <w:p w14:paraId="3C85C9F6" w14:textId="77777777" w:rsidR="00A0165D" w:rsidRPr="00FA7934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lastRenderedPageBreak/>
              <w:t>6. «Համաֆինանսավորման առկայություն (սեփականատիրոջ մասնակցությունը նախագծին` 50 և ավելի տոկոսով)» չափորոշիչի գնահատման առումով հիմք է ընդունվել այն հանգամանքը, որ ըստ ներկայացված ծրագրի` ներդրումների ընդհանուր ծավալի մեջ սեփական միջոցների հաշվին ներդրումները կազմում են 2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000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 (նոր արտադրական շենքի ձեռքբերում և կապիտալ վերանորոգում՝ 700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նոր արտադրական սարքավորումների և ծրագրային լուծումների ձեռք բերում՝ 800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 xml:space="preserve"> դրամ, շրջանառու կապիտալի մեջ ներդրումներ՝ 500 մլն</w:t>
            </w:r>
            <w:r w:rsidRPr="00FA7934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FA7934">
              <w:rPr>
                <w:rFonts w:ascii="GHEA Grapalat" w:eastAsia="Calibri" w:hAnsi="GHEA Grapalat"/>
                <w:lang w:val="hy-AM" w:eastAsia="en-US"/>
              </w:rPr>
              <w:t>դրամ)։ Այլ միջոցների հաշվին ներդրումներ չեն իրականացվելու։</w:t>
            </w:r>
          </w:p>
          <w:p w14:paraId="73A1BE27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FA7934">
              <w:rPr>
                <w:rFonts w:ascii="GHEA Grapalat" w:eastAsia="Calibri" w:hAnsi="GHEA Grapalat"/>
                <w:lang w:val="hy-AM" w:eastAsia="en-US"/>
              </w:rPr>
              <w:t>Ելնելով վերոգրյալից` ստորև ներկայացնում ենք «Նոր Փրոջեկտս» ՍՊԸ-ի կողմից ներկայացված գործարար ծրագրի ՀՀ կառավարության 05.10.2017թ. N1235-Ն որոշմամբ սահմանված կարգի 8-րդ կետով սահմանված չափորոշիչների գնահատականները: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08CB91" w14:textId="5164AA1E" w:rsidR="00A0165D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>Ընդունվել է</w:t>
            </w:r>
            <w:bookmarkStart w:id="1" w:name="_GoBack"/>
            <w:bookmarkEnd w:id="1"/>
            <w:r>
              <w:rPr>
                <w:rFonts w:ascii="GHEA Grapalat" w:eastAsia="Calibri" w:hAnsi="GHEA Grapalat"/>
                <w:lang w:val="hy-AM" w:eastAsia="en-US"/>
              </w:rPr>
              <w:t xml:space="preserve">։ </w:t>
            </w:r>
          </w:p>
          <w:p w14:paraId="2F7634A5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bookmarkEnd w:id="0"/>
    </w:tbl>
    <w:p w14:paraId="5F8E288F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6BB6E9A3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632DFD6F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766088D3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706E105E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4976E0F5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70A0E5C0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679AF347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3E73E6CD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7F6A118C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23302837" w14:textId="77777777" w:rsidR="00A0165D" w:rsidRDefault="00A0165D" w:rsidP="00A0165D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5"/>
        <w:gridCol w:w="2692"/>
        <w:gridCol w:w="1985"/>
      </w:tblGrid>
      <w:tr w:rsidR="00A0165D" w:rsidRPr="008658C9" w14:paraId="14B78517" w14:textId="77777777" w:rsidTr="00A93F24">
        <w:tc>
          <w:tcPr>
            <w:tcW w:w="14317" w:type="dxa"/>
            <w:gridSpan w:val="5"/>
            <w:shd w:val="clear" w:color="auto" w:fill="auto"/>
          </w:tcPr>
          <w:p w14:paraId="09837F4E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ՏԵՂԵԿԱՆՔ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br/>
              <w:t>ՀՀ կառավարության 2017 թվականի հոկտեմբերի 5-ի N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1235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-Ն որոշման պահանջներին համաձայն ծրագրի գնահատականները և 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էկոնոմիկայի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նախարարության կողմից ամփոփված միջին արդյունք</w:t>
            </w:r>
          </w:p>
        </w:tc>
      </w:tr>
      <w:tr w:rsidR="00A0165D" w:rsidRPr="00261423" w14:paraId="555172B3" w14:textId="77777777" w:rsidTr="00A93F24">
        <w:tc>
          <w:tcPr>
            <w:tcW w:w="14317" w:type="dxa"/>
            <w:gridSpan w:val="5"/>
            <w:shd w:val="clear" w:color="auto" w:fill="auto"/>
          </w:tcPr>
          <w:p w14:paraId="5F798E35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ՆՈՐ ՓՐՈՋԵԿՏՍ» ՍՊԸ</w:t>
            </w:r>
          </w:p>
        </w:tc>
      </w:tr>
      <w:tr w:rsidR="00A0165D" w:rsidRPr="00B6505A" w14:paraId="2D2D67E3" w14:textId="77777777" w:rsidTr="00A93F24">
        <w:tc>
          <w:tcPr>
            <w:tcW w:w="4253" w:type="dxa"/>
            <w:shd w:val="clear" w:color="auto" w:fill="auto"/>
            <w:vAlign w:val="center"/>
          </w:tcPr>
          <w:p w14:paraId="30AA2900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Գնահատման չափորոշիչներ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AF3B507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էկոնոմիկայի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նախարարություն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7480B8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ՀՀ ֆինանսների նախարարություն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0A7AEF02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ՀՀ ԿԱ պետական եկամուտների կոմիտե</w:t>
            </w:r>
            <w:r w:rsidRPr="00B6505A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292FE33D" w14:textId="77777777" w:rsidR="00A0165D" w:rsidRPr="00B6505A" w:rsidRDefault="00A0165D" w:rsidP="00A93F24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Ամփոփված արդյունք</w:t>
            </w:r>
          </w:p>
        </w:tc>
      </w:tr>
      <w:tr w:rsidR="00A0165D" w:rsidRPr="00B6505A" w14:paraId="2A241A38" w14:textId="77777777" w:rsidTr="00A93F24">
        <w:trPr>
          <w:trHeight w:val="367"/>
        </w:trPr>
        <w:tc>
          <w:tcPr>
            <w:tcW w:w="4253" w:type="dxa"/>
            <w:shd w:val="clear" w:color="auto" w:fill="auto"/>
            <w:vAlign w:val="center"/>
          </w:tcPr>
          <w:p w14:paraId="41F7494E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Տնտեսության վրա մուլտիպլիկատիվ ազդեցություն (7)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0702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B11D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9A1F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8961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3.3</w:t>
            </w:r>
          </w:p>
        </w:tc>
      </w:tr>
      <w:tr w:rsidR="00A0165D" w:rsidRPr="00B6505A" w14:paraId="7A56155D" w14:textId="77777777" w:rsidTr="00A93F24">
        <w:trPr>
          <w:trHeight w:val="357"/>
        </w:trPr>
        <w:tc>
          <w:tcPr>
            <w:tcW w:w="4253" w:type="dxa"/>
            <w:shd w:val="clear" w:color="auto" w:fill="auto"/>
            <w:vAlign w:val="center"/>
          </w:tcPr>
          <w:p w14:paraId="460E90DD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Զ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բաղվածության ընդլայնում և ոլորտի միջին աշխատավարձի չափը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42CE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AE7A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6FC3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65FA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4.7</w:t>
            </w:r>
          </w:p>
        </w:tc>
      </w:tr>
      <w:tr w:rsidR="00A0165D" w:rsidRPr="00B6505A" w14:paraId="1221276D" w14:textId="77777777" w:rsidTr="00A93F24">
        <w:trPr>
          <w:trHeight w:val="375"/>
        </w:trPr>
        <w:tc>
          <w:tcPr>
            <w:tcW w:w="4253" w:type="dxa"/>
            <w:shd w:val="clear" w:color="auto" w:fill="auto"/>
            <w:vAlign w:val="center"/>
          </w:tcPr>
          <w:p w14:paraId="537E8034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Ն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որարարություն և աշխատանքի արտադրողականության բարձրացում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28A0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64E1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F503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55DF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2.7</w:t>
            </w:r>
          </w:p>
        </w:tc>
      </w:tr>
      <w:tr w:rsidR="00A0165D" w:rsidRPr="00B6505A" w14:paraId="5AC69DC7" w14:textId="77777777" w:rsidTr="00A93F24">
        <w:trPr>
          <w:trHeight w:val="380"/>
        </w:trPr>
        <w:tc>
          <w:tcPr>
            <w:tcW w:w="4253" w:type="dxa"/>
            <w:shd w:val="clear" w:color="auto" w:fill="auto"/>
            <w:vAlign w:val="center"/>
          </w:tcPr>
          <w:p w14:paraId="1CF24B27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Արտահանման ուղղվածություն (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10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E6BF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DD1E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966C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94DD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8.7</w:t>
            </w:r>
          </w:p>
        </w:tc>
      </w:tr>
      <w:tr w:rsidR="00A0165D" w:rsidRPr="00B6505A" w14:paraId="79C3AF18" w14:textId="77777777" w:rsidTr="00A93F24">
        <w:trPr>
          <w:trHeight w:val="403"/>
        </w:trPr>
        <w:tc>
          <w:tcPr>
            <w:tcW w:w="4253" w:type="dxa"/>
            <w:shd w:val="clear" w:color="auto" w:fill="auto"/>
            <w:vAlign w:val="center"/>
          </w:tcPr>
          <w:p w14:paraId="109FBDAE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Պ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ատշաճ մարքեթինգային քաղաքականություն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(6)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7348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7E67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08D1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F3C5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3.0</w:t>
            </w:r>
          </w:p>
        </w:tc>
      </w:tr>
      <w:tr w:rsidR="00A0165D" w:rsidRPr="00B6505A" w14:paraId="2DD3890F" w14:textId="77777777" w:rsidTr="00A93F24">
        <w:tc>
          <w:tcPr>
            <w:tcW w:w="4253" w:type="dxa"/>
            <w:shd w:val="clear" w:color="auto" w:fill="auto"/>
            <w:vAlign w:val="center"/>
          </w:tcPr>
          <w:p w14:paraId="63212673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ամաֆինանսավորման առկայություն (սեփականատիրոջ մասնակցու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softHyphen/>
              <w:t xml:space="preserve">թյունը նախագծին` 50 և ավելի տոկոսով)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(5)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CF800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D2E5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6C30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54D7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5.0</w:t>
            </w:r>
          </w:p>
        </w:tc>
      </w:tr>
      <w:tr w:rsidR="00A0165D" w:rsidRPr="00B6505A" w14:paraId="1C1A3250" w14:textId="77777777" w:rsidTr="00A93F24">
        <w:tc>
          <w:tcPr>
            <w:tcW w:w="4253" w:type="dxa"/>
            <w:shd w:val="clear" w:color="auto" w:fill="auto"/>
          </w:tcPr>
          <w:p w14:paraId="273DCCD5" w14:textId="77777777" w:rsidR="00A0165D" w:rsidRPr="00B6505A" w:rsidRDefault="00A0165D" w:rsidP="00A93F24">
            <w:pPr>
              <w:spacing w:line="360" w:lineRule="auto"/>
              <w:jc w:val="center"/>
              <w:rPr>
                <w:sz w:val="22"/>
                <w:szCs w:val="22"/>
                <w:lang w:val="hy-AM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CCB1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5674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63CE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8A22" w14:textId="77777777" w:rsidR="00A0165D" w:rsidRDefault="00A0165D" w:rsidP="00A93F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27.3</w:t>
            </w:r>
          </w:p>
        </w:tc>
      </w:tr>
    </w:tbl>
    <w:p w14:paraId="3408F97C" w14:textId="77777777" w:rsidR="00A0165D" w:rsidRPr="00B6505A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5757DC64" w14:textId="77777777" w:rsidR="00250194" w:rsidRDefault="00250194"/>
    <w:sectPr w:rsidR="00250194" w:rsidSect="00AD0E36">
      <w:pgSz w:w="16840" w:h="11907" w:orient="landscape" w:code="9"/>
      <w:pgMar w:top="634" w:right="63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65D"/>
    <w:rsid w:val="00250194"/>
    <w:rsid w:val="008658C9"/>
    <w:rsid w:val="008B3C8F"/>
    <w:rsid w:val="00A0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0B40A"/>
  <w15:chartTrackingRefBased/>
  <w15:docId w15:val="{34A83F3E-1055-4898-85F9-F9E5CC88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016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0165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1975</Words>
  <Characters>11262</Characters>
  <Application>Microsoft Office Word</Application>
  <DocSecurity>0</DocSecurity>
  <Lines>93</Lines>
  <Paragraphs>26</Paragraphs>
  <ScaleCrop>false</ScaleCrop>
  <Company/>
  <LinksUpToDate>false</LinksUpToDate>
  <CharactersWithSpaces>13211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2021-11-30T07:37:00Z</dcterms:created>
  <dcterms:modified xsi:type="dcterms:W3CDTF">2021-12-02T07:10:00Z</dcterms:modified>
</cp:coreProperties>
</file>