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C42D19" w14:textId="77777777" w:rsidR="004E1D50" w:rsidRDefault="00FE451F">
      <w:pPr>
        <w:spacing w:after="0"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ՀԻՄՆԱՎՈՐՈՒՄ</w:t>
      </w:r>
    </w:p>
    <w:p w14:paraId="4D02DEF7" w14:textId="77777777" w:rsidR="004E1D50" w:rsidRDefault="004E1D50">
      <w:pPr>
        <w:spacing w:after="0" w:line="360" w:lineRule="auto"/>
        <w:jc w:val="center"/>
        <w:rPr>
          <w:rFonts w:ascii="GHEA Grapalat" w:eastAsia="GHEA Grapalat" w:hAnsi="GHEA Grapalat" w:cs="GHEA Grapalat"/>
          <w:b/>
          <w:sz w:val="24"/>
          <w:szCs w:val="24"/>
        </w:rPr>
      </w:pPr>
    </w:p>
    <w:p w14:paraId="02307D21" w14:textId="77777777" w:rsidR="004E1D50" w:rsidRDefault="00FE451F">
      <w:pPr>
        <w:spacing w:after="0"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«ՀԱՅԱՍՏԱՆԻ ՀԱՆՐԱՊԵՏՈՒԹՅԱՆ ՔՐԵԱԿԱՆ ԴԱՏԱՎԱՐՈՒԹՅԱՆ ՕՐԵՆՍԳՐՔՈՒՄ ՓՈՓՈԽՈՒԹՅՈՒՆՆԵՐ ԵՎ ԼՐԱՑՈՒՄ ԿԱՏԱՐԵԼՈՒ ՄԱՍԻՆ», «ՀԱՅԱՍՏԱՆԻ ՀԱՆՐԱՊԵՏՈՒԹՅԱՆ ՔՐԵԱԿԱՆ ԴԱՏԱՎԱՐՈՒԹՅԱՆ ՕՐԵՆՍԳՐՔՈՒՄ ՓՈՓՈԽՈՒԹՅՈՒՆ ԿԱՏԱՐԵԼՈՒ ՄԱՍԻՆ» ՕՐԵՆՔՆԵՐԻ ՆԱԽԱԳԾԵՐԻ ԸՆԴՈՒՆՄԱՆ</w:t>
      </w:r>
    </w:p>
    <w:p w14:paraId="193D14D6" w14:textId="77777777" w:rsidR="00D85166" w:rsidRDefault="00D85166" w:rsidP="00D85166">
      <w:pPr>
        <w:spacing w:after="0" w:line="360" w:lineRule="auto"/>
        <w:jc w:val="both"/>
        <w:rPr>
          <w:rFonts w:ascii="GHEA Grapalat" w:eastAsia="GHEA Grapalat" w:hAnsi="GHEA Grapalat" w:cs="GHEA Grapalat"/>
          <w:b/>
          <w:sz w:val="24"/>
          <w:szCs w:val="24"/>
        </w:rPr>
      </w:pPr>
    </w:p>
    <w:p w14:paraId="575511E9" w14:textId="77777777" w:rsidR="004E1D50" w:rsidRDefault="00D85166" w:rsidP="00D85166">
      <w:pPr>
        <w:spacing w:after="0" w:line="360" w:lineRule="auto"/>
        <w:ind w:firstLine="568"/>
        <w:jc w:val="both"/>
        <w:rPr>
          <w:rFonts w:ascii="GHEA Grapalat" w:eastAsia="GHEA Grapalat" w:hAnsi="GHEA Grapalat" w:cs="GHEA Grapalat"/>
          <w:b/>
          <w:sz w:val="24"/>
          <w:szCs w:val="24"/>
        </w:rPr>
      </w:pPr>
      <w:r w:rsidRPr="004B7596">
        <w:rPr>
          <w:rFonts w:ascii="GHEA Grapalat" w:eastAsia="GHEA Grapalat" w:hAnsi="GHEA Grapalat" w:cs="GHEA Grapalat"/>
          <w:b/>
          <w:sz w:val="24"/>
          <w:szCs w:val="24"/>
        </w:rPr>
        <w:t>Ի</w:t>
      </w:r>
      <w:r w:rsidRPr="00D85166">
        <w:rPr>
          <w:rFonts w:ascii="GHEA Grapalat" w:eastAsia="GHEA Grapalat" w:hAnsi="GHEA Grapalat" w:cs="GHEA Grapalat"/>
          <w:b/>
          <w:sz w:val="24"/>
          <w:szCs w:val="24"/>
        </w:rPr>
        <w:t>րավական ակտերի ընդունման անհրաժեշտությունը.</w:t>
      </w:r>
    </w:p>
    <w:p w14:paraId="759D0304" w14:textId="77777777" w:rsidR="00D85166" w:rsidRPr="00D85166" w:rsidRDefault="00D85166" w:rsidP="00D85166">
      <w:pPr>
        <w:spacing w:after="0" w:line="360" w:lineRule="auto"/>
        <w:ind w:firstLine="568"/>
        <w:jc w:val="both"/>
        <w:rPr>
          <w:rFonts w:ascii="GHEA Grapalat" w:eastAsia="GHEA Grapalat" w:hAnsi="GHEA Grapalat" w:cs="GHEA Grapalat"/>
          <w:sz w:val="24"/>
          <w:szCs w:val="24"/>
        </w:rPr>
      </w:pPr>
      <w:r w:rsidRPr="00D85166">
        <w:rPr>
          <w:rFonts w:ascii="GHEA Grapalat" w:eastAsia="GHEA Grapalat" w:hAnsi="GHEA Grapalat" w:cs="GHEA Grapalat"/>
          <w:sz w:val="24"/>
          <w:szCs w:val="24"/>
        </w:rPr>
        <w:t xml:space="preserve">Սույն իրավական ակտերի ընդունումը պայմանավորված է Հայաստանի Հանրապետության քրեական օրենսգրքի (այսուհետ նաև՝ ՔՕ) 309.1-ին հոդվածով նախատեսված խոշտանգման հանցակազմով, ինչպես նաև քրեական օրենսգրքի 341-րդ հոդվածի (դատավորի, դատախազի, քննիչի կամ հետաքննության մարմնի կողմից ցուցմունք կամ բացատրություն կամ կեղծ եզրակացություն տալուն կամ սխալ թարգմանություն կատարելուն հարկադրելը) 2-րդ մասով նախատեսված հանցակազմով, այն է՝ դատավորի, դատախազի, քննիչի կամ հետաքննության մարմնի կողմից բռնություն կամ սպառնալիք գործադրելու կամ այլ ապօրինի գործողություններով՝ դատավարությանը մասնակցող անձանց ցուցմունք կամ բացատրություն կամ փորձագետին կեղծ եզրակացություն տալուն, ինչպես նաև թարգմանչին սխալ թարգմանություն կատարելուն հարկադրելը, որը զուգորդվել է խոշտանգմամբ, և խոշտանգմամբ զուգորդված լինելու դեպքում՝ 341-րդ հոդվածի 3-րդ մասով նախատեսված հանցակազմով (նույն արարքը, որը կատարվել է երկու կամ ավելի անձանց նկատմամբ, անչափահասի կամ հանցավորից նյութական կամ այլ կախվածություն ունեցող անձի նկատմամբ, ակնհայտ հղի կնոջ նկատմամբ, մի խումբ անձանց կամ կազմակերպված խմբի կողմից, առանձին դաժանությամբ, </w:t>
      </w:r>
      <w:r w:rsidRPr="00D85166">
        <w:rPr>
          <w:rFonts w:ascii="GHEA Grapalat" w:eastAsia="GHEA Grapalat" w:hAnsi="GHEA Grapalat" w:cs="GHEA Grapalat"/>
          <w:sz w:val="24"/>
          <w:szCs w:val="24"/>
        </w:rPr>
        <w:lastRenderedPageBreak/>
        <w:t>անձի կամ նրա մերձավորի նկատմամբ՝ կապված այդ անձի կողմից իր ծառայողական գործունեության կամ հասարակական պարտքի կատարման հետ, անզգուշությամբ առաջացրել է ծանր հետևանքներ</w:t>
      </w:r>
      <w:r>
        <w:rPr>
          <w:rFonts w:ascii="GHEA Grapalat" w:eastAsia="GHEA Grapalat" w:hAnsi="GHEA Grapalat" w:cs="GHEA Grapalat"/>
          <w:sz w:val="24"/>
          <w:szCs w:val="24"/>
        </w:rPr>
        <w:t xml:space="preserve">) </w:t>
      </w:r>
      <w:r w:rsidRPr="00D85166">
        <w:rPr>
          <w:rFonts w:ascii="GHEA Grapalat" w:eastAsia="GHEA Grapalat" w:hAnsi="GHEA Grapalat" w:cs="GHEA Grapalat"/>
          <w:sz w:val="24"/>
          <w:szCs w:val="24"/>
        </w:rPr>
        <w:t>քրեական գործերի քննության ենթակայության հարցը հստակեցնելու և նշված հանցակազմերի քննության վերաբերյալ առկա միջազգային չափանիշներին ներպետական կարգավորումների համապատասխանությունը ապահովելու, ինչպես նաև որոշ հանցակազմերի, մասնավորապես՝ ընտրական իրավունքի իրականացմանը, ընտրական հանձնաժողովների աշխատանքներին կամ ընտրությանը մասնակցող անձանց լիազորությունների իրականացմանը խոչընդոտելը (ՔՕ հոդված 149), ընտրությունների կամ քվեարկության արդյունքները կեղծելը (ՔՕ հոդված 150), կեղծ ընտրական քվեաթերթիկներ կամ քվեարկության ծրարներ, դրոշմանիշեր, կտրոններ պատրաստելը կամ ակնհայտ կեղծ ընտրական քվեաթերթիկներ կամ քվեարկության ծրարներ, դրոշմանիշեր, կտրոններ հանձնելը կամ իրացնելը (ՔՕ հոդված 154.1) քննչական ենթակայությունը փոխելու անհրաժեշտությամբ:</w:t>
      </w:r>
    </w:p>
    <w:p w14:paraId="23899575" w14:textId="77777777" w:rsidR="00FF6A30" w:rsidRDefault="00FF6A30">
      <w:pPr>
        <w:spacing w:after="0" w:line="360" w:lineRule="auto"/>
        <w:ind w:firstLine="567"/>
        <w:jc w:val="both"/>
        <w:rPr>
          <w:rFonts w:ascii="GHEA Grapalat" w:eastAsia="GHEA Grapalat" w:hAnsi="GHEA Grapalat" w:cs="GHEA Grapalat"/>
          <w:b/>
          <w:sz w:val="24"/>
          <w:szCs w:val="24"/>
        </w:rPr>
      </w:pPr>
    </w:p>
    <w:p w14:paraId="70377DA5" w14:textId="77777777" w:rsidR="00D85166" w:rsidRPr="004B7596" w:rsidRDefault="00D85166">
      <w:pPr>
        <w:spacing w:after="0" w:line="360" w:lineRule="auto"/>
        <w:ind w:firstLine="567"/>
        <w:jc w:val="both"/>
        <w:rPr>
          <w:rFonts w:ascii="GHEA Grapalat" w:eastAsia="GHEA Grapalat" w:hAnsi="GHEA Grapalat" w:cs="GHEA Grapalat"/>
          <w:b/>
          <w:sz w:val="24"/>
          <w:szCs w:val="24"/>
        </w:rPr>
      </w:pPr>
      <w:r w:rsidRPr="00D85166">
        <w:rPr>
          <w:rFonts w:ascii="GHEA Grapalat" w:eastAsia="GHEA Grapalat" w:hAnsi="GHEA Grapalat" w:cs="GHEA Grapalat"/>
          <w:b/>
          <w:sz w:val="24"/>
          <w:szCs w:val="24"/>
        </w:rPr>
        <w:t>Ընթացիկ իրավիճակը և խնդիրները.</w:t>
      </w:r>
    </w:p>
    <w:p w14:paraId="1BDC2279" w14:textId="77777777" w:rsidR="004E1D50" w:rsidRDefault="00FE451F">
      <w:pPr>
        <w:spacing w:after="0" w:line="360" w:lineRule="auto"/>
        <w:ind w:firstLine="567"/>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D0D0D"/>
          <w:sz w:val="24"/>
          <w:szCs w:val="24"/>
        </w:rPr>
        <w:t>Հայաստանի Հանրապետության քրեական դատավարության գործող օրենսգրքի 190-րդ հոդվածը սահմանում է քննչական ենթակայության կանոնները, որի 3-րդ մասի համաձայն՝ «Ն</w:t>
      </w:r>
      <w:r>
        <w:rPr>
          <w:rFonts w:ascii="GHEA Grapalat" w:eastAsia="GHEA Grapalat" w:hAnsi="GHEA Grapalat" w:cs="GHEA Grapalat"/>
          <w:color w:val="000000"/>
          <w:sz w:val="24"/>
          <w:szCs w:val="24"/>
          <w:highlight w:val="white"/>
        </w:rPr>
        <w:t xml:space="preserve">ախաքննությունը Հայաստանի Հանրապետության բարձրաստիճան պաշտոնատար անձանց կատարած հանցագործությունների, պետական ծառայություն իրականացնող անձանց` իրենց պաշտոնեական դիրքի հետ կապված սույն հոդվածի 5.1-ին մասով չնախատեսված հանցագործությունների, ինչպես նաև Հայաստանի Հանրապետության քրեական օրենսգրքի 149, 150, 154.1, 189.1 (բացառությամբ 189.1-ին հոդվածի 2-րդ մասի 3-րդ կետի), 217, 217.1 , 219-221, 224, 226, 226.1, 233, 234, 250, 299, 302-307, 329, 329.1, 330, 384-397.1 </w:t>
      </w:r>
      <w:r>
        <w:rPr>
          <w:rFonts w:ascii="GHEA Grapalat" w:eastAsia="GHEA Grapalat" w:hAnsi="GHEA Grapalat" w:cs="GHEA Grapalat"/>
          <w:color w:val="000000"/>
          <w:sz w:val="24"/>
          <w:szCs w:val="24"/>
          <w:highlight w:val="white"/>
        </w:rPr>
        <w:lastRenderedPageBreak/>
        <w:t>հոդվածներով նախատեսված հանցագործությունների վերաբերյալ գործերով կատարում են ազգային անվտանգության մարմինների քննիչները:»:</w:t>
      </w:r>
    </w:p>
    <w:p w14:paraId="6723356D" w14:textId="77777777" w:rsidR="004E1D50" w:rsidRDefault="00FE451F">
      <w:pPr>
        <w:spacing w:after="0" w:line="360" w:lineRule="auto"/>
        <w:ind w:firstLine="567"/>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 xml:space="preserve">Համանման կարգավորում է նախատեսում նաև Հայաստանի Հանրապետության քրեական դատավարության նոր օրենսգիրքը </w:t>
      </w:r>
      <w:r>
        <w:rPr>
          <w:rFonts w:ascii="GHEA Grapalat" w:eastAsia="GHEA Grapalat" w:hAnsi="GHEA Grapalat" w:cs="GHEA Grapalat"/>
          <w:color w:val="0D0D0D"/>
          <w:sz w:val="24"/>
          <w:szCs w:val="24"/>
        </w:rPr>
        <w:t>(</w:t>
      </w:r>
      <w:r>
        <w:rPr>
          <w:rFonts w:ascii="GHEA Grapalat" w:eastAsia="GHEA Grapalat" w:hAnsi="GHEA Grapalat" w:cs="GHEA Grapalat"/>
          <w:color w:val="000000"/>
          <w:sz w:val="24"/>
          <w:szCs w:val="24"/>
          <w:highlight w:val="white"/>
        </w:rPr>
        <w:t>ուժի մեջ է մտնելու 2022 թվականի հուլիսի 1-ին</w:t>
      </w:r>
      <w:r>
        <w:rPr>
          <w:rFonts w:ascii="GHEA Grapalat" w:eastAsia="GHEA Grapalat" w:hAnsi="GHEA Grapalat" w:cs="GHEA Grapalat"/>
          <w:color w:val="0D0D0D"/>
          <w:sz w:val="24"/>
          <w:szCs w:val="24"/>
        </w:rPr>
        <w:t>)</w:t>
      </w:r>
      <w:r>
        <w:rPr>
          <w:rFonts w:ascii="GHEA Grapalat" w:eastAsia="GHEA Grapalat" w:hAnsi="GHEA Grapalat" w:cs="GHEA Grapalat"/>
          <w:color w:val="000000"/>
          <w:sz w:val="24"/>
          <w:szCs w:val="24"/>
          <w:highlight w:val="white"/>
        </w:rPr>
        <w:t>:</w:t>
      </w:r>
    </w:p>
    <w:p w14:paraId="4CC57CA6" w14:textId="77777777" w:rsidR="004E1D50" w:rsidRDefault="00FE451F">
      <w:pPr>
        <w:spacing w:after="0" w:line="360" w:lineRule="auto"/>
        <w:ind w:firstLine="567"/>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Առկա կարգավորումների պայմաններում ՀՀ քրեական օրենսգրքի 309.1-ին հոդվածով նախատեսված՝ խոշտանգման վերաբերյալ քրեական գործերով քննությունն իրականացվում է ՀՀ ազգային անվտանգության ծառայության քննչական դեպարտամենտի կողմից:</w:t>
      </w:r>
    </w:p>
    <w:p w14:paraId="4F4BD547" w14:textId="77777777" w:rsidR="004E1D50" w:rsidRDefault="00FE451F">
      <w:pPr>
        <w:spacing w:after="0" w:line="360" w:lineRule="auto"/>
        <w:ind w:firstLine="567"/>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Այս համատեքստում հարկ է անդրադառնալ խոշտանգումների դեպքերով քննություն իրականացնող պատշաճ մարմնի վերաբերյալ ներպետական և միջազգային չափանիշներին, որոնք հանգում են հետևյալին.</w:t>
      </w:r>
    </w:p>
    <w:p w14:paraId="2B41F0FE" w14:textId="77777777" w:rsidR="004E1D50" w:rsidRDefault="00FE451F">
      <w:pPr>
        <w:spacing w:after="0" w:line="360" w:lineRule="auto"/>
        <w:ind w:firstLine="567"/>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 xml:space="preserve">ՀՀ Սահմանադրության 26-րդ հոդվածի 1-ին մասի համաձայն՝ </w:t>
      </w:r>
      <w:r>
        <w:rPr>
          <w:rFonts w:ascii="GHEA Grapalat" w:eastAsia="GHEA Grapalat" w:hAnsi="GHEA Grapalat" w:cs="GHEA Grapalat"/>
          <w:i/>
          <w:color w:val="000000"/>
          <w:sz w:val="24"/>
          <w:szCs w:val="24"/>
          <w:highlight w:val="white"/>
        </w:rPr>
        <w:t>«Ոչ ոք չի կարող ենթարկվել խոշտանգման, անմարդկային կամ նվաստացնող վերաբերմունքի կամ պատժի:»:</w:t>
      </w:r>
    </w:p>
    <w:p w14:paraId="1BC6FED7" w14:textId="77777777" w:rsidR="004E1D50" w:rsidRDefault="00FE451F">
      <w:pPr>
        <w:spacing w:after="0" w:line="360" w:lineRule="auto"/>
        <w:ind w:firstLine="567"/>
        <w:jc w:val="both"/>
        <w:rPr>
          <w:rFonts w:ascii="GHEA Grapalat" w:eastAsia="GHEA Grapalat" w:hAnsi="GHEA Grapalat" w:cs="GHEA Grapalat"/>
          <w:i/>
          <w:color w:val="000000"/>
          <w:sz w:val="24"/>
          <w:szCs w:val="24"/>
          <w:highlight w:val="white"/>
        </w:rPr>
      </w:pPr>
      <w:r>
        <w:rPr>
          <w:rFonts w:ascii="GHEA Grapalat" w:eastAsia="GHEA Grapalat" w:hAnsi="GHEA Grapalat" w:cs="GHEA Grapalat"/>
          <w:color w:val="000000"/>
          <w:sz w:val="24"/>
          <w:szCs w:val="24"/>
          <w:highlight w:val="white"/>
        </w:rPr>
        <w:t xml:space="preserve">«Մարդու իրավունքների և հիմնարար ազատությունների պաշտպանության մասին» եվրոպական կոնվենցիայի (այսուհետ՝ Կոնվենցիա) 3-րդ հոդվածի համաձայն՝ </w:t>
      </w:r>
      <w:r>
        <w:rPr>
          <w:rFonts w:ascii="GHEA Grapalat" w:eastAsia="GHEA Grapalat" w:hAnsi="GHEA Grapalat" w:cs="GHEA Grapalat"/>
          <w:i/>
          <w:color w:val="000000"/>
          <w:sz w:val="24"/>
          <w:szCs w:val="24"/>
          <w:highlight w:val="white"/>
        </w:rPr>
        <w:t>«Ոչ ոք չպետք է ենթարկվի խոշտանգումների կամ անմարդկային կամ նվաստացնող վերաբերմունքի կամ պատժի»։</w:t>
      </w:r>
      <w:r>
        <w:rPr>
          <w:rFonts w:ascii="Arial" w:eastAsia="Arial" w:hAnsi="Arial" w:cs="Arial"/>
          <w:i/>
          <w:color w:val="000000"/>
          <w:sz w:val="24"/>
          <w:szCs w:val="24"/>
          <w:highlight w:val="white"/>
        </w:rPr>
        <w:t> </w:t>
      </w:r>
    </w:p>
    <w:p w14:paraId="3C2B4B48" w14:textId="77777777" w:rsidR="004E1D50" w:rsidRDefault="00FE451F">
      <w:pPr>
        <w:spacing w:after="0" w:line="360" w:lineRule="auto"/>
        <w:ind w:firstLine="567"/>
        <w:jc w:val="both"/>
        <w:rPr>
          <w:rFonts w:ascii="GHEA Grapalat" w:eastAsia="GHEA Grapalat" w:hAnsi="GHEA Grapalat" w:cs="GHEA Grapalat"/>
          <w:i/>
          <w:color w:val="000000"/>
          <w:sz w:val="24"/>
          <w:szCs w:val="24"/>
          <w:highlight w:val="white"/>
        </w:rPr>
      </w:pPr>
      <w:r>
        <w:rPr>
          <w:rFonts w:ascii="GHEA Grapalat" w:eastAsia="GHEA Grapalat" w:hAnsi="GHEA Grapalat" w:cs="GHEA Grapalat"/>
          <w:color w:val="000000"/>
          <w:sz w:val="24"/>
          <w:szCs w:val="24"/>
          <w:highlight w:val="white"/>
        </w:rPr>
        <w:t xml:space="preserve">«Խոշտանգումների և այլ դաժան, անմարդկային կամ արժանապատվությունը նվաստացնող վերաբերմունքի կամ պատժի դեմ» ՄԱԿ-ի կոնվենցիայի 12-րդ հոդվածի համաձայն՝ </w:t>
      </w:r>
      <w:r>
        <w:rPr>
          <w:rFonts w:ascii="GHEA Grapalat" w:eastAsia="GHEA Grapalat" w:hAnsi="GHEA Grapalat" w:cs="GHEA Grapalat"/>
          <w:i/>
          <w:color w:val="000000"/>
          <w:sz w:val="24"/>
          <w:szCs w:val="24"/>
          <w:highlight w:val="white"/>
        </w:rPr>
        <w:t>«Յուրաքանչյուր մասնակից պետություն ապահովում է, որպեսզի իր իրավասու մարմիններն անհապաղ և անաչառ հետաքննություն անցկացնեն, երբ առկա է բավարար հիմք ենթադրելու, որ խոշտանգումը կիրառվել է իր իրավազորության ներքո գտնվող ցանկացած տարածքում:»:</w:t>
      </w:r>
    </w:p>
    <w:p w14:paraId="63F3E671" w14:textId="77777777" w:rsidR="004E1D50" w:rsidRDefault="00FE451F">
      <w:pPr>
        <w:spacing w:after="0" w:line="360" w:lineRule="auto"/>
        <w:ind w:firstLine="567"/>
        <w:jc w:val="both"/>
        <w:rPr>
          <w:rFonts w:ascii="GHEA Grapalat" w:eastAsia="GHEA Grapalat" w:hAnsi="GHEA Grapalat" w:cs="GHEA Grapalat"/>
          <w:i/>
          <w:color w:val="000000"/>
          <w:sz w:val="24"/>
          <w:szCs w:val="24"/>
          <w:highlight w:val="white"/>
        </w:rPr>
      </w:pPr>
      <w:r>
        <w:rPr>
          <w:rFonts w:ascii="GHEA Grapalat" w:eastAsia="GHEA Grapalat" w:hAnsi="GHEA Grapalat" w:cs="GHEA Grapalat"/>
          <w:color w:val="000000"/>
          <w:sz w:val="24"/>
          <w:szCs w:val="24"/>
          <w:highlight w:val="white"/>
        </w:rPr>
        <w:lastRenderedPageBreak/>
        <w:t>Նույն կոնվենցիայի 13-րդ հոդվածի համաձայն</w:t>
      </w:r>
      <w:r>
        <w:rPr>
          <w:rFonts w:ascii="GHEA Grapalat" w:eastAsia="GHEA Grapalat" w:hAnsi="GHEA Grapalat" w:cs="GHEA Grapalat"/>
          <w:i/>
          <w:color w:val="000000"/>
          <w:sz w:val="24"/>
          <w:szCs w:val="24"/>
          <w:highlight w:val="white"/>
        </w:rPr>
        <w:t>՝ «Յուրաքանչյուր մասնակից պետություն ապահովում է, որ ցանկացած անձ, ով պնդում է, թե ինքն այդ պետության իրավազորության ներքո գտնվող ցանկացած տարածքում ենթարկվել է խոշտանգումների, ունենա տվյալ պետության իրավասու մարմիններին բողոք ներկայացնելու և նրանց կողմից իր գործի անհապաղ ու անաչառ քննության իրավունք։ Ձեռնարկվում են միջոցներ՝ ապահովելու համար հայցվորի և վկաների պաշտպանությունն ընդդեմ վատ վերաբերմունքի կամ ահաբեկման՝ որպես նրա բողոքի կամ վկայության հետևանքի։»:</w:t>
      </w:r>
    </w:p>
    <w:p w14:paraId="1EDC5C5D" w14:textId="77777777" w:rsidR="004E1D50" w:rsidRDefault="00FE451F">
      <w:pPr>
        <w:spacing w:after="0" w:line="360" w:lineRule="auto"/>
        <w:ind w:firstLine="567"/>
        <w:jc w:val="both"/>
        <w:rPr>
          <w:rFonts w:ascii="GHEA Grapalat" w:eastAsia="GHEA Grapalat" w:hAnsi="GHEA Grapalat" w:cs="GHEA Grapalat"/>
          <w:i/>
          <w:sz w:val="24"/>
          <w:szCs w:val="24"/>
          <w:highlight w:val="white"/>
        </w:rPr>
      </w:pPr>
      <w:r>
        <w:rPr>
          <w:rFonts w:ascii="GHEA Grapalat" w:eastAsia="GHEA Grapalat" w:hAnsi="GHEA Grapalat" w:cs="GHEA Grapalat"/>
          <w:sz w:val="24"/>
          <w:szCs w:val="24"/>
          <w:highlight w:val="white"/>
        </w:rPr>
        <w:t xml:space="preserve">ՀՀ քրեական դատավարության օրենսգրքի 11-րդ հոդվածի 7-րդ մասի համաձայն` </w:t>
      </w:r>
      <w:r>
        <w:rPr>
          <w:rFonts w:ascii="GHEA Grapalat" w:eastAsia="GHEA Grapalat" w:hAnsi="GHEA Grapalat" w:cs="GHEA Grapalat"/>
          <w:i/>
          <w:sz w:val="24"/>
          <w:szCs w:val="24"/>
          <w:highlight w:val="white"/>
        </w:rPr>
        <w:t>«Քրեական դատավարության ընթացքում ոչ ոք չպետք է ենթարկվի խոշտանգումների, անօրինական ֆիզիկական կամ հոգեկան բռնության, այդ թվում` բժշկական դեղամիջոցների օգտագործմամբ, սովի, ուժասպառման, հիպնոսի, բժշկական օգնությունից զրկվելու, ինչպես նաև այլ դաժան վերաբերմունքի (…)»։</w:t>
      </w:r>
    </w:p>
    <w:p w14:paraId="06D01110" w14:textId="77777777" w:rsidR="004E1D50" w:rsidRDefault="00FE451F">
      <w:pPr>
        <w:spacing w:after="0" w:line="360" w:lineRule="auto"/>
        <w:ind w:firstLine="567"/>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Հայաստանի վերաբերյալ մի շարք վճիռներում (օրինակ՝ «Վիրաբյանն ընդդեմ Հայաստանի» գործով 2012 թվականի հոկտեմբերի 2-ի վճիռ, «Նալբանդյանն ընդդեմ Հայաստանի» գործով 2015 թվականի մարտի 31-ի վճիռ) Մարդու իրավունքների եվրոպական դատարանը ճանաչել է Կոնվենցիայի 3-րդ հոդվածի խախտում՝ ըստ այդմ պարտավորեցնելով ՀՀ իշխանություններին գործուն քայլեր ձեռնարկել խոշտանգումների դեմ պայքարի արդյունավետությունը բարձրացնելու ուղղությամբ:</w:t>
      </w:r>
    </w:p>
    <w:p w14:paraId="772B4BE8" w14:textId="77777777" w:rsidR="004E1D50" w:rsidRDefault="00FE451F">
      <w:pPr>
        <w:spacing w:after="0"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ՄԱԿ-ի Խոշտանգումների դեմ կոմիտեի՝ Հայաստանի Հանրապետության 4-րդ պարբերական զեկույցի վերաբերյալ ամփոփիչ դիտարկումների 10-րդ կետի «ե» ենթակետի համաձայն՝ պետությունը միջազգային չափանիշներին համապատասխան պետք է ձեռնարկի արդյունավետ միջոցներ ազատությունից զրկված բոլոր անձանց՝ ազատությունից զրկելու սկզբնական պահից </w:t>
      </w:r>
      <w:r>
        <w:rPr>
          <w:rFonts w:ascii="GHEA Grapalat" w:eastAsia="GHEA Grapalat" w:hAnsi="GHEA Grapalat" w:cs="GHEA Grapalat"/>
          <w:sz w:val="24"/>
          <w:szCs w:val="24"/>
        </w:rPr>
        <w:lastRenderedPageBreak/>
        <w:t>խոշտանգումների կանխարգելմանն ուղղված բոլոր հիմնարար իրավական երաշխիքներից գործնականում օգտվելու հնարավորությունն ապահովելու ուղղությամբ:</w:t>
      </w:r>
    </w:p>
    <w:p w14:paraId="530BECDB" w14:textId="77777777" w:rsidR="004E1D50" w:rsidRDefault="00FE451F">
      <w:pPr>
        <w:spacing w:after="0" w:line="360" w:lineRule="auto"/>
        <w:ind w:firstLine="567"/>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Միևնույն ժամանակ, Խոշտանգումների դեմ կոմիտեն իր եզրափակիչ դիտարկումներում հայտնել է, որ Հայաստանում խոշտանգման և վատ վերաբերմունքի ենթարկվելու դեպքերի քննության արդյունավետությունը բարձրացնելու համար անհրաժեշտ է`</w:t>
      </w:r>
    </w:p>
    <w:p w14:paraId="0B8A64DB" w14:textId="77777777" w:rsidR="004E1D50" w:rsidRDefault="00FE451F">
      <w:pPr>
        <w:spacing w:after="0" w:line="360" w:lineRule="auto"/>
        <w:ind w:firstLine="567"/>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w:t>
      </w:r>
    </w:p>
    <w:p w14:paraId="574BCA1F" w14:textId="77777777" w:rsidR="004E1D50" w:rsidRDefault="00FE451F">
      <w:pPr>
        <w:spacing w:after="0" w:line="360" w:lineRule="auto"/>
        <w:ind w:firstLine="567"/>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դ) ամրապնդել Հատուկ քննչական ծառայության քննչական կարողություններն ու անկախությունը` ապահովելու համար, որ անհապաղ իրեն տրամադրվեն խոշտանգումների և վատ վերաբերմունքի վերաբերյալ բոլոր բողոքները, ներառյալ ազատությունից զրկված անձանց նման պնդումները, և որ բոլոր պնդումները խոշտանգումների և վատ վերաբերմունքի վերաբերյալ օպերատիվ, անաչառ, մանրակրկիտ և արդյունավետ քննվեն, իսկ դրանց կատարման մեջ կասկածվողները պատշաճ կերպով ներկայացվեն դատարան, և նրանց մեղավորությունը հաստատվելու դեպքում պատժվեն իրենց գործողությունների ծանրությանը համաչափ ձևով, և որ Հատուկ քննչական ծառայությունը հրապարակավ տեղեկություններ հաղորդի ոչ միայն հարուցված քրեական գործերի, այլև հետապնդման արդյունքի մասին (…)»:</w:t>
      </w:r>
    </w:p>
    <w:p w14:paraId="1195F9AE" w14:textId="77777777" w:rsidR="004E1D50" w:rsidRDefault="00FE451F">
      <w:pPr>
        <w:spacing w:after="0" w:line="360" w:lineRule="auto"/>
        <w:ind w:firstLine="567"/>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 xml:space="preserve">Վճռաբեկ դատարանն իր նախադեպային որոշումներում մշտապես ընդգծել է Կոնվենցիայի 3-րդ հոդվածով նախատեսված՝ խոշտանգումների, անմարդկային կամ նվաստացնող վերաբերմունքի կամ պատժի արգելքի բացարձակ բնույթը։ Միաժամանակ, Մարդու իրավունքների եվրոպական դատարանի ձևավորած մոտեցումների լույսի ներքո, Վճռաբեկ դատարանն արձանագրել է, որ խոշտանգումների արգելքի բացարձակ բնույթը ենթադրում է ոչ միայն </w:t>
      </w:r>
      <w:r>
        <w:rPr>
          <w:rFonts w:ascii="GHEA Grapalat" w:eastAsia="GHEA Grapalat" w:hAnsi="GHEA Grapalat" w:cs="GHEA Grapalat"/>
          <w:sz w:val="24"/>
          <w:szCs w:val="24"/>
          <w:highlight w:val="white"/>
        </w:rPr>
        <w:lastRenderedPageBreak/>
        <w:t>խոշտանգումների, անմարդկային կամ նվաստացնող վերաբերմունքի կամ պատժի կիրառումից ձեռնպահ մնալու, այլ նաև որոշակի պոզիտիվ գործողություններ կատարելու պետության պարտականությունը։ Մասնավորապես, արձանագրվել է, որ խոշտանգման կամ վատ վերաբերմունքի ենթարկվելու «վիճելի բողոքի» կամ «վստահելի հայտարարության» կամ այլ բավարար չափով որոշակի նշանների  առկայության դեպքում ծագում է պետության պոզիտիվ պարտականությունը՝ կատարելու քննություն, որի արդյունավետությունն ապահովելու համար այն պետք է համապատասխանի որոշակի չափանիշների։</w:t>
      </w:r>
    </w:p>
    <w:p w14:paraId="419849B3" w14:textId="77777777" w:rsidR="004E1D50" w:rsidRDefault="00FE451F">
      <w:pPr>
        <w:spacing w:after="0" w:line="360" w:lineRule="auto"/>
        <w:ind w:firstLine="567"/>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 xml:space="preserve">Մեկ այլ որոշմամբ Վճռաբեկ դատարանն արձանագրել է, որ խոշտանգումների վերաբերյալ գործերով արդյունավետ քննություն կատարելու չափանիշներից է </w:t>
      </w:r>
      <w:r>
        <w:rPr>
          <w:rFonts w:ascii="GHEA Grapalat" w:eastAsia="GHEA Grapalat" w:hAnsi="GHEA Grapalat" w:cs="GHEA Grapalat"/>
          <w:b/>
          <w:sz w:val="24"/>
          <w:szCs w:val="24"/>
          <w:highlight w:val="white"/>
        </w:rPr>
        <w:t>քննություն իրականացնող մարմինների անկախությունը և անաչառությունը</w:t>
      </w:r>
      <w:r>
        <w:rPr>
          <w:rFonts w:ascii="GHEA Grapalat" w:eastAsia="GHEA Grapalat" w:hAnsi="GHEA Grapalat" w:cs="GHEA Grapalat"/>
          <w:sz w:val="24"/>
          <w:szCs w:val="24"/>
          <w:highlight w:val="white"/>
        </w:rPr>
        <w:t>:</w:t>
      </w:r>
    </w:p>
    <w:p w14:paraId="0A50286E" w14:textId="77777777" w:rsidR="004E1D50" w:rsidRDefault="00FE451F">
      <w:pPr>
        <w:spacing w:after="0" w:line="360" w:lineRule="auto"/>
        <w:ind w:firstLine="567"/>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Վճռաբեկ դատարանն ընդգծել է նաև, որ քննություն կատարելու պետության պոզիտիվ պարտականությունը ենթադրում է, որ քննությունը պետք է լինի արագ և մանրամասն։ Դա նշանակում է, որ տեղի ունեցածը բացահայտելու նպատակով իրավասու մարմինները պետք է իրականացնեն լուրջ ջանքեր և քննությունն ավարտելիս կամ իրենց որոշումները պատճառաբանելիս չհենվեն շտապողական կամ թույլ պատճառաբանված եզրահանգումների վրա։ Նրանք պետք է կատարեն իրենց համար հասու բոլոր ողջամիտ քայլերը, որպեսզի ապահովեն դեպքի հետ կապված ապացույցները, ներառյալ, ի թիվս այլոց, ականատեսների հարցաքննությունը և բժշկական ապացույցները։ Քննության ցանկացած թերություն, որը հարցականի տակ է դնում վնասվածքների պատճառները կամ պատասխանատու անձանց պարզելու կարողությունը, վտանգում է այս չափանիշի իրագործումը։</w:t>
      </w:r>
    </w:p>
    <w:p w14:paraId="402BB39E" w14:textId="77777777" w:rsidR="004E1D50" w:rsidRDefault="00FE451F">
      <w:pPr>
        <w:spacing w:after="0" w:line="360" w:lineRule="auto"/>
        <w:ind w:firstLine="567"/>
        <w:jc w:val="both"/>
        <w:rPr>
          <w:rFonts w:ascii="GHEA Grapalat" w:eastAsia="GHEA Grapalat" w:hAnsi="GHEA Grapalat" w:cs="GHEA Grapalat"/>
          <w:i/>
          <w:sz w:val="24"/>
          <w:szCs w:val="24"/>
          <w:highlight w:val="white"/>
        </w:rPr>
      </w:pPr>
      <w:r>
        <w:rPr>
          <w:rFonts w:ascii="GHEA Grapalat" w:eastAsia="GHEA Grapalat" w:hAnsi="GHEA Grapalat" w:cs="GHEA Grapalat"/>
          <w:sz w:val="24"/>
          <w:szCs w:val="24"/>
          <w:highlight w:val="white"/>
        </w:rPr>
        <w:t xml:space="preserve">Վերոհիշյալի հիման վրա Վճռաբեկ դատարանն արձանագրել է, որ հաշվի առնելով քննության մանրամասն լինելու չափանիշին համապատասխանելու համար </w:t>
      </w:r>
      <w:r>
        <w:rPr>
          <w:rFonts w:ascii="GHEA Grapalat" w:eastAsia="GHEA Grapalat" w:hAnsi="GHEA Grapalat" w:cs="GHEA Grapalat"/>
          <w:sz w:val="24"/>
          <w:szCs w:val="24"/>
          <w:highlight w:val="white"/>
        </w:rPr>
        <w:lastRenderedPageBreak/>
        <w:t>անհրաժեշտ դատավարական գործողությունների սպառիչ սահմանման անհնարինությունը, որպես այդպիսի քննության չափանիշներ են հանդիսանում «լուրջ ջանքեր գործադրելը» կամ «բոլոր ողջամիտ քայլերն իրականացնելը»:</w:t>
      </w:r>
    </w:p>
    <w:p w14:paraId="67967BF4" w14:textId="77777777" w:rsidR="004E1D50" w:rsidRDefault="00FE451F">
      <w:pPr>
        <w:spacing w:after="0" w:line="360" w:lineRule="auto"/>
        <w:ind w:firstLine="567"/>
        <w:jc w:val="both"/>
        <w:rPr>
          <w:rFonts w:ascii="GHEA Grapalat" w:eastAsia="GHEA Grapalat" w:hAnsi="GHEA Grapalat" w:cs="GHEA Grapalat"/>
          <w:sz w:val="24"/>
          <w:szCs w:val="24"/>
          <w:highlight w:val="white"/>
        </w:rPr>
      </w:pPr>
      <w:r>
        <w:rPr>
          <w:rFonts w:ascii="GHEA Grapalat" w:eastAsia="GHEA Grapalat" w:hAnsi="GHEA Grapalat" w:cs="GHEA Grapalat"/>
          <w:color w:val="000000"/>
          <w:sz w:val="24"/>
          <w:szCs w:val="24"/>
          <w:highlight w:val="white"/>
        </w:rPr>
        <w:t>Ամփոփելով խոշտանգման գործերով նախկինում արտահայտած դիրքորոշումները՝</w:t>
      </w:r>
      <w:r>
        <w:rPr>
          <w:rFonts w:ascii="GHEA Grapalat" w:eastAsia="GHEA Grapalat" w:hAnsi="GHEA Grapalat" w:cs="GHEA Grapalat"/>
          <w:i/>
          <w:color w:val="000000"/>
          <w:sz w:val="24"/>
          <w:szCs w:val="24"/>
          <w:highlight w:val="white"/>
        </w:rPr>
        <w:t xml:space="preserve"> </w:t>
      </w:r>
      <w:r>
        <w:rPr>
          <w:rFonts w:ascii="GHEA Grapalat" w:eastAsia="GHEA Grapalat" w:hAnsi="GHEA Grapalat" w:cs="GHEA Grapalat"/>
          <w:color w:val="000000"/>
          <w:sz w:val="24"/>
          <w:szCs w:val="24"/>
          <w:highlight w:val="white"/>
        </w:rPr>
        <w:t>ՀՀ վճռաբեկ դատարանը</w:t>
      </w:r>
      <w:r>
        <w:rPr>
          <w:rFonts w:ascii="GHEA Grapalat" w:eastAsia="GHEA Grapalat" w:hAnsi="GHEA Grapalat" w:cs="GHEA Grapalat"/>
          <w:i/>
          <w:color w:val="000000"/>
          <w:sz w:val="24"/>
          <w:szCs w:val="24"/>
          <w:highlight w:val="white"/>
        </w:rPr>
        <w:t xml:space="preserve"> </w:t>
      </w:r>
      <w:r>
        <w:rPr>
          <w:rFonts w:ascii="GHEA Grapalat" w:eastAsia="GHEA Grapalat" w:hAnsi="GHEA Grapalat" w:cs="GHEA Grapalat"/>
          <w:i/>
          <w:sz w:val="24"/>
          <w:szCs w:val="24"/>
          <w:highlight w:val="white"/>
        </w:rPr>
        <w:t xml:space="preserve">Ալբերտ Ասլանի Հակոբջանյանի և Գագիկ Դավիթի Կարապետյանի վերաբերյալ </w:t>
      </w:r>
      <w:r>
        <w:rPr>
          <w:rFonts w:ascii="GHEA Grapalat" w:eastAsia="GHEA Grapalat" w:hAnsi="GHEA Grapalat" w:cs="GHEA Grapalat"/>
          <w:sz w:val="24"/>
          <w:szCs w:val="24"/>
          <w:highlight w:val="white"/>
        </w:rPr>
        <w:t xml:space="preserve">թիվ ԵԱՔԴ/0172/11/17 քրեական գործով 2019 թվականի սեպտեմբերի 18-ի որոշմամբ արտահայտել է դիրքորոշում առ այն, որ՝ «խոշտանգումների կամ վատ վերաբերմունքի գործերով առանցքային նշանակություն ունի ոչ թե ենթադրյալ զոհի կողմից ներկայացված տեղեկատվության հաստատումը, այլ այդ տեղեկատվության մանրամասն պարզման ուղղությամբ ձեռնարկված միջոցառումների համալիրը, որն օբյեկտիվ դիտորդի մոտ համոզիչ կերպով հնարավորություն կընձեռի լիարժեք պատկերացում կազմել դեպքի հանգամանքների վերաբերյալ։ Միաժամանակ, Վճռաբեկ դատարանը կարևոր է համարում ընդգծել, որ իրականացված քննության նկատմամբ վստահության առկայության հիմնական պայմաններից է նաև քննությունն իրականացնող մարմինների </w:t>
      </w:r>
      <w:r>
        <w:rPr>
          <w:rFonts w:ascii="GHEA Grapalat" w:eastAsia="GHEA Grapalat" w:hAnsi="GHEA Grapalat" w:cs="GHEA Grapalat"/>
          <w:i/>
          <w:sz w:val="24"/>
          <w:szCs w:val="24"/>
          <w:highlight w:val="white"/>
        </w:rPr>
        <w:t>ինստիտուցիոնալ և գործառութային անկախությունն ու անաչառությունը` գործնական իմաստով</w:t>
      </w:r>
      <w:r>
        <w:rPr>
          <w:rFonts w:ascii="GHEA Grapalat" w:eastAsia="GHEA Grapalat" w:hAnsi="GHEA Grapalat" w:cs="GHEA Grapalat"/>
          <w:sz w:val="24"/>
          <w:szCs w:val="24"/>
          <w:highlight w:val="white"/>
        </w:rPr>
        <w:t>»:</w:t>
      </w:r>
    </w:p>
    <w:p w14:paraId="131E2B64" w14:textId="77777777" w:rsidR="004E1D50" w:rsidRDefault="00FE451F">
      <w:pPr>
        <w:spacing w:after="0" w:line="360" w:lineRule="auto"/>
        <w:ind w:firstLine="567"/>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Վերոգրյալի համատեքստում անհրաժեշտ է նշել, որ խոշտանգումների դեպքերով քրեական գործի քննությունն իրականացնող կոնկրետ մարմինը սահմանելիս անհրաժեշտ է առաջնորդվել, ի թիվս այլնի, այդ մարմնի ինստիտուցիոնալ և գործառութային անկախության հանգամանքով:</w:t>
      </w:r>
    </w:p>
    <w:p w14:paraId="07735673" w14:textId="77777777" w:rsidR="004E1D50" w:rsidRDefault="00FE451F">
      <w:pPr>
        <w:spacing w:after="0" w:line="360" w:lineRule="auto"/>
        <w:ind w:firstLine="567"/>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 xml:space="preserve">Ներկայումս ՀՀ հատուկ քննչական ծառայության գործունեության դադարեցման և Հակակոռուպցիոն կոմիտեի ձևավորման հանգամանքով պայմանավորված քննարկվող գործերի քննությունը հանձնվել է ազգային անվտանգության մարմիններին: Հաշվի առնելով այն հանգամանքը, որ «Պետական </w:t>
      </w:r>
      <w:r>
        <w:rPr>
          <w:rFonts w:ascii="GHEA Grapalat" w:eastAsia="GHEA Grapalat" w:hAnsi="GHEA Grapalat" w:cs="GHEA Grapalat"/>
          <w:sz w:val="24"/>
          <w:szCs w:val="24"/>
          <w:highlight w:val="white"/>
        </w:rPr>
        <w:lastRenderedPageBreak/>
        <w:t>կառավարման համակարգի մարմինների մասին» օրենքի 5-րդ հոդվածի համաձայն ազգային անվտանգության ծառայությունը ենթակա է Վարչապետին, այն չի համապատասխանում անկախության այն չափանիշներին, որոնք պետք է հաշվի առնել խոշտանգման վերաբերյալ քրեական գործերով քննչական ենթակայությունը սահմանելիս: ՀՀ քրեական դատավարության օրենսգրքի 189-րդ հոդվածի համաձայն՝ նախաքննական մարմիններն են քննչական կոմիտեն, հակակոռուպցիոն կոմիտեն, ազգային անվտանգության, հարկային և մաքսային մարմինները:</w:t>
      </w:r>
    </w:p>
    <w:p w14:paraId="6EC83950" w14:textId="77777777" w:rsidR="004E1D50" w:rsidRDefault="00FE451F">
      <w:pPr>
        <w:spacing w:after="0" w:line="360" w:lineRule="auto"/>
        <w:ind w:firstLine="567"/>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 xml:space="preserve">Հաշվի առնելով այն, որ Հակակոռուպցիոն կոմիտեն իրականացնում է միայն կոռուպցիոն հանցագործություններով գործերի քննությունը, պետական եկամուտների կոմիտեն իր կարգավիճակով և գործառույթներով պայմանավորված չի կարող իրականացնել խոշտանգումների գործերով քննությունը, առավել նպատակահարմար է սահմանել, որ խոշտանգման վերաբերյալ քրեական գործերով նախաքննությունն իրականացնի ՀՀ քննչական կոմիտեն: </w:t>
      </w:r>
    </w:p>
    <w:p w14:paraId="124BB377" w14:textId="77777777" w:rsidR="004E1D50" w:rsidRDefault="00FE451F">
      <w:pPr>
        <w:spacing w:after="0" w:line="360"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sz w:val="24"/>
          <w:szCs w:val="24"/>
          <w:highlight w:val="white"/>
        </w:rPr>
        <w:t xml:space="preserve">Ինչ վերաբերում է ՀՀ քննչական կոմիտեում </w:t>
      </w:r>
      <w:r>
        <w:rPr>
          <w:rFonts w:ascii="GHEA Grapalat" w:eastAsia="GHEA Grapalat" w:hAnsi="GHEA Grapalat" w:cs="GHEA Grapalat"/>
          <w:color w:val="000000"/>
          <w:sz w:val="24"/>
          <w:szCs w:val="24"/>
          <w:highlight w:val="white"/>
        </w:rPr>
        <w:t xml:space="preserve">ինքնավար պաշտոն զբաղեցնող անձանց </w:t>
      </w:r>
      <w:r w:rsidR="004B7596" w:rsidRPr="004B7596">
        <w:rPr>
          <w:rFonts w:ascii="GHEA Grapalat" w:eastAsia="GHEA Grapalat" w:hAnsi="GHEA Grapalat" w:cs="GHEA Grapalat"/>
          <w:color w:val="000000"/>
          <w:sz w:val="24"/>
          <w:szCs w:val="24"/>
        </w:rPr>
        <w:t>վերագրվող</w:t>
      </w:r>
      <w:r w:rsidR="004B7596">
        <w:rPr>
          <w:rFonts w:ascii="GHEA Grapalat" w:eastAsia="GHEA Grapalat" w:hAnsi="GHEA Grapalat" w:cs="GHEA Grapalat"/>
          <w:color w:val="000000"/>
          <w:sz w:val="24"/>
          <w:szCs w:val="24"/>
        </w:rPr>
        <w:t xml:space="preserve"> </w:t>
      </w:r>
      <w:r w:rsidR="004B7596" w:rsidRPr="004B7596">
        <w:rPr>
          <w:rFonts w:ascii="GHEA Grapalat" w:eastAsia="GHEA Grapalat" w:hAnsi="GHEA Grapalat" w:cs="GHEA Grapalat"/>
          <w:color w:val="000000"/>
          <w:sz w:val="24"/>
          <w:szCs w:val="24"/>
        </w:rPr>
        <w:t xml:space="preserve">հանցագործությունների </w:t>
      </w:r>
      <w:r>
        <w:rPr>
          <w:rFonts w:ascii="GHEA Grapalat" w:eastAsia="GHEA Grapalat" w:hAnsi="GHEA Grapalat" w:cs="GHEA Grapalat"/>
          <w:color w:val="000000"/>
          <w:sz w:val="24"/>
          <w:szCs w:val="24"/>
        </w:rPr>
        <w:t>վերաբերյալ գործերին, ապա դրանք անհրաժեշտ է թողնել ՀՀ ազգային անվտանգության ծառայության ենթակայությանը՝ հաշվի առնելով նման գործերով նույն մարմնի կողմից քննություն իրականացնելու աննպատակահարմարությունը:</w:t>
      </w:r>
    </w:p>
    <w:p w14:paraId="7D30AA61" w14:textId="77777777" w:rsidR="004E1D50" w:rsidRDefault="00FE451F">
      <w:pPr>
        <w:spacing w:after="0" w:line="360" w:lineRule="auto"/>
        <w:ind w:firstLine="567"/>
        <w:jc w:val="both"/>
        <w:rPr>
          <w:rFonts w:ascii="GHEA Grapalat" w:eastAsia="GHEA Grapalat" w:hAnsi="GHEA Grapalat" w:cs="GHEA Grapalat"/>
          <w:sz w:val="24"/>
          <w:szCs w:val="24"/>
          <w:highlight w:val="white"/>
        </w:rPr>
      </w:pPr>
      <w:r>
        <w:rPr>
          <w:rFonts w:ascii="GHEA Grapalat" w:eastAsia="GHEA Grapalat" w:hAnsi="GHEA Grapalat" w:cs="GHEA Grapalat"/>
          <w:color w:val="000000"/>
          <w:sz w:val="24"/>
          <w:szCs w:val="24"/>
        </w:rPr>
        <w:t>Առաջարկվող փոփոխություններով նույնական լուծումներ են տրվում նաև ՀՀ քրեական դատավարության նոր օրենսգրքում:</w:t>
      </w:r>
    </w:p>
    <w:p w14:paraId="4F053663" w14:textId="77777777" w:rsidR="004E1D50" w:rsidRDefault="00FE451F">
      <w:pPr>
        <w:spacing w:after="0" w:line="360"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Բացի այդ, վերոգրյալ հիմնավորումների համատեքստում վերանայվել է ՀՀ քրեական օրենսգրքի 149-րդ, 150-րդ, 154.1-ին հոդվածների քննության ենթակայության հարցը: Ներկայումս նշված գործերի քննությունը իրականացվում է ՀՀ ազգային անվտանգության ծառայության կողմից: Սակայն, հաշվի առնելով այն հանգամանքը, որ ընտրական հանցագործությունների պարագայում ևս վարույթ </w:t>
      </w:r>
      <w:r>
        <w:rPr>
          <w:rFonts w:ascii="GHEA Grapalat" w:eastAsia="GHEA Grapalat" w:hAnsi="GHEA Grapalat" w:cs="GHEA Grapalat"/>
          <w:color w:val="000000"/>
          <w:sz w:val="24"/>
          <w:szCs w:val="24"/>
        </w:rPr>
        <w:lastRenderedPageBreak/>
        <w:t>իրականացնող մարմնի անկախությունը առանձնակի նշանակություն է ստանում, խնդրահարույց դրանցով նախաքննություն իրականացնելու լիազորությունը գործադիր իշխանությանը ենթակա մարմնին, այն է՝ ազգային անվտանգության ծառայությանը վերապահելը: Ուստի, նշված քրեական գործերով նախաքննություն իրականացնելու լիազորությունը ևս նպատակահարմար է վերապահել ՀՀ քննչական կոմիտեին:</w:t>
      </w:r>
    </w:p>
    <w:p w14:paraId="16044437" w14:textId="77777777" w:rsidR="004E1D50" w:rsidRDefault="004E1D50">
      <w:pPr>
        <w:spacing w:after="0" w:line="360" w:lineRule="auto"/>
        <w:jc w:val="both"/>
        <w:rPr>
          <w:rFonts w:ascii="GHEA Grapalat" w:eastAsia="GHEA Grapalat" w:hAnsi="GHEA Grapalat" w:cs="GHEA Grapalat"/>
          <w:b/>
          <w:color w:val="000000"/>
          <w:sz w:val="24"/>
          <w:szCs w:val="24"/>
        </w:rPr>
      </w:pPr>
    </w:p>
    <w:p w14:paraId="3CB9BA10" w14:textId="77777777" w:rsidR="004E1D50" w:rsidRDefault="00FE451F">
      <w:pPr>
        <w:spacing w:after="0" w:line="360" w:lineRule="auto"/>
        <w:ind w:firstLine="568"/>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Առաջարկվող կարգավորման բնույթը.</w:t>
      </w:r>
    </w:p>
    <w:p w14:paraId="3C23C79D" w14:textId="77777777" w:rsidR="004E1D50" w:rsidRDefault="00FE451F">
      <w:pPr>
        <w:spacing w:after="0" w:line="360" w:lineRule="auto"/>
        <w:ind w:firstLine="567"/>
        <w:jc w:val="both"/>
        <w:rPr>
          <w:rFonts w:ascii="GHEA Grapalat" w:eastAsia="GHEA Grapalat" w:hAnsi="GHEA Grapalat" w:cs="GHEA Grapalat"/>
          <w:color w:val="0D0D0D"/>
          <w:sz w:val="24"/>
          <w:szCs w:val="24"/>
        </w:rPr>
      </w:pPr>
      <w:r>
        <w:rPr>
          <w:rFonts w:ascii="GHEA Grapalat" w:eastAsia="GHEA Grapalat" w:hAnsi="GHEA Grapalat" w:cs="GHEA Grapalat"/>
          <w:color w:val="0D0D0D"/>
          <w:sz w:val="24"/>
          <w:szCs w:val="24"/>
        </w:rPr>
        <w:t>Հաշվի առնելով վերոգրյալը՝ սույն նախագծերով առաջարկվում է՝</w:t>
      </w:r>
    </w:p>
    <w:p w14:paraId="43AD96AB" w14:textId="77777777" w:rsidR="00BB1796" w:rsidRPr="00BB1796" w:rsidRDefault="00FE451F" w:rsidP="00BB1796">
      <w:pPr>
        <w:numPr>
          <w:ilvl w:val="0"/>
          <w:numId w:val="1"/>
        </w:numPr>
        <w:tabs>
          <w:tab w:val="left" w:pos="851"/>
        </w:tabs>
        <w:spacing w:after="0" w:line="360" w:lineRule="auto"/>
        <w:ind w:left="0" w:firstLine="567"/>
        <w:jc w:val="both"/>
        <w:rPr>
          <w:rFonts w:ascii="GHEA Grapalat" w:eastAsia="GHEA Grapalat" w:hAnsi="GHEA Grapalat" w:cs="GHEA Grapalat"/>
          <w:color w:val="0D0D0D"/>
          <w:sz w:val="24"/>
          <w:szCs w:val="24"/>
        </w:rPr>
      </w:pPr>
      <w:r>
        <w:rPr>
          <w:rFonts w:ascii="GHEA Grapalat" w:eastAsia="GHEA Grapalat" w:hAnsi="GHEA Grapalat" w:cs="GHEA Grapalat"/>
          <w:color w:val="0D0D0D"/>
          <w:sz w:val="24"/>
          <w:szCs w:val="24"/>
        </w:rPr>
        <w:t>խոշտանգման վերաբերյալ քրեական գործերով նախաքննության իրականացումը ինչպես գործող քրեական դատավարության օրենսգրքով, այնպես էլ 2022 թվականի հուլիսի 1-ին ուժի մեջ մտնող նոր քրեական դատավարության օրենսգրքով վերապահել ՀՀ քննչական կոմիտեի քննիչներին՝ ելնելով նմանատիպ գործերը անկախ մարմնի կողմից քննելու անհրաժեշտությունից, և ըստ այդմ՝ խմբագրել քննչական ենթակայությանը վերաբերող կարգավորումները,</w:t>
      </w:r>
    </w:p>
    <w:p w14:paraId="757A06A5" w14:textId="77777777" w:rsidR="004E1D50" w:rsidRPr="00BB1796" w:rsidRDefault="00BB1796" w:rsidP="00BB1796">
      <w:pPr>
        <w:numPr>
          <w:ilvl w:val="0"/>
          <w:numId w:val="1"/>
        </w:numPr>
        <w:tabs>
          <w:tab w:val="left" w:pos="851"/>
        </w:tabs>
        <w:spacing w:after="0" w:line="360" w:lineRule="auto"/>
        <w:ind w:left="0" w:firstLine="567"/>
        <w:jc w:val="both"/>
        <w:rPr>
          <w:rFonts w:ascii="GHEA Grapalat" w:eastAsia="GHEA Grapalat" w:hAnsi="GHEA Grapalat" w:cs="GHEA Grapalat"/>
          <w:color w:val="0D0D0D"/>
          <w:sz w:val="24"/>
          <w:szCs w:val="24"/>
        </w:rPr>
      </w:pPr>
      <w:r w:rsidRPr="00BB1796">
        <w:rPr>
          <w:rFonts w:ascii="GHEA Grapalat" w:eastAsia="GHEA Grapalat" w:hAnsi="GHEA Grapalat" w:cs="GHEA Grapalat"/>
          <w:sz w:val="24"/>
          <w:szCs w:val="24"/>
        </w:rPr>
        <w:t xml:space="preserve">ՀՀ քննչական </w:t>
      </w:r>
      <w:r w:rsidR="00FE451F" w:rsidRPr="00BB1796">
        <w:rPr>
          <w:rFonts w:ascii="GHEA Grapalat" w:eastAsia="GHEA Grapalat" w:hAnsi="GHEA Grapalat" w:cs="GHEA Grapalat"/>
          <w:sz w:val="24"/>
          <w:szCs w:val="24"/>
          <w:highlight w:val="white"/>
        </w:rPr>
        <w:t xml:space="preserve">կոմիտեում </w:t>
      </w:r>
      <w:r w:rsidR="00D85166" w:rsidRPr="00BB1796">
        <w:rPr>
          <w:rFonts w:ascii="GHEA Grapalat" w:eastAsia="GHEA Grapalat" w:hAnsi="GHEA Grapalat" w:cs="GHEA Grapalat"/>
          <w:sz w:val="24"/>
          <w:szCs w:val="24"/>
        </w:rPr>
        <w:t xml:space="preserve">ինքնավար պաշտոն զբաղեցնող անձանց կողմից կատարված հանցագործությունների (այդ թվում՝ խոշտանգման) վերաբերյալ քրեական գործերով նախաքննության </w:t>
      </w:r>
      <w:r w:rsidR="00FE451F" w:rsidRPr="00BB1796">
        <w:rPr>
          <w:rFonts w:ascii="GHEA Grapalat" w:eastAsia="GHEA Grapalat" w:hAnsi="GHEA Grapalat" w:cs="GHEA Grapalat"/>
          <w:color w:val="000000"/>
          <w:sz w:val="24"/>
          <w:szCs w:val="24"/>
          <w:highlight w:val="white"/>
        </w:rPr>
        <w:t>իրականացումը վերապահել ՀՀ ազգային անվտանգության մարմիններին՝ ապահովելու քննության օբյեկտիվությունը,</w:t>
      </w:r>
    </w:p>
    <w:p w14:paraId="655DD0B0" w14:textId="4DB43329" w:rsidR="004E1D50" w:rsidRDefault="00FE451F">
      <w:pPr>
        <w:numPr>
          <w:ilvl w:val="0"/>
          <w:numId w:val="1"/>
        </w:numPr>
        <w:tabs>
          <w:tab w:val="left" w:pos="851"/>
        </w:tabs>
        <w:spacing w:after="0" w:line="360" w:lineRule="auto"/>
        <w:ind w:left="0" w:firstLine="568"/>
        <w:jc w:val="both"/>
        <w:rPr>
          <w:rFonts w:ascii="GHEA Grapalat" w:eastAsia="GHEA Grapalat" w:hAnsi="GHEA Grapalat" w:cs="GHEA Grapalat"/>
          <w:sz w:val="24"/>
          <w:szCs w:val="24"/>
        </w:rPr>
      </w:pPr>
      <w:r>
        <w:rPr>
          <w:rFonts w:ascii="GHEA Grapalat" w:eastAsia="GHEA Grapalat" w:hAnsi="GHEA Grapalat" w:cs="GHEA Grapalat"/>
          <w:color w:val="0D0D0D"/>
          <w:sz w:val="24"/>
          <w:szCs w:val="24"/>
        </w:rPr>
        <w:t>ՀՀ քրեական օրենսգրքի 149-րդ, 150-րդ, 154.1-ին հոդվածներով նախատեսված հանցագործություններով քրեական գործերի նախաքննության իրականացումը վերապահել ՀՀ քննչական կոմիտեին</w:t>
      </w:r>
      <w:r w:rsidR="00552DF3" w:rsidRPr="00552DF3">
        <w:rPr>
          <w:rFonts w:ascii="GHEA Grapalat" w:eastAsia="GHEA Grapalat" w:hAnsi="GHEA Grapalat" w:cs="GHEA Grapalat"/>
          <w:color w:val="0D0D0D"/>
          <w:sz w:val="24"/>
          <w:szCs w:val="24"/>
        </w:rPr>
        <w:t>:</w:t>
      </w:r>
    </w:p>
    <w:p w14:paraId="5B1BEDBE" w14:textId="77777777" w:rsidR="00BB1796" w:rsidRPr="00BB1796" w:rsidRDefault="00BB1796" w:rsidP="00BB1796">
      <w:pPr>
        <w:spacing w:after="0" w:line="360" w:lineRule="auto"/>
        <w:ind w:firstLine="568"/>
        <w:jc w:val="both"/>
        <w:rPr>
          <w:rFonts w:ascii="GHEA Grapalat" w:eastAsia="GHEA Grapalat" w:hAnsi="GHEA Grapalat" w:cs="GHEA Grapalat"/>
          <w:b/>
          <w:color w:val="000000"/>
          <w:sz w:val="24"/>
          <w:szCs w:val="24"/>
        </w:rPr>
      </w:pPr>
    </w:p>
    <w:p w14:paraId="597C6AE3" w14:textId="77777777" w:rsidR="00BB1796" w:rsidRPr="00BB1796" w:rsidRDefault="00BB1796" w:rsidP="00BB1796">
      <w:pPr>
        <w:spacing w:after="0" w:line="360" w:lineRule="auto"/>
        <w:ind w:firstLine="568"/>
        <w:jc w:val="both"/>
        <w:rPr>
          <w:rFonts w:ascii="GHEA Grapalat" w:eastAsia="GHEA Grapalat" w:hAnsi="GHEA Grapalat" w:cs="GHEA Grapalat"/>
          <w:b/>
          <w:color w:val="000000"/>
          <w:sz w:val="24"/>
          <w:szCs w:val="24"/>
        </w:rPr>
      </w:pPr>
      <w:r w:rsidRPr="00BB1796">
        <w:rPr>
          <w:rFonts w:ascii="GHEA Grapalat" w:eastAsia="GHEA Grapalat" w:hAnsi="GHEA Grapalat" w:cs="GHEA Grapalat"/>
          <w:b/>
          <w:color w:val="000000"/>
          <w:sz w:val="24"/>
          <w:szCs w:val="24"/>
        </w:rPr>
        <w:t xml:space="preserve">Կապը ռազմավարական փաստաթղթերի հետ. Հայաստանի վերափոխման ռազմավարություն 2050, Կառավարության 2021-2026թթ. ծրագիր, Հայաստանի </w:t>
      </w:r>
      <w:r w:rsidRPr="00BB1796">
        <w:rPr>
          <w:rFonts w:ascii="GHEA Grapalat" w:eastAsia="GHEA Grapalat" w:hAnsi="GHEA Grapalat" w:cs="GHEA Grapalat"/>
          <w:b/>
          <w:color w:val="000000"/>
          <w:sz w:val="24"/>
          <w:szCs w:val="24"/>
        </w:rPr>
        <w:lastRenderedPageBreak/>
        <w:t>Հանրապետության հակակոռուպցիոն ռազմավարության և դրա իրականացման 2019-2022 թվականների միջոցառումների ծրագիր.</w:t>
      </w:r>
    </w:p>
    <w:p w14:paraId="151D70A4" w14:textId="77777777" w:rsidR="00BB1796" w:rsidRPr="00BB1796" w:rsidRDefault="00BB1796" w:rsidP="00BB1796">
      <w:pPr>
        <w:spacing w:after="0" w:line="360" w:lineRule="auto"/>
        <w:ind w:firstLine="568"/>
        <w:jc w:val="both"/>
        <w:rPr>
          <w:rFonts w:ascii="GHEA Grapalat" w:eastAsia="GHEA Grapalat" w:hAnsi="GHEA Grapalat" w:cs="GHEA Grapalat"/>
          <w:color w:val="000000"/>
          <w:sz w:val="24"/>
          <w:szCs w:val="24"/>
        </w:rPr>
      </w:pPr>
      <w:r w:rsidRPr="00BB1796">
        <w:rPr>
          <w:rFonts w:ascii="GHEA Grapalat" w:eastAsia="GHEA Grapalat" w:hAnsi="GHEA Grapalat" w:cs="GHEA Grapalat"/>
          <w:color w:val="000000"/>
          <w:sz w:val="24"/>
          <w:szCs w:val="24"/>
        </w:rPr>
        <w:t>Նախագծերը կապված չեն համապատասխան ռազմավարական փաստաթղթերի հետ:</w:t>
      </w:r>
    </w:p>
    <w:p w14:paraId="257705D1" w14:textId="77777777" w:rsidR="00BB1796" w:rsidRPr="004B7596" w:rsidRDefault="00BB1796" w:rsidP="00BB1796">
      <w:pPr>
        <w:spacing w:after="0" w:line="360" w:lineRule="auto"/>
        <w:ind w:firstLine="568"/>
        <w:jc w:val="both"/>
        <w:rPr>
          <w:rFonts w:ascii="GHEA Grapalat" w:eastAsia="GHEA Grapalat" w:hAnsi="GHEA Grapalat" w:cs="GHEA Grapalat"/>
          <w:b/>
          <w:color w:val="000000"/>
          <w:sz w:val="24"/>
          <w:szCs w:val="24"/>
        </w:rPr>
      </w:pPr>
    </w:p>
    <w:p w14:paraId="6226EC47" w14:textId="77777777" w:rsidR="004E1D50" w:rsidRDefault="00FE451F" w:rsidP="00BB1796">
      <w:pPr>
        <w:spacing w:after="0" w:line="360" w:lineRule="auto"/>
        <w:ind w:firstLine="568"/>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Նախագծերի ընդունման կապակցությամբ ֆինանսական միջոցների անհրաժեշտության և պետական բյուջեի եկամուտներում և ծախսերում սպասվելիք փոփոխությունների մասին.</w:t>
      </w:r>
    </w:p>
    <w:p w14:paraId="0A435955" w14:textId="77777777" w:rsidR="004E1D50" w:rsidRDefault="00FE451F">
      <w:pPr>
        <w:spacing w:after="0" w:line="360" w:lineRule="auto"/>
        <w:ind w:firstLine="568"/>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Նախագծերի ընդունման կապակցությամբ լրացուցիչ ֆինանսական միջոցների անհրաժեշտությունը բացակայում է. ՀՀ պետական բյուջեի ծախսերի և եկամուտների ավելացում կամ նվազեցում չի նախատեսվում:</w:t>
      </w:r>
    </w:p>
    <w:p w14:paraId="54C6B6D1" w14:textId="77777777" w:rsidR="004E1D50" w:rsidRDefault="004E1D50">
      <w:pPr>
        <w:spacing w:after="0" w:line="360" w:lineRule="auto"/>
        <w:ind w:firstLine="568"/>
        <w:jc w:val="both"/>
        <w:rPr>
          <w:rFonts w:ascii="GHEA Grapalat" w:eastAsia="GHEA Grapalat" w:hAnsi="GHEA Grapalat" w:cs="GHEA Grapalat"/>
          <w:b/>
          <w:color w:val="000000"/>
          <w:sz w:val="24"/>
          <w:szCs w:val="24"/>
        </w:rPr>
      </w:pPr>
    </w:p>
    <w:p w14:paraId="66605ED1" w14:textId="77777777" w:rsidR="004E1D50" w:rsidRDefault="00FE451F">
      <w:pPr>
        <w:spacing w:after="0" w:line="360" w:lineRule="auto"/>
        <w:ind w:firstLine="568"/>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Նախագծերի մշակման գործընթացում ներգրավված ինստիտուտները և անձինք.</w:t>
      </w:r>
    </w:p>
    <w:p w14:paraId="1A227189" w14:textId="77777777" w:rsidR="004E1D50" w:rsidRDefault="00FE451F">
      <w:pPr>
        <w:spacing w:after="0" w:line="360" w:lineRule="auto"/>
        <w:ind w:firstLine="568"/>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Նախագծերը մշակվել են ՀՀ արդարադատության նախարարության կողմից:</w:t>
      </w:r>
    </w:p>
    <w:p w14:paraId="366A670B" w14:textId="77777777" w:rsidR="004E1D50" w:rsidRDefault="004E1D50">
      <w:pPr>
        <w:spacing w:after="0" w:line="360" w:lineRule="auto"/>
        <w:ind w:firstLine="568"/>
        <w:jc w:val="both"/>
        <w:rPr>
          <w:rFonts w:ascii="GHEA Grapalat" w:eastAsia="GHEA Grapalat" w:hAnsi="GHEA Grapalat" w:cs="GHEA Grapalat"/>
          <w:color w:val="000000"/>
          <w:sz w:val="24"/>
          <w:szCs w:val="24"/>
        </w:rPr>
      </w:pPr>
    </w:p>
    <w:p w14:paraId="2AFFD568" w14:textId="77777777" w:rsidR="004E1D50" w:rsidRDefault="00FE451F">
      <w:pPr>
        <w:spacing w:after="0" w:line="360" w:lineRule="auto"/>
        <w:ind w:firstLine="568"/>
        <w:jc w:val="both"/>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Ակնկալվող արդյունքը.</w:t>
      </w:r>
    </w:p>
    <w:p w14:paraId="33AACA67" w14:textId="77777777" w:rsidR="004E1D50" w:rsidRDefault="00FE451F">
      <w:pPr>
        <w:spacing w:after="0" w:line="360" w:lineRule="auto"/>
        <w:ind w:firstLine="568"/>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Նախագծերի ընդունման արդյունքում կապահովվի </w:t>
      </w:r>
      <w:sdt>
        <w:sdtPr>
          <w:tag w:val="goog_rdk_38"/>
          <w:id w:val="-2115349166"/>
        </w:sdtPr>
        <w:sdtEndPr/>
        <w:sdtContent/>
      </w:sdt>
      <w:r>
        <w:rPr>
          <w:rFonts w:ascii="GHEA Grapalat" w:eastAsia="GHEA Grapalat" w:hAnsi="GHEA Grapalat" w:cs="GHEA Grapalat"/>
          <w:sz w:val="24"/>
          <w:szCs w:val="24"/>
        </w:rPr>
        <w:t xml:space="preserve">խոշտանգումների և ընտրական հանցագործությունների դեպքերով քրեական գործերի քննության իրականացումը պետական մարմինների ենթակայության տեսանկյունից անկախ մարմնի կողմից: </w:t>
      </w:r>
    </w:p>
    <w:p w14:paraId="3A23A02B" w14:textId="77777777" w:rsidR="004E1D50" w:rsidRDefault="004E1D50">
      <w:pPr>
        <w:spacing w:after="0" w:line="360" w:lineRule="auto"/>
        <w:ind w:firstLine="568"/>
        <w:jc w:val="both"/>
        <w:rPr>
          <w:rFonts w:ascii="GHEA Grapalat" w:eastAsia="GHEA Grapalat" w:hAnsi="GHEA Grapalat" w:cs="GHEA Grapalat"/>
          <w:sz w:val="24"/>
          <w:szCs w:val="24"/>
        </w:rPr>
      </w:pPr>
    </w:p>
    <w:p w14:paraId="03C467CB" w14:textId="77777777" w:rsidR="004E1D50" w:rsidRDefault="004E1D50">
      <w:pPr>
        <w:spacing w:after="0" w:line="360" w:lineRule="auto"/>
        <w:jc w:val="center"/>
        <w:rPr>
          <w:rFonts w:ascii="GHEA Grapalat" w:eastAsia="GHEA Grapalat" w:hAnsi="GHEA Grapalat" w:cs="GHEA Grapalat"/>
          <w:b/>
          <w:sz w:val="24"/>
          <w:szCs w:val="24"/>
        </w:rPr>
      </w:pPr>
    </w:p>
    <w:sectPr w:rsidR="004E1D50">
      <w:head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E25CBB" w14:textId="77777777" w:rsidR="00435DDD" w:rsidRDefault="00435DDD">
      <w:pPr>
        <w:spacing w:after="0" w:line="240" w:lineRule="auto"/>
      </w:pPr>
      <w:r>
        <w:separator/>
      </w:r>
    </w:p>
  </w:endnote>
  <w:endnote w:type="continuationSeparator" w:id="0">
    <w:p w14:paraId="65F7FCCD" w14:textId="77777777" w:rsidR="00435DDD" w:rsidRDefault="00435D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Merriweather">
    <w:altName w:val="Merriweather"/>
    <w:charset w:val="CC"/>
    <w:family w:val="auto"/>
    <w:pitch w:val="variable"/>
    <w:sig w:usb0="20000207" w:usb1="00000002" w:usb2="00000000" w:usb3="00000000" w:csb0="00000197" w:csb1="00000000"/>
  </w:font>
  <w:font w:name="Arial Armenian">
    <w:panose1 w:val="020B0604020202020204"/>
    <w:charset w:val="00"/>
    <w:family w:val="swiss"/>
    <w:pitch w:val="variable"/>
    <w:sig w:usb0="00000003" w:usb1="00000000" w:usb2="00000000" w:usb3="00000000" w:csb0="00000001" w:csb1="00000000"/>
  </w:font>
  <w:font w:name="Art">
    <w:panose1 w:val="0402E200000000000000"/>
    <w:charset w:val="00"/>
    <w:family w:val="decorative"/>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98CD62" w14:textId="77777777" w:rsidR="00435DDD" w:rsidRDefault="00435DDD">
      <w:pPr>
        <w:spacing w:after="0" w:line="240" w:lineRule="auto"/>
      </w:pPr>
      <w:r>
        <w:separator/>
      </w:r>
    </w:p>
  </w:footnote>
  <w:footnote w:type="continuationSeparator" w:id="0">
    <w:p w14:paraId="74D53118" w14:textId="77777777" w:rsidR="00435DDD" w:rsidRDefault="00435D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799DE" w14:textId="77777777" w:rsidR="004E1D50" w:rsidRDefault="00FE451F">
    <w:pPr>
      <w:pBdr>
        <w:left w:val="single" w:sz="18" w:space="4" w:color="FF0000"/>
      </w:pBdr>
      <w:tabs>
        <w:tab w:val="center" w:pos="4320"/>
        <w:tab w:val="right" w:pos="8640"/>
      </w:tabs>
      <w:spacing w:after="0" w:line="240" w:lineRule="auto"/>
      <w:ind w:left="-180"/>
      <w:rPr>
        <w:rFonts w:ascii="Merriweather" w:eastAsia="Merriweather" w:hAnsi="Merriweather" w:cs="Merriweather"/>
        <w:color w:val="FF0000"/>
      </w:rPr>
    </w:pPr>
    <w:r>
      <w:rPr>
        <w:rFonts w:ascii="GHEA Grapalat" w:eastAsia="GHEA Grapalat" w:hAnsi="GHEA Grapalat" w:cs="GHEA Grapalat"/>
        <w:sz w:val="24"/>
        <w:szCs w:val="24"/>
      </w:rPr>
      <w:t>Արդարադատության</w:t>
    </w:r>
    <w:r>
      <w:rPr>
        <w:rFonts w:ascii="Arial Armenian" w:eastAsia="Arial Armenian" w:hAnsi="Arial Armenian" w:cs="Arial Armenian"/>
      </w:rPr>
      <w:t xml:space="preserve">                                                                                                </w:t>
    </w:r>
    <w:r>
      <w:rPr>
        <w:rFonts w:ascii="GHEA Grapalat" w:eastAsia="GHEA Grapalat" w:hAnsi="GHEA Grapalat" w:cs="GHEA Grapalat"/>
        <w:sz w:val="24"/>
        <w:szCs w:val="24"/>
      </w:rPr>
      <w:t>ՆԱԽԱԳԻԾ</w:t>
    </w:r>
    <w:r>
      <w:rPr>
        <w:rFonts w:ascii="Arial Armenian" w:eastAsia="Arial Armenian" w:hAnsi="Arial Armenian" w:cs="Arial Armenian"/>
      </w:rPr>
      <w:t xml:space="preserve">                                                                                                                           </w:t>
    </w:r>
    <w:r>
      <w:rPr>
        <w:noProof/>
        <w:lang w:val="en-GB"/>
      </w:rPr>
      <w:drawing>
        <wp:anchor distT="0" distB="0" distL="0" distR="0" simplePos="0" relativeHeight="251658240" behindDoc="1" locked="0" layoutInCell="1" hidden="0" allowOverlap="1" wp14:anchorId="536B8EBA" wp14:editId="604F5660">
          <wp:simplePos x="0" y="0"/>
          <wp:positionH relativeFrom="column">
            <wp:posOffset>-685798</wp:posOffset>
          </wp:positionH>
          <wp:positionV relativeFrom="paragraph">
            <wp:posOffset>-8888</wp:posOffset>
          </wp:positionV>
          <wp:extent cx="457200" cy="444500"/>
          <wp:effectExtent l="0" t="0" r="0" b="0"/>
          <wp:wrapNone/>
          <wp:docPr id="3" name="image1.jpg" descr="GERB_HH"/>
          <wp:cNvGraphicFramePr/>
          <a:graphic xmlns:a="http://schemas.openxmlformats.org/drawingml/2006/main">
            <a:graphicData uri="http://schemas.openxmlformats.org/drawingml/2006/picture">
              <pic:pic xmlns:pic="http://schemas.openxmlformats.org/drawingml/2006/picture">
                <pic:nvPicPr>
                  <pic:cNvPr id="0" name="image1.jpg" descr="GERB_HH"/>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14:paraId="6FB6C0D2" w14:textId="77777777" w:rsidR="004E1D50" w:rsidRDefault="00FE451F">
    <w:pPr>
      <w:pBdr>
        <w:left w:val="single" w:sz="18" w:space="4" w:color="0000FF"/>
      </w:pBdr>
      <w:tabs>
        <w:tab w:val="center" w:pos="4320"/>
        <w:tab w:val="right" w:pos="8640"/>
      </w:tabs>
      <w:spacing w:after="0" w:line="240" w:lineRule="auto"/>
      <w:ind w:left="-180"/>
      <w:rPr>
        <w:rFonts w:ascii="GHEA Grapalat" w:eastAsia="GHEA Grapalat" w:hAnsi="GHEA Grapalat" w:cs="GHEA Grapalat"/>
      </w:rPr>
    </w:pPr>
    <w:r>
      <w:rPr>
        <w:rFonts w:ascii="GHEA Grapalat" w:eastAsia="GHEA Grapalat" w:hAnsi="GHEA Grapalat" w:cs="GHEA Grapalat"/>
        <w:sz w:val="24"/>
        <w:szCs w:val="24"/>
      </w:rPr>
      <w:t>Նախարարություն</w:t>
    </w:r>
    <w:r>
      <w:rPr>
        <w:rFonts w:ascii="GHEA Grapalat" w:eastAsia="GHEA Grapalat" w:hAnsi="GHEA Grapalat" w:cs="GHEA Grapalat"/>
      </w:rPr>
      <w:t xml:space="preserve">                       </w:t>
    </w:r>
  </w:p>
  <w:p w14:paraId="51103D10" w14:textId="77777777" w:rsidR="004E1D50" w:rsidRDefault="00FE451F">
    <w:pPr>
      <w:pBdr>
        <w:left w:val="single" w:sz="18" w:space="4" w:color="FF6600"/>
      </w:pBdr>
      <w:tabs>
        <w:tab w:val="center" w:pos="4320"/>
        <w:tab w:val="right" w:pos="8640"/>
      </w:tabs>
      <w:spacing w:after="0" w:line="240" w:lineRule="auto"/>
      <w:ind w:left="-180"/>
      <w:rPr>
        <w:rFonts w:ascii="Art" w:eastAsia="Art" w:hAnsi="Art" w:cs="Art"/>
      </w:rPr>
    </w:pPr>
    <w:r>
      <w:rPr>
        <w:rFonts w:ascii="Art" w:eastAsia="Art" w:hAnsi="Art" w:cs="Art"/>
      </w:rPr>
      <w:t xml:space="preserve">                                                                                                                                                            </w:t>
    </w:r>
  </w:p>
  <w:p w14:paraId="7703638E" w14:textId="77777777" w:rsidR="004E1D50" w:rsidRDefault="00FE451F">
    <w:pPr>
      <w:tabs>
        <w:tab w:val="center" w:pos="4320"/>
        <w:tab w:val="right" w:pos="8640"/>
      </w:tabs>
      <w:spacing w:after="0" w:line="240" w:lineRule="auto"/>
      <w:ind w:left="-907"/>
      <w:rPr>
        <w:rFonts w:ascii="Arial LatArm" w:eastAsia="Arial LatArm" w:hAnsi="Arial LatArm" w:cs="Arial LatArm"/>
        <w:sz w:val="18"/>
        <w:szCs w:val="18"/>
      </w:rPr>
    </w:pPr>
    <w:r>
      <w:rPr>
        <w:rFonts w:ascii="Arial LatArm" w:eastAsia="Arial LatArm" w:hAnsi="Arial LatArm" w:cs="Arial LatArm"/>
        <w:sz w:val="24"/>
        <w:szCs w:val="24"/>
      </w:rPr>
      <w:t xml:space="preserve">                </w:t>
    </w:r>
  </w:p>
  <w:p w14:paraId="580F2922" w14:textId="77777777" w:rsidR="004E1D50" w:rsidRDefault="004E1D50">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BA7BF9"/>
    <w:multiLevelType w:val="multilevel"/>
    <w:tmpl w:val="B38EFFC8"/>
    <w:lvl w:ilvl="0">
      <w:start w:val="1"/>
      <w:numFmt w:val="bullet"/>
      <w:lvlText w:val="●"/>
      <w:lvlJc w:val="left"/>
      <w:pPr>
        <w:ind w:left="1359" w:hanging="360"/>
      </w:pPr>
      <w:rPr>
        <w:rFonts w:ascii="Noto Sans Symbols" w:eastAsia="Noto Sans Symbols" w:hAnsi="Noto Sans Symbols" w:cs="Noto Sans Symbols"/>
      </w:rPr>
    </w:lvl>
    <w:lvl w:ilvl="1">
      <w:start w:val="1"/>
      <w:numFmt w:val="bullet"/>
      <w:lvlText w:val="o"/>
      <w:lvlJc w:val="left"/>
      <w:pPr>
        <w:ind w:left="2079" w:hanging="360"/>
      </w:pPr>
      <w:rPr>
        <w:rFonts w:ascii="Courier New" w:eastAsia="Courier New" w:hAnsi="Courier New" w:cs="Courier New"/>
      </w:rPr>
    </w:lvl>
    <w:lvl w:ilvl="2">
      <w:start w:val="1"/>
      <w:numFmt w:val="bullet"/>
      <w:lvlText w:val="▪"/>
      <w:lvlJc w:val="left"/>
      <w:pPr>
        <w:ind w:left="2799" w:hanging="360"/>
      </w:pPr>
      <w:rPr>
        <w:rFonts w:ascii="Noto Sans Symbols" w:eastAsia="Noto Sans Symbols" w:hAnsi="Noto Sans Symbols" w:cs="Noto Sans Symbols"/>
      </w:rPr>
    </w:lvl>
    <w:lvl w:ilvl="3">
      <w:start w:val="1"/>
      <w:numFmt w:val="bullet"/>
      <w:lvlText w:val="●"/>
      <w:lvlJc w:val="left"/>
      <w:pPr>
        <w:ind w:left="3519" w:hanging="360"/>
      </w:pPr>
      <w:rPr>
        <w:rFonts w:ascii="Noto Sans Symbols" w:eastAsia="Noto Sans Symbols" w:hAnsi="Noto Sans Symbols" w:cs="Noto Sans Symbols"/>
      </w:rPr>
    </w:lvl>
    <w:lvl w:ilvl="4">
      <w:start w:val="1"/>
      <w:numFmt w:val="bullet"/>
      <w:lvlText w:val="o"/>
      <w:lvlJc w:val="left"/>
      <w:pPr>
        <w:ind w:left="4239" w:hanging="360"/>
      </w:pPr>
      <w:rPr>
        <w:rFonts w:ascii="Courier New" w:eastAsia="Courier New" w:hAnsi="Courier New" w:cs="Courier New"/>
      </w:rPr>
    </w:lvl>
    <w:lvl w:ilvl="5">
      <w:start w:val="1"/>
      <w:numFmt w:val="bullet"/>
      <w:lvlText w:val="▪"/>
      <w:lvlJc w:val="left"/>
      <w:pPr>
        <w:ind w:left="4959" w:hanging="360"/>
      </w:pPr>
      <w:rPr>
        <w:rFonts w:ascii="Noto Sans Symbols" w:eastAsia="Noto Sans Symbols" w:hAnsi="Noto Sans Symbols" w:cs="Noto Sans Symbols"/>
      </w:rPr>
    </w:lvl>
    <w:lvl w:ilvl="6">
      <w:start w:val="1"/>
      <w:numFmt w:val="bullet"/>
      <w:lvlText w:val="●"/>
      <w:lvlJc w:val="left"/>
      <w:pPr>
        <w:ind w:left="5679" w:hanging="360"/>
      </w:pPr>
      <w:rPr>
        <w:rFonts w:ascii="Noto Sans Symbols" w:eastAsia="Noto Sans Symbols" w:hAnsi="Noto Sans Symbols" w:cs="Noto Sans Symbols"/>
      </w:rPr>
    </w:lvl>
    <w:lvl w:ilvl="7">
      <w:start w:val="1"/>
      <w:numFmt w:val="bullet"/>
      <w:lvlText w:val="o"/>
      <w:lvlJc w:val="left"/>
      <w:pPr>
        <w:ind w:left="6399" w:hanging="360"/>
      </w:pPr>
      <w:rPr>
        <w:rFonts w:ascii="Courier New" w:eastAsia="Courier New" w:hAnsi="Courier New" w:cs="Courier New"/>
      </w:rPr>
    </w:lvl>
    <w:lvl w:ilvl="8">
      <w:start w:val="1"/>
      <w:numFmt w:val="bullet"/>
      <w:lvlText w:val="▪"/>
      <w:lvlJc w:val="left"/>
      <w:pPr>
        <w:ind w:left="7119"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4E1D50"/>
    <w:rsid w:val="003E2150"/>
    <w:rsid w:val="00435DDD"/>
    <w:rsid w:val="004B7596"/>
    <w:rsid w:val="004E1D50"/>
    <w:rsid w:val="00552DF3"/>
    <w:rsid w:val="00BB1796"/>
    <w:rsid w:val="00CA08CB"/>
    <w:rsid w:val="00D85166"/>
    <w:rsid w:val="00FE451F"/>
    <w:rsid w:val="00FF6A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5E325"/>
  <w15:docId w15:val="{002C42B3-49CE-4DF2-8E72-D991C2F6F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hy-AM"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0619"/>
  </w:style>
  <w:style w:type="paragraph" w:styleId="Heading1">
    <w:name w:val="heading 1"/>
    <w:basedOn w:val="Normal1"/>
    <w:next w:val="Normal1"/>
    <w:rsid w:val="00987C37"/>
    <w:pPr>
      <w:keepNext/>
      <w:keepLines/>
      <w:spacing w:before="480" w:after="120"/>
      <w:outlineLvl w:val="0"/>
    </w:pPr>
    <w:rPr>
      <w:b/>
      <w:sz w:val="48"/>
      <w:szCs w:val="48"/>
    </w:rPr>
  </w:style>
  <w:style w:type="paragraph" w:styleId="Heading2">
    <w:name w:val="heading 2"/>
    <w:basedOn w:val="Normal1"/>
    <w:next w:val="Normal1"/>
    <w:rsid w:val="00987C37"/>
    <w:pPr>
      <w:keepNext/>
      <w:keepLines/>
      <w:spacing w:before="360" w:after="80"/>
      <w:outlineLvl w:val="1"/>
    </w:pPr>
    <w:rPr>
      <w:b/>
      <w:sz w:val="36"/>
      <w:szCs w:val="36"/>
    </w:rPr>
  </w:style>
  <w:style w:type="paragraph" w:styleId="Heading3">
    <w:name w:val="heading 3"/>
    <w:basedOn w:val="Normal1"/>
    <w:next w:val="Normal1"/>
    <w:rsid w:val="00987C37"/>
    <w:pPr>
      <w:keepNext/>
      <w:keepLines/>
      <w:spacing w:before="280" w:after="80"/>
      <w:outlineLvl w:val="2"/>
    </w:pPr>
    <w:rPr>
      <w:b/>
      <w:sz w:val="28"/>
      <w:szCs w:val="28"/>
    </w:rPr>
  </w:style>
  <w:style w:type="paragraph" w:styleId="Heading4">
    <w:name w:val="heading 4"/>
    <w:basedOn w:val="Normal1"/>
    <w:next w:val="Normal1"/>
    <w:rsid w:val="00987C37"/>
    <w:pPr>
      <w:keepNext/>
      <w:keepLines/>
      <w:spacing w:before="240" w:after="40"/>
      <w:outlineLvl w:val="3"/>
    </w:pPr>
    <w:rPr>
      <w:b/>
      <w:sz w:val="24"/>
      <w:szCs w:val="24"/>
    </w:rPr>
  </w:style>
  <w:style w:type="paragraph" w:styleId="Heading5">
    <w:name w:val="heading 5"/>
    <w:basedOn w:val="Normal1"/>
    <w:next w:val="Normal1"/>
    <w:rsid w:val="00987C37"/>
    <w:pPr>
      <w:keepNext/>
      <w:keepLines/>
      <w:spacing w:before="220" w:after="40"/>
      <w:outlineLvl w:val="4"/>
    </w:pPr>
    <w:rPr>
      <w:b/>
    </w:rPr>
  </w:style>
  <w:style w:type="paragraph" w:styleId="Heading6">
    <w:name w:val="heading 6"/>
    <w:basedOn w:val="Normal1"/>
    <w:next w:val="Normal1"/>
    <w:rsid w:val="00987C37"/>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rsid w:val="00987C37"/>
    <w:pPr>
      <w:keepNext/>
      <w:keepLines/>
      <w:spacing w:before="480" w:after="120"/>
    </w:pPr>
    <w:rPr>
      <w:b/>
      <w:sz w:val="72"/>
      <w:szCs w:val="72"/>
    </w:rPr>
  </w:style>
  <w:style w:type="paragraph" w:customStyle="1" w:styleId="Normal1">
    <w:name w:val="Normal1"/>
    <w:rsid w:val="00987C37"/>
  </w:style>
  <w:style w:type="paragraph" w:styleId="Header">
    <w:name w:val="header"/>
    <w:basedOn w:val="Normal"/>
    <w:link w:val="HeaderChar"/>
    <w:uiPriority w:val="99"/>
    <w:unhideWhenUsed/>
    <w:rsid w:val="00415C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5C85"/>
  </w:style>
  <w:style w:type="paragraph" w:styleId="Footer">
    <w:name w:val="footer"/>
    <w:basedOn w:val="Normal"/>
    <w:link w:val="FooterChar"/>
    <w:uiPriority w:val="99"/>
    <w:unhideWhenUsed/>
    <w:rsid w:val="00415C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5C85"/>
  </w:style>
  <w:style w:type="character" w:styleId="CommentReference">
    <w:name w:val="annotation reference"/>
    <w:basedOn w:val="DefaultParagraphFont"/>
    <w:uiPriority w:val="99"/>
    <w:semiHidden/>
    <w:unhideWhenUsed/>
    <w:rsid w:val="00B40E05"/>
    <w:rPr>
      <w:sz w:val="16"/>
      <w:szCs w:val="16"/>
    </w:rPr>
  </w:style>
  <w:style w:type="paragraph" w:styleId="CommentText">
    <w:name w:val="annotation text"/>
    <w:basedOn w:val="Normal"/>
    <w:link w:val="CommentTextChar"/>
    <w:uiPriority w:val="99"/>
    <w:unhideWhenUsed/>
    <w:rsid w:val="00B40E05"/>
    <w:pPr>
      <w:spacing w:line="240" w:lineRule="auto"/>
    </w:pPr>
    <w:rPr>
      <w:sz w:val="20"/>
      <w:szCs w:val="20"/>
    </w:rPr>
  </w:style>
  <w:style w:type="character" w:customStyle="1" w:styleId="CommentTextChar">
    <w:name w:val="Comment Text Char"/>
    <w:basedOn w:val="DefaultParagraphFont"/>
    <w:link w:val="CommentText"/>
    <w:uiPriority w:val="99"/>
    <w:rsid w:val="00B40E05"/>
    <w:rPr>
      <w:sz w:val="20"/>
      <w:szCs w:val="20"/>
    </w:rPr>
  </w:style>
  <w:style w:type="paragraph" w:styleId="CommentSubject">
    <w:name w:val="annotation subject"/>
    <w:basedOn w:val="CommentText"/>
    <w:next w:val="CommentText"/>
    <w:link w:val="CommentSubjectChar"/>
    <w:uiPriority w:val="99"/>
    <w:semiHidden/>
    <w:unhideWhenUsed/>
    <w:rsid w:val="00B40E05"/>
    <w:rPr>
      <w:b/>
      <w:bCs/>
    </w:rPr>
  </w:style>
  <w:style w:type="character" w:customStyle="1" w:styleId="CommentSubjectChar">
    <w:name w:val="Comment Subject Char"/>
    <w:basedOn w:val="CommentTextChar"/>
    <w:link w:val="CommentSubject"/>
    <w:uiPriority w:val="99"/>
    <w:semiHidden/>
    <w:rsid w:val="00B40E05"/>
    <w:rPr>
      <w:b/>
      <w:bCs/>
      <w:sz w:val="20"/>
      <w:szCs w:val="20"/>
    </w:rPr>
  </w:style>
  <w:style w:type="paragraph" w:styleId="BalloonText">
    <w:name w:val="Balloon Text"/>
    <w:basedOn w:val="Normal"/>
    <w:link w:val="BalloonTextChar"/>
    <w:uiPriority w:val="99"/>
    <w:semiHidden/>
    <w:unhideWhenUsed/>
    <w:rsid w:val="00B40E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0E05"/>
    <w:rPr>
      <w:rFonts w:ascii="Tahoma" w:hAnsi="Tahoma" w:cs="Tahoma"/>
      <w:sz w:val="16"/>
      <w:szCs w:val="16"/>
    </w:rPr>
  </w:style>
  <w:style w:type="character" w:styleId="Strong">
    <w:name w:val="Strong"/>
    <w:basedOn w:val="DefaultParagraphFont"/>
    <w:uiPriority w:val="22"/>
    <w:qFormat/>
    <w:rsid w:val="00B40E05"/>
    <w:rPr>
      <w:b/>
      <w:bC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unhideWhenUsed/>
    <w:rsid w:val="00AB16C6"/>
    <w:pPr>
      <w:spacing w:before="100" w:beforeAutospacing="1" w:after="100" w:afterAutospacing="1" w:line="240" w:lineRule="auto"/>
    </w:pPr>
    <w:rPr>
      <w:rFonts w:ascii="Times New Roman" w:eastAsia="Times New Roman" w:hAnsi="Times New Roman" w:cs="Times New Roman"/>
      <w:sz w:val="24"/>
      <w:szCs w:val="24"/>
      <w:lang w:val="en-GB"/>
    </w:rPr>
  </w:style>
  <w:style w:type="character" w:styleId="Emphasis">
    <w:name w:val="Emphasis"/>
    <w:basedOn w:val="DefaultParagraphFont"/>
    <w:uiPriority w:val="20"/>
    <w:qFormat/>
    <w:rsid w:val="00AB16C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rL1tnolvgGsuC5h7QD03p2tNwA==">AMUW2mWGLj0HL8RPQIB3jTa/3fZIEjHsoUtPOLv6vQ2O2gcfLfvOhykiRvCkcRi0TUdzY2GT7Bk/P3vY5tSdK4yVVR5OghcqU3cSWPBBdowK3HZRZqQlFeMng9eKvVMdtwJagRSQazQHL1E9S9zNIXcRIz6aGATDXBLMYyPCAgPBvWVX1zwgI0C/LDU3QE+Ld41xKUSPFsJ7W1NiL9yg/+yPK5LteP1dcp4hIZ02muMs+Wy7DkNEe/Pe+HOSnOVKHHLlZW2VoIrIwYvx8gdJyZsU11k9nqkDaXvYwRWD1GH9eK/qPqA939L5g6J1tzxPUx1rkoYUW8dndoHkTV0usaP/k7rQP1LI7G1uHgxc96mNtArOpOoa2KErHb/z/cy1oFP5zIRpvtazum5AxsL9CjiLPqizOR1BV/Vjfgx8Ij+fXYNCYyi4CwpYD4LR9nHdkkCicesHEj8JJ7liMi5WT3j2PJHUl8esQBW36Ydq2j5bV/57mPDn/b8U/LJ8wsPKnGsTiHErZNfgHB6eXLLKTuiLnEfEGYiLjIi5OsMoGQVXWDyKCzANIrjn/Abi1T/RJlS3+INZ0q5wSskD4rdAwonJ1P2J4oYzLS17F+iAw8xyj8XhISxIMCHhacMAP0eSPdHDPb6hzgHHWjViKekWLtMUROoPOqnsCHFN7Wr7mZFSMbye54tDwPOqPS9/xfRISzAPPXtwEXG0pLFYj5skwl3L4eWgLdTlPRJLeMRdIeRx7qP1S5Zhn/vQ7viH0Zr2+sQf4GE/scvu5uPQFc+GZ/+LvQCJ++HJhs44BJdcuAglMGIDRWXxe5WNF9caQySXSKyObe89k+ZBSL8iSD/Mm1zEyuXtGpqlQaVU5v5RkfbNChc8weTltN8Q2SsWLObbay7WKZ3ZtM8JcC1Q3ViaQAjqpaopV11WwH3riYftd8u6YO/0GsR7vp9vyJZ00cVC0PevjZ/i4Y9Pcp55b7jWfvJKnL4gWZDT79Ok9y/palXzvBXl9bzgxUbCALdw54HnuM/tIiquEO81WzTtN4gAfTZ8ctQNjbtI3vqKQyklChhFOiv2QQfGFsfUjZWovp5cOEUEcxPXgu9vZwcSq57/CD44xHhSxDUwHYtdAn20LvpKe9Cye6KKH2vBdhORiohD+6jADkzLh1mJmKfQp2ib5/Ti/hQx/cdNLfBn+2cfkiQ4jFW0Lr/IB5HdIl39IYx7OsbDvYTW/8ZTVRevAYX4WSPDSIXoQGgs/ExmJtOKbVmj/jFxTpBCKyVtRHc0V4TnqohbFEVI/WZ2DeMCh5Olxq/Q1ZYKfF0bKGPUcxi2wsSh02ffq77V+J9hwLsFp3wzyhPGjMUYdt2VGPvXzRGfNTKq62HuolP9gTZXWRHAp0jUu82j/dkLBE6j3CTuwAGwYEqOfx+d5DLYpZQfYx1M7T7wff1WNMB2X67GEa8PZQTvFyLownfMZ1HLVMkL+4gcfhAZm4M3riVwNoURIMePxChQZjMCzS7EYbk9xkUpSQEDZe8vGjymfjm3Z/cAyJo6FmPokVqfdloKkD+7FGnbEfJJHdW5gbtKCNOPVqaqhLvZSGKXGhuGpT2gCxQbBoUmvIrQocv91Kz6GFVSLDp2zcPvl6lL78Eim20arZHRAOJYYn1qOklI1JTDMuwCxmqos/mQKvteas21H4FuhrmM3klpBRjN1BWc8+S3zJ12XXwMLzdlRYI3gn8/SmrWv+0YKiU0ojfkeIfa8nhhZ0moCa6hhmb3Frhx1S/Kchcxe84VuiojJ2nytdf7Jthc9VcolPuidgdojZkyXdC7TEYFGR342j6Z9EJqonfGOWrc0ZpyokrVVy5NWbxdia/7rzxPj6uOcP2xHd2HGb9yyV1s8ItCmbA0/BWZHpw7a6OQaVAhMJznEVjTLN5zoncxt+npNLw06YyQO79AEPqPlU//jJowL7h2IWy+vw+Q55sdLjOvvbHSox2a6lMEi1tXnyBuUhj9MqaY3T20qdZ+7DK3nUliCGrevZ1ox2mP7k0Fn7uHeXRGwO+/XSViOl7JwTUKjhN1tIy7i2BdI900utRdOZdc87MDebtW3Tdk4z5jI0eLK02rgQi+RQKiOYt7MM7DyOM+9NJwoX6XWQqRrToSpPTGWIahCitq+nJrg7ke7m0tUeZBHfsqHtqL2Itkf9lZXvc+42CS+Fo/N97gfgQ2B5QWEakoMPDyERMcjc6h26Nf/5XFPy9/KOogQBIGuvW4UM/+1qRWRciP63LSbJvgSdmuiDws2pxq8FT6MPDBOjueS5SHZ3CtpYvO5viPUXdIjfhxOVo6IcRXmGRWG9zIOcfaNQD2rOJ53GsfoHMp3E76rva/Fh9v2hjMQuwlfXp8diUFJ8rqE3RdugtsqedQjCNHPBwlXJM+fVV+gysz7Q3fIvIZwNuESQvLLNvsDfomEfHMiaDi9nWx4pLxEF3VdeFCXhP6sLKUQXeysHXaeOjc/XTJpZkrjphtB+P5DeSC4iMHYqextWNzvdWWCyEOXcP+0mL9u9fu92WwI6xcYjFeHOatJQ2hETXxxle8F/6D9fpOQmaHR61YwmdT5kH3CucmtJRX3x2jreRdmufYsx17Em3yb7JNobUOmSJvecRj8NsXhyNpbTCjhlLEyWbRFsN4F6AEWZiysKa7wgOdC9AbIN1BNcSoIxBww9sFxhX7LJyoCrmEj+i6e3XdGqupger4vsR0HRTX1CHNKBp/k5ITibLEYTvMbVQR5qvMgaJpxf05rHidmudVRPSvS+EfF8cLNeEpMKe3qcJhAJYOKbhqNIC7ErVq5zKZsSrjfJTf98Y0j+ZnbAMqnghIlA+Mb7Dwz+mqWDFK15mIrbrzqQ7Oidd/DtF45I2R7B2oLtSFcLdNcMtFsT0P6Vnoe+iB2bbuWYxJjwOxx0O1HxoCsUgIulTErPGG8pjv+05pZAQtzyoNOIPV6nBpJKsprgf9xeV0Jy+H9cZxXcU+n/lofJWfmUj73WarO5AY2gsLOdOnOOHVtzyEWh2Yo9mksLEpQKgtcW5CD51NgCv+rcfnsjRtSGA0SkVVxxeBnxV3/nEriDd7FQ7am2B1EmemFxdaIUtWi65gDk41Sv8uA7G2DUqhamHKc5L0Wb8DDvdr5PJHMraX9goAygG5HLFgj0hFsv1fWXB8xhndJVe+gZuYhhvCyyKvjY5PH/jBWKdL8DOQl7a7SmInaG4A1IVnaa6JE0TwrdoG4Otk8CKJYydQkO84IIys4iBS/3QRx527/Kgbnmcq1nEgWYujXbD3Lyf0luov23drCEe96ciMGMTT6L4ubk2XCnzZ7nJf8SdtjVutyPF5OCDxli8uUTOUnYkFveAkRHI5B0Lr4Cdd0PFryvc30IPBZUJ8TwA0Bd7pbsZ4PGt4LsH67UCCT7KaZtNclCrNz3To3J1J44Z5eLL1cxVHE7nsUN5Au3k7SzO7Oky5CKMQ7F651jXUrFT38PfvfbAf8TKRWckslHsSqmrf9fxPeDvxzbCBnmOuwxmy+OVCntDiwi2UDmauMr2yXR9ZnhoAxfkttTBDp5LElp2PHGKnJmT05UHVJCkS+Zy64hPRH5zSGCzyB7LeUhMdZCJIEo9mOKM3VzumDxtg7UOZySUXPlPj8YuvskoO0zc8wWkJbKmiDFRz/0tDnyxRChZuPvZPv3Xkcm76I6Dlc55VAnoE3RpGoonFmFCMjQSG7TVV1OWL5vy1b3ZpgxjFscfOO5LP+Vt2mtC5vWssTAz5HTCKa2bm2I2G0I+em7dsaVs3tB7lOkOqAsa7rMAdee1I3jlgzAe1dz+uM1CCfA1O9zjm/GkK1kPRiLlSVKmX7/dB9YCPiV9CVWLjagBOY3mZWOERPlNyBEBqn4uGto8LlJkt9y89DQF5I65jQBRMuePjVfJiXS1ZB/0bBTH1IpUOLEna1NPZpC9RLPzUYJHvsBsGAFc/9HTCSfQfFmpkHjkGjmzNDMN7PZ5ALmpy9tZpa+FILvKBU/STvGUOehG0DuVVjlwXtR37158mmFIu/icaP1oZU/imAtM0HlCqasUSjuBKB1E8Iqd113ydO8EpQDWfCPIiJOs6+OQljW6yezsoTTDk0i440H/PgYaJhWXhlJ34nQLWKtwlH9S7Z5bOQlJeLA0CmkFefoWPGjWJZ7PYJ1/molJNGZNxkSXicr4v5SoJWgjPvRlu1IJ5T71uOsOoQEURT2seEJIDthryTR5MLH4yXoqB3Mx/xaYCCIdr755XTzoJ90MNFUIcN0geCSHDFu+qS0haxvhDTCKXNjPnEKBinWiyFJ0BAEMSwGDk/ZyUApMg54OcO8TpIi7zrDsCxhFSsBza+Y8CTCrZoBdiRgL2Ug6KaTjzoAZvUsepL9SXJLIeKkz7+eGkW1BEbZHVsuDB3JR/jG/LLuMnw+6nlTj953F4rUz2sZ8bs7QrXeM10Au9rhIl0343LMTW3Fd7GL/SHNnTcdyjMsBj/OoyG7FrLReRc5TDnscDypkPx50PkYc3z8XirU1KxcCAnCreMgGvx77Dr/NJp5/V739pVDMdx/TGQx/lUS5JyCBUS73ZkTPUOp60eHiRMaD/vKTnefxSyrkqoj2eBq30mbTJMEFhLKZKzmyeTzEUV0Rz9xvThzjb0jS+0RrwqFsVOG2WpDwAYte7cLd5ywB/PyR0wh0l0C6tSiZhxB/rCyhU3gk7bM0fA+Bd6Ql3Isuo4oj6YpYJPgSkm57PNJeYOO13x5I9C89fW/8m1cX+3MAzJnhDN3JoTh00e4iYhfyTd4nAfocrVPHb34NOWy+oYAI92/VrU8Xveg8bW5Gin0g9cIpw27MIKoazP5Mu9wKsWRxdF7BsP1qzGcE3AL2mbGtMN1dopdBrRGAosPDiaUdk+WpgBD7fdUUkVE88xNYNp2P5hUXnptd/IDrJzG6KNUOyLIiGczWzR5qkP10L1pfUlypF8d9vRoTaDYCcOAT1JMgqUcUrOt04MIJXY2dA7id3OvUv/M9N7PV6E8e55cQZdY0SaSg2CLzMzN6+RRKb00mWwkwYd9694/xz0G3apxBkk0vPS9jpAISPdsgeprWeSdgnSGieIin78cg6Gnkab557ffYCKckvtKpaLFejBHy5uk8qTsP4d4xyO5y1EgthkQ49jhznS287ahvRIadXwurNaqtMd+aRUD4uREp3sbyCvbuCUkz+G6MBp3ZFpr1JR4wBbwjdpzuscbiyusGHIvQSOj2srKBkwaBDkS90tLjnU1N2xZUCWLerxB7kXR0eQUTHBB7lHVqlmguDXDyjrDYBpTRBZKgjxB+inLCGCmg8K+VZyh+37mwh3lxqYGJqjNyBUmE/ORo48dYi0MlLCpYoAIHLqLefH96hofmn2UUAPEUgXtIRWkl/rS/0ZOYDt/H8qSlztzByQBnXKW8W4SKIV7tmEfEA40vHfQRMcCGpt8KxGeAT/RCCG7bXqJuy3fujY5iplzgLtXClSrplG46RQkvBTnzq4XezmfqY8JW1rBT927RBrw45Vi3wp4tdMaX3RSH9H3g0WUGPRh+0Sx1jSDKGGc5nWon1SY5HBCKxrE8Y3W+1HrvbrtikOoubQIepoKLhqxbZ+Yz3swekUO87NuYO4fQB2os0cqxDKcBraG62O8gO4BmzipYfA9q2H8OiIaHMYPA0V9KSJRRm0MtM3m3UAn9x1dTZZ5eFurBbH5FNbK1Ui3uG48GoTu22RsGdXYHq25LnevdaaIdDga6amWDcBRjzgAd6VI9qaX+GQubosfGx20C0F/Td+A7tx138R8+YlUxfKwNv8iYmkPQin4wv+PZDGb5MjDcv7RGF15XyKnNElPNEI7GzNhpLzI1+AH+PGnETFRHzkYKfrDPRdzVqcEJ0AJB2w5B6gKPe4Owk3HNg1c2DMuBZN0AbxZM6GrnCS01fJO4AAXQVyHH0L8ZIvjXTSOPcR5B9JoBuYCpxusAryqAGn3sXI4i7QqBzvNYjrnZtp9+NsOKfn1jpPkDGhow+cyalCRTU/g5N2wijwkeounzo0vvNkWD5aaVU1D3YTKmTfNO0VJAjjOOTvxoLmXbietagYMox1m1KpXV2iUZQQWRTd9VqcmXTwF0/qukIx/lgnR5PUkc6SSk97gpXY2AUQIGM2vXhMrxxkjj+0zF2Prs1rXN3djYov6b3Iux48nKFAVEggBRitj0gbbv1ycNx6QkFe/v+ea6tOiJNn23jCyprzs1lJ9wKI+S9qE607Ky9hJBQQdelVI8RxHmCva3gDZX/5oP7IDUz0mSh/+OJnMuumu1RqbpK/MBJScPTOf4PqCIwQE+b0qaYb2kvK3+h2C5jDG8oPi35hgcfxsoEtvcFoD4fD+EZ+L9PBHhq/FJoREKRE8Z4RYWLdnGfH8tvo6Sw8iPrhvZaWoOS7WZUe/ntj3CL7TgslaTeo/bcY6oOx/pH6sEA6CGxn0XfTBu0Odll2PVwWS9jglSaRUTrPLtfeLvoPb9vu4ySmTF7L42Noz81PWWUnWZloXVOkLxbqqgWmBEA31hIPLhJH/yWkBpxew/q+3Fy91vLJJQNgu6gft9Hb4emqX6mHzncBEQ70Ajslxrg9e7Dya3RgsVrkLqF4Mdw5h2PWWtM6//Fj59Bb1LuJS62UeSMok6eJ7L08JomvPoKZVc8VB9df2UzQlRLm+Y1KzaUXmOFowKAbvb9AlIrO3AqpOIZHXrGb9eQhfwIaoEyAhhUhyQl2oaQVgXToblPmd1u8r+PZ1w4Z09o8smoseZSsMIAwJzZ43K3Eg2Twhq3az3EevX6OoIfMRf2hLsm3r0BgyaqPK0cPmdql5l/fUcvCWVGbV4b/KKbde3UYssicFxkK3auF7IhIy+dTQvhQ5iQbFbpl05kDpdsA0fs0BetQhFidM3/dUqqsy+eX5W2amtznegj7pZpZFkO/9Av4nckgKz6AvxqbRVGTAPFCU1IRoLbtL7kCZ5QRFJdBQMDiwWly/lG4fS6ozsRyvRu9ZN2cWCg5OVrqPc1vSBECL6IcHieRNIbJ+65opFD05BfLqybjYGa8y+60n3Vmhf/fH3D81TxJgmksWu9/RXspPgoyvVcN3ePDA2HwgS1ohqWmhCKUZwsCpxOeX8in3vtAFDMPdNfPZbAlNNoQtr+zMBIM8ETZ7e85JGwyy5u14rbIuNhjikVcv8GoHIFH40LrdnEPkPvNGMWYXzFMmOHdEImSd7ShMaE2Tn6oqjY8FS9LYGHbuGLkE6ElTgTIQDP6i/V2/Gd791SAjvoHFEbtj+vZ5WF3Myx1gA2vVGWPJULrrhU+9GSeFWtpCAGG1X+bISE4leElUvoH+/DzE9+0AS2wwFm/L8toOtyAr7/rxah13eiLnA/vDpDM3f57nBlbn90/wDe1mHMmWSjX4CBNGdSbGHMygi0kMUiZ/kYItx17JLhwKmyhx9RBj3uXibHURyxm6oNNrDPf5TNr1XQbtjHk2N/iBTAgJPxvCrmzyWEfqKJoSrpIdPRM+MoFQ496W8z6iz/+jq7b/bG38L4EeOE5b23m89mebl1W/Yt6jydZj1iJuAZR4zuZQGqEaBFxQqScb8h4iJ7YQQxSdGUHE+08g6HqDJ9nPEFyRvjSkhL97rpy6Wpv1eUrYjjjTGBbFpO32wr8/8j7aXMO8M4rlEaGXYrA1Db5PQcv/dEabsqgvmVuoIx4SELg7XIJ13Kuk9WyKjja0asskdgXdOcoPeXg6gM9do04hNO0predTtl2yCE+tdQe0yryI9h13Rbj5pD9xrB8L52tzYC2tigBkHz0lXH+Fo2CsvRC92lxMuDi6cDJjbf7VCVvBwf3uv41SQZv7pqMZRTdasdjTLQmKo0/0L2ACUzimuSVc7xG/rGBaz1U2eU+PKJ8kScx0CbyPJ3fZt/xSGDQRwJz/stNYw39Bgf9jU2dJ53KruW7hfBGNpLlQasXyaGCcMvXRhAzh7gaMinXIiSJ1V7EXF6Z4D9suFCpCjwwXP7JHwtb2EzRi5EOL1Z9kEO5avu88PMoFfVEW3lbRBqAVDdXACJiu15871Vxow1iWc6Lk4EkeyLlrBQqx4rmaNpIjBuMnNsz4keBxu1hSM8RTiULyaT/tSFu1/G6DipMSs1YE1KlJD5A2CVknV3deTdp/Ag0/55xXrJeHs2Z/kGALviPqXj+b/sPiF6qa7QN+J328C05NYpf2F1bLrKYEghf59C0xJPZQHwt8ESlZjgWGFyYWJ2LQ3Kr1RQjN8Cy/yNhgiOD57hAsewHf9/LVH4N2rXe7e58/asovikvUxDZWqXTEXIV4EYezFRNOyMbnKoSqLuXBgrkWGr1Xfy9TdPJ4jkLVlUR4W42q4HzUqoeCYDbqqbTYqfytE0aE+mIkCYEI9KTuZvxLJw9BcXHLA1uAeuqqNhibmzX8hMXQMClrEELUbSV7ru9Ws1B6F7XhECgTY/nV9+wzWAf0TpcZIR413KcjVuVbMEWZo5GS9QfBgAdyoo7pj3qyfTvHnfficQm3YS9Te/aUv2Y2O1vaQJYAsL4h1BD7BgvQKxjYEQ2ZYxLz902ORylyj/p8Q4vRw20HqblENuF2Yi6t09lbUQIbKx9YYW7Ekg2w3Pm9M4NNN9fgcFCTlNbiRBSww2HuNeqb7D7eTW4MurmiKL/5+zLmf5I/EMZJpV1AOJrqxMDjKt9GmsPDZWI57tkAFiLqu3C4aY3QYpTR0f0dg9UVoZATo4DxQhgUfRexYo9eNdBan+/DtOghs3nkCd7ujvlK+0zgBNWxy/SFa0Wy0JEUhIynftcIrIMggVS1LCgX2nDrEU+kbWym5qODTkFA56zL2VZpZmOGQj9+nGvZ3irQTqAMcqWBdDk2dEDBznJE7xW92LeZ0xIENo1kaPSCORyNOyx84U5eyRqpd6PTkwkYFqqxJ83k7oKpCw3clfWGDmzV9ARjvHFMQn4bWrChQ3BPmHUD67j4yKD6cTErBX7K0w0Pcj7X3dgy6g2v4xTSWiYWer/xNGl+mMipl3DpuxUbSpIpsWbEpBrkUp2f0Qx6V/jQ0tKJnIQJifU5xgWCre4hdGE8NA4NY4C7GtBa/xzKYUogCmVIxRiJLEq9c0E9UwSUjewIAeT4xiPxId26M/MJQEhiKPuQ2YVoD9IlZW6IXLgrfte+KdFau1EEFKY6rUYMl0PLTJ1jKbusJyeTVtjbxAxSC4RgGJqvpYoxCdQzVxIpt7I8VIlu4ksbg0WGls8bCtvd1qqkfqSnzOZ28Bs9S5x0ceJKHTTB2XPqWbgWYKM+RHAdlx4TdQIbKdPQrZFFgo9bZMuh1QBSPfzCZt0WjXrIadqL6EQytM98FPSj5ff/7fsh0i5oMkqEAyZ5xNqmrFxcSdb+wyewGzn4qIjHftohpSTeh3SWdYm3cBsnogG89uyeli0CaCFZ3SumnzHquicOPsvWM3yVRcxKCPkcKNfB8aDi7EDIVFTDni4Tsgfjxgqw6gfbTNNllST0q0+Ozqzt/8qmCQvqyUX+SV0c3ooerjseqJDSQ6t1bVT0RrzNHySYpXnLrVyNgg+3m/6dh+oo1OMUiBnrxD27JRe7FsJ4rmLTkoGbs/0KtPCL5vW9xnbgpCvNFPNHFz9T2RtOY4pYzfaiqg4RqsA7RNpMD/DHHwXEjX+pbBqsn73g/jlz23lOt/6FXKow+yjz2Wp5d+D6IZkl4i9y21hSaCkZwyHctxcYzPrtkv66BmpwasLbhiysz3ywdxr0N/aSePQHXZCoPFALYkAyPnxCR1J44011JInbxqnORQHukL9CN10Ymf9wGo2l6Bv5XYpWbtLm6xiczmrrTTm+1YRrg9HPOhm9UliRXHMf5RRIevAosrek2U7+an1cHcFFe3CmBGX92dchCqPGFdCx7GAOjb+9KuZjZ++2AQRu1OoG3A+1CgNjSp8dq7lU6ShrtGQufAF+rwhp0g90d5LJWoOCWCW//mj5bIDs/pLor2oSEprVM8ASndQuvNeKBQ97g/RtJd106yxCgRkCxqJWVkUi3JFAwb7lLOsjMp4G3E2izY+xrM4yNnyFobzmmpUM0CFROYm7mpAC23DFjR/I2vfoW08eMhSL5StB097Gypd5HE425BqHKNA6pqVUo8cAk+WguQxB41mY43BJ83FnlzYCNSUfkkT4tw/VTl6KGs1pA2C+bYTb0UFwRV0islCKxgccHAj9bMDoS2zFTN+xDKxU0DAl8IRIOoWWnTBS456XEIHX7eB1gbdSLc4wCG0hYMFVgxdoBatvvpgDf8RfAfhHFTHZRI1/z22jjWDeJ+hMIjeIvLLbf5tMYfUZcDPdIuPPkndtsBZBTJrvT+rYlIV/77QcMEP2grCpy5Ro5HMqdrDsQO3gdGOznJATDf+7KI/MUPCyoI/Ij88+gxRf9rDa7VhTBgkxAiZ4YMHpPAdxOUmSW8DQf8XVt/Qoieo4Lxq67MyPYvG+D/h0uS+XG2dUgeDhEFAOzUbyxIhlKJa+X1TXFrIjIdWZ+BIMWxfXh6eCshoj8eb6T0ZuLoky0iI/kKUiyNi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10</Pages>
  <Words>2130</Words>
  <Characters>12143</Characters>
  <Application>Microsoft Office Word</Application>
  <DocSecurity>0</DocSecurity>
  <Lines>101</Lines>
  <Paragraphs>28</Paragraphs>
  <ScaleCrop>false</ScaleCrop>
  <Company>diakov.net</Company>
  <LinksUpToDate>false</LinksUpToDate>
  <CharactersWithSpaces>14245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Eprem Karapetyan</dc:creator>
  <cp:keywords>https://mul2-moj.gov.am/tasks/337917/oneclick/himnavorum_xoshtangum.docx?token=24ae8879be1515228985bd37a84d65b3</cp:keywords>
  <cp:lastModifiedBy>varchutyun hakakorupcion</cp:lastModifiedBy>
  <cp:revision>6</cp:revision>
  <dcterms:created xsi:type="dcterms:W3CDTF">2021-11-23T13:31:00Z</dcterms:created>
  <dcterms:modified xsi:type="dcterms:W3CDTF">2021-12-30T13:17:00Z</dcterms:modified>
</cp:coreProperties>
</file>