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GHEA Grapalat" w:hAnsi="GHEA Grapalat"/>
          <w:b/>
          <w:b/>
          <w:sz w:val="28"/>
          <w:szCs w:val="28"/>
          <w:lang w:val="hy-AM"/>
        </w:rPr>
      </w:pPr>
      <w:r>
        <w:rPr>
          <w:rFonts w:ascii="GHEA Grapalat" w:hAnsi="GHEA Grapalat"/>
          <w:b/>
          <w:sz w:val="28"/>
          <w:szCs w:val="28"/>
          <w:lang w:val="hy-AM"/>
        </w:rPr>
        <w:t>Տ Ե Ղ Ե Կ Ա Ն Ք</w:t>
      </w:r>
    </w:p>
    <w:p>
      <w:pPr>
        <w:pStyle w:val="Bodytext701"/>
        <w:shd w:val="clear" w:color="auto" w:fill="auto"/>
        <w:spacing w:lineRule="auto" w:line="360" w:before="0" w:after="0"/>
        <w:ind w:left="20" w:hanging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«Հասարակության թվային զարգացման ոլորտում ԱՊՀ մասնակից պետությունների տեղեկատվական փոխգործակցության մասին» </w:t>
      </w:r>
    </w:p>
    <w:p>
      <w:pPr>
        <w:pStyle w:val="Normal"/>
        <w:spacing w:lineRule="auto" w:line="360" w:before="0" w:after="0"/>
        <w:jc w:val="center"/>
        <w:rPr>
          <w:rFonts w:ascii="GHEA Grapalat" w:hAnsi="GHEA Grapalat"/>
          <w:b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Համաձայնագրի </w:t>
      </w:r>
      <w:r>
        <w:rPr>
          <w:rFonts w:eastAsia="Calibri" w:cs="" w:ascii="GHEA Grapalat" w:hAnsi="GHEA Grapalat" w:cstheme="minorBidi" w:eastAsiaTheme="minorHAnsi"/>
          <w:b/>
          <w:color w:val="auto"/>
          <w:kern w:val="0"/>
          <w:sz w:val="24"/>
          <w:szCs w:val="24"/>
          <w:lang w:val="hy-AM" w:eastAsia="en-US" w:bidi="ar-SA"/>
        </w:rPr>
        <w:t xml:space="preserve">վավերացման </w:t>
      </w:r>
      <w:r>
        <w:rPr>
          <w:rFonts w:ascii="GHEA Grapalat" w:hAnsi="GHEA Grapalat"/>
          <w:b/>
          <w:sz w:val="24"/>
          <w:szCs w:val="24"/>
          <w:lang w:val="hy-AM"/>
        </w:rPr>
        <w:t>նպատակահարմարության մասին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 w:eastAsia="Times New Roman" w:cs="Times New Roman"/>
          <w:bCs/>
          <w:sz w:val="24"/>
          <w:szCs w:val="24"/>
          <w:lang w:val="hy-AM"/>
        </w:rPr>
      </w:pPr>
      <w:r>
        <w:rPr>
          <w:rFonts w:eastAsia="Times New Roman" w:cs="Times New Roman" w:ascii="GHEA Grapalat" w:hAnsi="GHEA Grapalat"/>
          <w:bCs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 w:eastAsia="Times New Roman" w:cs="Times New Roman"/>
          <w:bCs/>
          <w:sz w:val="24"/>
          <w:szCs w:val="24"/>
          <w:lang w:val="hy-AM"/>
        </w:rPr>
      </w:pPr>
      <w:r>
        <w:rPr>
          <w:rFonts w:eastAsia="Times New Roman" w:cs="Times New Roman" w:ascii="GHEA Grapalat" w:hAnsi="GHEA Grapalat"/>
          <w:bCs/>
          <w:sz w:val="24"/>
          <w:szCs w:val="24"/>
          <w:lang w:val="hy-AM"/>
        </w:rPr>
        <w:t>«Հասարակության թվային զարգացման ոլորտում ԱՊՀ մասնակից պետությունների տեղեկատվական փոխգործակցության մասին» Համաձայնագ</w:t>
      </w:r>
      <w:r>
        <w:rPr>
          <w:rFonts w:eastAsia="Times New Roman" w:cs="Times New Roman" w:ascii="GHEA Grapalat" w:hAnsi="GHEA Grapalat"/>
          <w:bCs/>
          <w:sz w:val="24"/>
          <w:szCs w:val="24"/>
          <w:lang w:val="hy-AM"/>
        </w:rPr>
        <w:t>րի</w:t>
      </w:r>
      <w:r>
        <w:rPr>
          <w:rFonts w:eastAsia="Times New Roman" w:cs="Times New Roman"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eastAsia="Calibri" w:cs="Sylfaen" w:ascii="GHEA Grapalat" w:hAnsi="GHEA Grapalat"/>
          <w:bCs/>
          <w:sz w:val="24"/>
          <w:szCs w:val="24"/>
          <w:lang w:val="en-US"/>
        </w:rPr>
        <w:t xml:space="preserve">վավերացման նպատակահարմարությունը բխում է ՀՀ կառավարության 2021 թվականի նոյեմբերի 18-ի թիվ 1902-Լ որոշմամբ հաստատված թիվ 1 հավելվածի ՀՀ բարձր տեխնոլոգիական արդյունաբերության նախարարության </w:t>
      </w:r>
      <w:r>
        <w:rPr>
          <w:rFonts w:eastAsia="Calibri" w:cs="Sylfaen" w:ascii="GHEA Grapalat" w:hAnsi="GHEA Grapalat" w:eastAsiaTheme="minorHAnsi"/>
          <w:bCs/>
          <w:color w:val="auto"/>
          <w:kern w:val="0"/>
          <w:sz w:val="24"/>
          <w:szCs w:val="24"/>
          <w:lang w:val="en-US" w:eastAsia="en-US" w:bidi="ar-SA"/>
        </w:rPr>
        <w:t>28</w:t>
      </w:r>
      <w:r>
        <w:rPr>
          <w:rFonts w:eastAsia="Calibri" w:cs="Sylfaen" w:ascii="GHEA Grapalat" w:hAnsi="GHEA Grapalat"/>
          <w:bCs/>
          <w:sz w:val="24"/>
          <w:szCs w:val="24"/>
          <w:lang w:val="en-US"/>
        </w:rPr>
        <w:t>-րդ կետի 28.1 ենթակետի կատարման անհրաժեշտությունից, որը կն</w:t>
      </w:r>
      <w:r>
        <w:rPr>
          <w:rFonts w:eastAsia="Calibri" w:cs="Sylfaen" w:ascii="GHEA Grapalat" w:hAnsi="GHEA Grapalat" w:eastAsiaTheme="minorHAnsi"/>
          <w:bCs/>
          <w:color w:val="auto"/>
          <w:kern w:val="0"/>
          <w:sz w:val="24"/>
          <w:szCs w:val="24"/>
          <w:lang w:val="en-US" w:eastAsia="en-US" w:bidi="ar-SA"/>
        </w:rPr>
        <w:t xml:space="preserve">պաստի </w:t>
      </w:r>
      <w:r>
        <w:rPr>
          <w:rFonts w:eastAsia="Calibri" w:cs="Sylfaen" w:ascii="GHEA Grapalat" w:hAnsi="GHEA Grapalat" w:eastAsiaTheme="minorHAnsi"/>
          <w:bCs/>
          <w:color w:val="auto"/>
          <w:kern w:val="0"/>
          <w:sz w:val="24"/>
          <w:szCs w:val="24"/>
          <w:lang w:val="en-US" w:eastAsia="en-US" w:bidi="ar-SA"/>
        </w:rPr>
        <w:t>թ</w:t>
      </w:r>
      <w:r>
        <w:rPr>
          <w:rFonts w:eastAsia="Calibri" w:cs="Sylfaen" w:ascii="GHEA Grapalat" w:hAnsi="GHEA Grapalat" w:eastAsiaTheme="minorHAnsi"/>
          <w:bCs/>
          <w:color w:val="auto"/>
          <w:kern w:val="0"/>
          <w:sz w:val="24"/>
          <w:szCs w:val="24"/>
          <w:lang w:val="en-US" w:eastAsia="en-US" w:bidi="ar-SA"/>
        </w:rPr>
        <w:t>վային կրթության ծրագրերի իրականաց</w:t>
      </w:r>
      <w:r>
        <w:rPr>
          <w:rFonts w:eastAsia="Calibri" w:cs="Sylfaen" w:ascii="GHEA Grapalat" w:hAnsi="GHEA Grapalat" w:eastAsiaTheme="minorHAnsi"/>
          <w:bCs/>
          <w:color w:val="auto"/>
          <w:kern w:val="0"/>
          <w:sz w:val="24"/>
          <w:szCs w:val="24"/>
          <w:lang w:val="en-US" w:eastAsia="en-US" w:bidi="ar-SA"/>
        </w:rPr>
        <w:t>մանը։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 w:eastAsia="Times New Roman" w:cs="Times New Roman"/>
          <w:bCs/>
          <w:sz w:val="24"/>
          <w:szCs w:val="24"/>
          <w:lang w:val="hy-AM"/>
        </w:rPr>
      </w:pPr>
      <w:r>
        <w:rPr>
          <w:rFonts w:eastAsia="Times New Roman" w:cs="Times New Roman" w:ascii="GHEA Grapalat" w:hAnsi="GHEA Grapalat"/>
          <w:bCs/>
          <w:sz w:val="24"/>
          <w:szCs w:val="24"/>
          <w:lang w:val="hy-AM"/>
        </w:rPr>
        <w:t>Համաձայնագրի նպատակը Կողմերի միջև տեղեկատվական փոխգործակցության կազմակերպման համաձայնեցված մոտեցումների սահմանումն է՝ հասարակության թվային զարգացման ոլորտում և թվային տնտեսությունում, ինչպես նաև ԱՊՀ տարածքում էլեկտրոնային ծառայությունների տրամադրման մոտեցումներում պետական քաղաքականության և նորմատիվ իրավական կարգավորման ներդաշնակեցման համար: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 շրջանակներում համագործակցությունը կարող է իրականացվել հետևյալ ուղղություններով.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360" w:before="0" w:after="0"/>
        <w:ind w:left="0" w:hanging="0"/>
        <w:contextualSpacing/>
        <w:jc w:val="both"/>
        <w:rPr>
          <w:rFonts w:ascii="GHEA Grapalat" w:hAnsi="GHEA Grapalat" w:eastAsia="Calibri" w:cs="Sylfaen"/>
          <w:sz w:val="24"/>
          <w:szCs w:val="24"/>
          <w:lang w:val="hy-AM"/>
        </w:rPr>
      </w:pPr>
      <w:r>
        <w:rPr>
          <w:rFonts w:eastAsia="Times New Roman" w:cs="Times New Roman" w:ascii="GHEA Grapalat" w:hAnsi="GHEA Grapalat"/>
          <w:bCs/>
          <w:sz w:val="24"/>
          <w:szCs w:val="24"/>
          <w:lang w:val="hy-AM"/>
        </w:rPr>
        <w:t>նորմատիվ կարգավորում</w:t>
      </w:r>
      <w:r>
        <w:rPr>
          <w:rFonts w:eastAsia="Calibri" w:cs="Sylfaen" w:ascii="GHEA Grapalat" w:hAnsi="GHEA Grapalat"/>
          <w:sz w:val="24"/>
          <w:szCs w:val="24"/>
          <w:lang w:val="hy-AM"/>
        </w:rPr>
        <w:t>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0"/>
        <w:contextualSpacing/>
        <w:jc w:val="both"/>
        <w:rPr>
          <w:rFonts w:ascii="GHEA Grapalat" w:hAnsi="GHEA Grapalat" w:eastAsia="Calibri" w:cs="Sylfaen"/>
          <w:sz w:val="24"/>
          <w:szCs w:val="24"/>
          <w:lang w:val="hy-AM"/>
        </w:rPr>
      </w:pPr>
      <w:r>
        <w:rPr>
          <w:rFonts w:eastAsia="Calibri" w:cs="Sylfaen" w:ascii="GHEA Grapalat" w:hAnsi="GHEA Grapalat"/>
          <w:sz w:val="24"/>
          <w:szCs w:val="24"/>
          <w:lang w:val="hy-AM"/>
        </w:rPr>
        <w:t xml:space="preserve">տարածաշրջանային թվային տարածության և տեղեկատվական անվտանգության զարգացում,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0"/>
        <w:contextualSpacing/>
        <w:jc w:val="both"/>
        <w:rPr>
          <w:rFonts w:ascii="GHEA Grapalat" w:hAnsi="GHEA Grapalat" w:eastAsia="Calibri" w:cs="Sylfaen"/>
          <w:sz w:val="24"/>
          <w:szCs w:val="24"/>
          <w:lang w:val="hy-AM"/>
        </w:rPr>
      </w:pPr>
      <w:r>
        <w:rPr>
          <w:rFonts w:eastAsia="Calibri" w:cs="Sylfaen" w:ascii="GHEA Grapalat" w:hAnsi="GHEA Grapalat"/>
          <w:sz w:val="24"/>
          <w:szCs w:val="24"/>
          <w:lang w:val="hy-AM"/>
        </w:rPr>
        <w:t>թվային տնտեսության ոլորտների և շուկաների զարգացում,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0"/>
        <w:contextualSpacing/>
        <w:jc w:val="both"/>
        <w:rPr>
          <w:rFonts w:ascii="GHEA Grapalat" w:hAnsi="GHEA Grapalat" w:eastAsia="Calibri" w:cs="Sylfaen"/>
          <w:sz w:val="24"/>
          <w:szCs w:val="24"/>
          <w:lang w:val="hy-AM"/>
        </w:rPr>
      </w:pPr>
      <w:r>
        <w:rPr>
          <w:rFonts w:eastAsia="Calibri" w:cs="Sylfaen" w:ascii="GHEA Grapalat" w:hAnsi="GHEA Grapalat"/>
          <w:sz w:val="24"/>
          <w:szCs w:val="24"/>
          <w:lang w:val="hy-AM"/>
        </w:rPr>
        <w:t>տեղեկատվական ենթակառուցվածքի միասնական զարգացում,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0"/>
        <w:contextualSpacing/>
        <w:jc w:val="both"/>
        <w:rPr>
          <w:rFonts w:ascii="GHEA Grapalat" w:hAnsi="GHEA Grapalat" w:eastAsia="Calibri" w:cs="Sylfaen"/>
          <w:sz w:val="24"/>
          <w:szCs w:val="24"/>
          <w:lang w:val="hy-AM"/>
        </w:rPr>
      </w:pPr>
      <w:r>
        <w:rPr>
          <w:rFonts w:eastAsia="Calibri" w:cs="Sylfaen" w:ascii="GHEA Grapalat" w:hAnsi="GHEA Grapalat"/>
          <w:sz w:val="24"/>
          <w:szCs w:val="24"/>
          <w:lang w:val="hy-AM"/>
        </w:rPr>
        <w:t>կրթություն, հետազոտական իրավասությունների</w:t>
      </w:r>
      <w:r>
        <w:rPr>
          <w:rFonts w:eastAsia="Calibri" w:cs="Sylfaen" w:ascii="GHEA Grapalat" w:hAnsi="GHEA Grapalat"/>
          <w:sz w:val="24"/>
          <w:szCs w:val="24"/>
          <w:lang w:val="en-US"/>
        </w:rPr>
        <w:t xml:space="preserve"> </w:t>
      </w:r>
      <w:r>
        <w:rPr>
          <w:rFonts w:eastAsia="Calibri" w:cs="Sylfaen" w:ascii="GHEA Grapalat" w:hAnsi="GHEA Grapalat"/>
          <w:sz w:val="24"/>
          <w:szCs w:val="24"/>
          <w:lang w:val="hy-AM"/>
        </w:rPr>
        <w:t>(կոմպետենցիաների) ձևավորում և կադրերի պատրաստում,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0"/>
        <w:contextualSpacing/>
        <w:jc w:val="both"/>
        <w:rPr>
          <w:rFonts w:ascii="GHEA Grapalat" w:hAnsi="GHEA Grapalat" w:eastAsia="Calibri" w:cs="Sylfaen"/>
          <w:sz w:val="24"/>
          <w:szCs w:val="24"/>
          <w:lang w:val="hy-AM"/>
        </w:rPr>
      </w:pPr>
      <w:r>
        <w:rPr>
          <w:rFonts w:eastAsia="Calibri" w:cs="Sylfaen" w:ascii="GHEA Grapalat" w:hAnsi="GHEA Grapalat"/>
          <w:sz w:val="24"/>
          <w:szCs w:val="24"/>
          <w:lang w:val="hy-AM"/>
        </w:rPr>
        <w:t>մրցակցային թվային տեխնոլոգիաների յուրաքանչյուր բնագավառում տեխնոլոգիական անկախություն ապահովող հետազոտական աջակցության համակարգերի ստեղծում: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eastAsia="Calibri" w:cs="Times New Roman" w:ascii="GHEA Grapalat" w:hAnsi="GHEA Grapalat"/>
          <w:sz w:val="24"/>
          <w:szCs w:val="24"/>
          <w:lang w:val="hy-AM"/>
        </w:rPr>
        <w:t xml:space="preserve">Հաշվի առնելով, որ թվային զարգացման ոլորտում տեղեկատվական փոխգործակցությունը սոցիալ-տնտեսական ոլորտի արդյունավետության բարձրացման կարևորագույն բաղադրիչներից մեկն է՝ տվյալ Համաձայնագրի շրջանակներում հնարավորություն կընձեռվի ստեղծել փոխշահավետ պայմաններ տարածաշրջանային տեղեկատվական տարածության ձևավորման, ինչպես նաև ԱՊՀ տարածքում «թվային անհավասարության» կրճատմանը: 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 w:eastAsia="Calibri" w:cs="Times New Roman"/>
          <w:sz w:val="24"/>
          <w:szCs w:val="24"/>
          <w:lang w:val="hy-AM"/>
        </w:rPr>
      </w:pPr>
      <w:r>
        <w:rPr>
          <w:rFonts w:eastAsia="Calibri" w:cs="Times New Roman" w:ascii="GHEA Grapalat" w:hAnsi="GHEA Grapalat"/>
          <w:sz w:val="24"/>
          <w:szCs w:val="24"/>
          <w:lang w:val="hy-AM"/>
        </w:rPr>
        <w:t xml:space="preserve">Հիմք ընդունելով վերոգրյալը` </w:t>
      </w:r>
      <w:r>
        <w:rPr>
          <w:rFonts w:ascii="GHEA Grapalat" w:hAnsi="GHEA Grapalat"/>
          <w:sz w:val="24"/>
          <w:szCs w:val="24"/>
          <w:lang w:val="hy-AM"/>
        </w:rPr>
        <w:t>«Հասարակության թվային զարգացման ոլորտում ԱՊՀ մասնակից պետությունների տեղեկատվական փոխգործակցության մասին» Համաձայնագրի</w:t>
      </w:r>
      <w:r>
        <w:rPr>
          <w:rFonts w:eastAsia="Calibri" w:cs="Sylfaen" w:ascii="GHEA Grapalat" w:hAnsi="GHEA Grapalat"/>
          <w:sz w:val="24"/>
          <w:szCs w:val="24"/>
          <w:lang w:val="hy-AM"/>
        </w:rPr>
        <w:t xml:space="preserve"> </w:t>
      </w:r>
      <w:r>
        <w:rPr>
          <w:rFonts w:eastAsia="Calibri" w:cs="Times New Roman" w:ascii="GHEA Grapalat" w:hAnsi="GHEA Grapalat" w:eastAsiaTheme="minorHAnsi"/>
          <w:color w:val="auto"/>
          <w:kern w:val="0"/>
          <w:sz w:val="24"/>
          <w:szCs w:val="24"/>
          <w:lang w:val="hy-AM" w:eastAsia="en-US" w:bidi="ar-SA"/>
        </w:rPr>
        <w:t>վավերացումը</w:t>
      </w:r>
      <w:r>
        <w:rPr>
          <w:rFonts w:eastAsia="Calibri" w:cs="Times New Roman" w:ascii="GHEA Grapalat" w:hAnsi="GHEA Grapalat"/>
          <w:sz w:val="24"/>
          <w:szCs w:val="24"/>
          <w:lang w:val="hy-AM"/>
        </w:rPr>
        <w:t xml:space="preserve"> գտնում եմ նպատակահարմար: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 w:eastAsia="Calibri" w:cs="Times New Roman"/>
          <w:sz w:val="24"/>
          <w:szCs w:val="24"/>
          <w:lang w:val="hy-AM"/>
        </w:rPr>
      </w:pPr>
      <w:r>
        <w:rPr>
          <w:rFonts w:eastAsia="Calibri" w:cs="Times New Roman" w:ascii="GHEA Grapalat" w:hAnsi="GHEA Grapalat"/>
          <w:sz w:val="24"/>
          <w:szCs w:val="24"/>
          <w:lang w:val="hy-AM"/>
        </w:rPr>
        <w:t>«Հասարակության թվային զարգացման ոլորտում ԱՊՀ մասնակից պետությունների տեղեկատվական փոխգործակցության մասին» Համաձայնագրի կատարման համար պատասխանատու մարմին է հանդիսանում ՀՀ բարձր տեխնոլոգիական արդյունաբերության նախարարությունը։</w:t>
      </w:r>
    </w:p>
    <w:p>
      <w:pPr>
        <w:pStyle w:val="Normal"/>
        <w:spacing w:lineRule="auto" w:line="360" w:before="0" w:after="0"/>
        <w:ind w:firstLine="720"/>
        <w:jc w:val="both"/>
        <w:rPr>
          <w:rFonts w:ascii="GHEA Grapalat" w:hAnsi="GHEA Grapalat" w:eastAsia="Calibri" w:cs="Times New Roman"/>
          <w:sz w:val="24"/>
          <w:szCs w:val="24"/>
          <w:lang w:val="hy-AM"/>
        </w:rPr>
      </w:pPr>
      <w:r>
        <w:rPr>
          <w:rFonts w:eastAsia="Calibri" w:cs="Times New Roma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720"/>
        <w:jc w:val="center"/>
        <w:rPr>
          <w:rFonts w:ascii="GHEA Grapalat" w:hAnsi="GHEA Grapalat"/>
          <w:b/>
          <w:b/>
          <w:sz w:val="24"/>
          <w:szCs w:val="24"/>
          <w:lang w:val="hy-AM"/>
        </w:rPr>
      </w:pPr>
      <w:r>
        <w:rPr/>
      </w:r>
    </w:p>
    <w:sectPr>
      <w:type w:val="nextPage"/>
      <w:pgSz w:w="12240" w:h="15840"/>
      <w:pgMar w:left="990" w:right="810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  <w:font w:name="GHEA Grapalat">
    <w:charset w:val="01"/>
    <w:family w:val="auto"/>
    <w:pitch w:val="variable"/>
  </w:font>
  <w:font w:name="Courier New">
    <w:charset w:val="01"/>
    <w:family w:val="auto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115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70" w:customStyle="1">
    <w:name w:val="Body text (70)_"/>
    <w:basedOn w:val="DefaultParagraphFont"/>
    <w:link w:val="Bodytext700"/>
    <w:qFormat/>
    <w:rsid w:val="005f7bdf"/>
    <w:rPr>
      <w:rFonts w:ascii="Times New Roman" w:hAnsi="Times New Roman" w:eastAsia="Times New Roman" w:cs="Times New Roman"/>
      <w:b/>
      <w:bCs/>
      <w:sz w:val="28"/>
      <w:szCs w:val="28"/>
      <w:shd w:fill="FFFFFF" w:val="clear"/>
    </w:rPr>
  </w:style>
  <w:style w:type="character" w:styleId="Bodytext71" w:customStyle="1">
    <w:name w:val="Body text (71)_"/>
    <w:basedOn w:val="DefaultParagraphFont"/>
    <w:link w:val="Bodytext710"/>
    <w:qFormat/>
    <w:rsid w:val="005f7bdf"/>
    <w:rPr>
      <w:rFonts w:ascii="Times New Roman" w:hAnsi="Times New Roman" w:eastAsia="Times New Roman" w:cs="Times New Roman"/>
      <w:sz w:val="28"/>
      <w:szCs w:val="28"/>
      <w:shd w:fill="FFFFFF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af285c"/>
    <w:pPr>
      <w:spacing w:before="0" w:after="200"/>
      <w:ind w:left="720" w:hanging="0"/>
      <w:contextualSpacing/>
    </w:pPr>
    <w:rPr/>
  </w:style>
  <w:style w:type="paragraph" w:styleId="Bodytext701" w:customStyle="1">
    <w:name w:val="Body text (70)"/>
    <w:basedOn w:val="Normal"/>
    <w:link w:val="Bodytext70"/>
    <w:qFormat/>
    <w:rsid w:val="005f7bdf"/>
    <w:pPr>
      <w:widowControl w:val="false"/>
      <w:shd w:val="clear" w:color="auto" w:fill="FFFFFF"/>
      <w:spacing w:lineRule="auto" w:line="240" w:before="0" w:after="18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n-US"/>
    </w:rPr>
  </w:style>
  <w:style w:type="paragraph" w:styleId="Bodytext711" w:customStyle="1">
    <w:name w:val="Body text (71)"/>
    <w:basedOn w:val="Normal"/>
    <w:link w:val="Bodytext71"/>
    <w:qFormat/>
    <w:rsid w:val="005f7bdf"/>
    <w:pPr>
      <w:widowControl w:val="false"/>
      <w:shd w:val="clear" w:color="auto" w:fill="FFFFFF"/>
      <w:spacing w:lineRule="exact" w:line="317" w:before="420" w:after="0"/>
      <w:jc w:val="both"/>
    </w:pPr>
    <w:rPr>
      <w:rFonts w:ascii="Times New Roman" w:hAnsi="Times New Roman" w:eastAsia="Times New Roman" w:cs="Times New Roman"/>
      <w:sz w:val="28"/>
      <w:szCs w:val="28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34669-86AD-4A6D-94F7-A5FE3273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LibreOffice/6.4.7.2$Linux_X86_64 LibreOffice_project/40$Build-2</Application>
  <Pages>2</Pages>
  <Words>229</Words>
  <Characters>2009</Characters>
  <CharactersWithSpaces>2220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2020-10-12T09:00:00Z</dcterms:created>
  <dc:creator>Hasmik Aharonyan</dc:creator>
  <dc:description/>
  <cp:keywords>https /mul-mtc.gov.am/tasks/docs/attachment.php?id=193071&amp;fn=Teghekanq.docx&amp;out=1&amp;token=</cp:keywords>
  <dc:language>en-US</dc:language>
  <cp:lastModifiedBy/>
  <dcterms:modified xsi:type="dcterms:W3CDTF">2021-11-30T09:22:25Z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