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6A08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14:paraId="6BAC9350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ԿԱՌԱՎԱՐՈՒԹՅՈՒՆ</w:t>
      </w:r>
    </w:p>
    <w:p w14:paraId="569C5F2B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>ՈՐՈՇՈՒՄ</w:t>
      </w:r>
    </w:p>
    <w:p w14:paraId="47FBDF3E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>2022 թվականի                              N    - Ն</w:t>
      </w:r>
    </w:p>
    <w:p w14:paraId="24B03992" w14:textId="77777777" w:rsidR="00BB173E" w:rsidRPr="00635E78" w:rsidRDefault="00BB173E" w:rsidP="00635E78">
      <w:pPr>
        <w:tabs>
          <w:tab w:val="left" w:pos="1080"/>
          <w:tab w:val="left" w:pos="1260"/>
        </w:tabs>
        <w:spacing w:after="0"/>
        <w:ind w:firstLine="720"/>
        <w:jc w:val="center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35E78">
        <w:rPr>
          <w:rFonts w:ascii="GHEA Grapalat" w:eastAsia="Calibri" w:hAnsi="GHEA Grapalat" w:cs="Sylfaen"/>
          <w:sz w:val="24"/>
          <w:szCs w:val="24"/>
          <w:lang w:val="hy-AM" w:eastAsia="ru-RU"/>
        </w:rPr>
        <w:t>ԾԽԱԽՈՏԱՅԻՆ ԱՐՏԱԴՐԱՏԵՍԱԿՆԵՐԻ ՓՈԽԱՐԻՆԻՉՆԵՐԻ ԱՆՎՏԱՆԳՈՒԹՅԱՆ ՏԵԽՆԻԿԱԿԱՆ</w:t>
      </w:r>
      <w:r w:rsidRPr="00635E7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 w:eastAsia="ru-RU"/>
        </w:rPr>
        <w:t>ԿԱՆՈՆԱԿԱՐԳԸ</w:t>
      </w:r>
      <w:r w:rsidRPr="00635E7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 w:eastAsia="ru-RU"/>
        </w:rPr>
        <w:t>ՀԱՍՏԱՏԵԼՈՒ</w:t>
      </w:r>
      <w:r w:rsidRPr="00635E78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ՄԱՍԻՆ </w:t>
      </w:r>
    </w:p>
    <w:p w14:paraId="179D6D09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14:paraId="0D6CA154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Հիմք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ընդունելով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«Տեխնիկական կանոնակարգման մասին» օրենքի 8-րդ հոդվածի 1-ին մասի 3-րդ կետի «ա» պարբերությունը, </w:t>
      </w:r>
      <w:r w:rsidRPr="00635E7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«Ծխախոտային արտադրատեսակների և դրանց փոխարինիչների օգտագործման հետևանքով առողջությանը հասցվող վնասի նվազեցման և կանխարգելման մասին» օրենքի 4-րդ հոդվածի 1-ին մասը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կառավարությունը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որոշում</w:t>
      </w:r>
      <w:r w:rsidRPr="00635E78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է</w:t>
      </w:r>
      <w:r w:rsidRPr="00635E78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.</w:t>
      </w:r>
    </w:p>
    <w:p w14:paraId="1B75C9B1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0C74B4B" w14:textId="77777777" w:rsidR="00BB173E" w:rsidRPr="00635E78" w:rsidRDefault="00BB173E" w:rsidP="00635E78">
      <w:pPr>
        <w:pStyle w:val="ListParagraph"/>
        <w:numPr>
          <w:ilvl w:val="0"/>
          <w:numId w:val="1"/>
        </w:numPr>
        <w:tabs>
          <w:tab w:val="left" w:pos="851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Հաստատել ծխախոտային արտադրատեսակների փոխարինիչների անվտանգության տեխնիկական կանոնակարգը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համաձայն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հավելվածի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48A0345E" w14:textId="77777777" w:rsidR="00BB173E" w:rsidRPr="00635E78" w:rsidRDefault="00BB173E" w:rsidP="00635E78">
      <w:pPr>
        <w:pStyle w:val="ListParagraph"/>
        <w:numPr>
          <w:ilvl w:val="0"/>
          <w:numId w:val="1"/>
        </w:numPr>
        <w:tabs>
          <w:tab w:val="left" w:pos="851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Times New Roman"/>
          <w:sz w:val="24"/>
          <w:szCs w:val="24"/>
          <w:shd w:val="clear" w:color="auto" w:fill="FFFFFF" w:themeFill="background1"/>
          <w:lang w:val="hy-AM"/>
        </w:rPr>
        <w:t>Հայաստանի Հանրապետության էկոնոմիկայի նախարարին՝ սույն որոշման պաշտոնական հրապարակումից հետո 1 շաբաթյա ժամկետում ապահովել սույն որոշման 1-ին կետով հաստատված տեխնիկական կանոնակարգի կիրարկումն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ապահովող ստանդարտների ցանկի հրապարակումը:</w:t>
      </w:r>
    </w:p>
    <w:p w14:paraId="4505D5DC" w14:textId="4830480F" w:rsidR="00BB173E" w:rsidRPr="00635E78" w:rsidRDefault="00BB173E" w:rsidP="00635E7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Times New Roman"/>
          <w:sz w:val="24"/>
          <w:szCs w:val="24"/>
          <w:shd w:val="clear" w:color="auto" w:fill="FFFFFF" w:themeFill="background1"/>
          <w:lang w:val="hy-AM"/>
        </w:rPr>
        <w:t>Սույն որոշումն ուժի մեջ է մտնում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502BBE">
        <w:rPr>
          <w:rFonts w:ascii="GHEA Grapalat" w:eastAsia="Calibri" w:hAnsi="GHEA Grapalat" w:cs="Sylfaen"/>
          <w:sz w:val="24"/>
          <w:szCs w:val="24"/>
          <w:lang w:val="hy-AM"/>
        </w:rPr>
        <w:t xml:space="preserve">պաշտոնական </w:t>
      </w:r>
      <w:r w:rsidRPr="00635E78">
        <w:rPr>
          <w:rFonts w:ascii="GHEA Grapalat" w:hAnsi="GHEA Grapalat"/>
          <w:bCs/>
          <w:sz w:val="24"/>
          <w:szCs w:val="24"/>
          <w:lang w:val="hy-AM"/>
        </w:rPr>
        <w:t>հրապարակմանը հաջորդող օրվանից</w:t>
      </w:r>
      <w:r w:rsidRPr="00635E78">
        <w:rPr>
          <w:rFonts w:ascii="GHEA Grapalat" w:hAnsi="GHEA Grapalat"/>
          <w:bCs/>
          <w:sz w:val="24"/>
          <w:szCs w:val="24"/>
          <w:shd w:val="clear" w:color="auto" w:fill="FFFFFF" w:themeFill="background1"/>
          <w:lang w:val="hy-AM"/>
        </w:rPr>
        <w:t>:</w:t>
      </w:r>
    </w:p>
    <w:p w14:paraId="0BEA3F5A" w14:textId="222150E5" w:rsidR="00BB173E" w:rsidRPr="00635E78" w:rsidRDefault="00BB173E" w:rsidP="00635E78">
      <w:pPr>
        <w:pStyle w:val="ListParagraph"/>
        <w:numPr>
          <w:ilvl w:val="0"/>
          <w:numId w:val="1"/>
        </w:numPr>
        <w:tabs>
          <w:tab w:val="left" w:pos="851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ույն տեխնիկական կանոնակարգման օբյեկտ հանդիսացող արտադրանքը, որը մինչև </w:t>
      </w:r>
      <w:r w:rsidR="00876264">
        <w:rPr>
          <w:rFonts w:ascii="GHEA Grapalat" w:hAnsi="GHEA Grapalat"/>
          <w:sz w:val="24"/>
          <w:szCs w:val="24"/>
          <w:lang w:val="hy-AM"/>
        </w:rPr>
        <w:t>սույն որոշման ուժի մեջ մտնելը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ենթակա չի եղել Հայաստանի Հանրապետության օրենսդրությամբ սահմանված պարտադիր պահանջներին համապատասխանության պարտադիր գնահատման և</w:t>
      </w:r>
      <w:r w:rsidRPr="00635E78">
        <w:rPr>
          <w:lang w:val="hy-AM"/>
        </w:rPr>
        <w:t xml:space="preserve"> </w:t>
      </w:r>
      <w:r w:rsidRPr="00635E78">
        <w:rPr>
          <w:rFonts w:ascii="GHEA Grapalat" w:hAnsi="GHEA Grapalat"/>
          <w:sz w:val="24"/>
          <w:szCs w:val="24"/>
          <w:lang w:val="hy-AM"/>
        </w:rPr>
        <w:t>շրջանառության մեջ է դրվել մինչև սույն տեխնիկական կանոնակարգի ուժի մեջ մտնելը՝ թույլատրվում է շրջանառել վերջինիս պիտանիության ժամկետում՝ առանց համապատասխանության պարտադիր գնահատման մասին փաստաթղթերի և առանց համապատասխանության ազգային նշանի կիրառման։</w:t>
      </w:r>
    </w:p>
    <w:p w14:paraId="348D1EC9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jc w:val="right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</w:pPr>
    </w:p>
    <w:p w14:paraId="24E2DC9D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14:paraId="2E36337A" w14:textId="33678431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վարչապետ</w:t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ab/>
        <w:t>Ն</w:t>
      </w:r>
      <w:r w:rsidRPr="00635E78">
        <w:rPr>
          <w:rStyle w:val="Strong"/>
          <w:rFonts w:ascii="Cambria Math" w:hAnsi="Cambria Math" w:cs="Cambria Math"/>
          <w:b w:val="0"/>
          <w:sz w:val="24"/>
          <w:szCs w:val="24"/>
          <w:shd w:val="clear" w:color="auto" w:fill="FFFFFF"/>
          <w:lang w:val="hy-AM"/>
        </w:rPr>
        <w:t>․</w:t>
      </w:r>
      <w:r w:rsidRPr="00635E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Փաշինյան</w:t>
      </w:r>
    </w:p>
    <w:p w14:paraId="254720EC" w14:textId="34C6BE66" w:rsidR="00635E78" w:rsidRPr="00635E78" w:rsidRDefault="00635E78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14:paraId="47831F87" w14:textId="77777777" w:rsidR="00635E78" w:rsidRPr="00635E78" w:rsidRDefault="00635E78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</w:pPr>
    </w:p>
    <w:p w14:paraId="70618AE3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jc w:val="right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</w:pPr>
    </w:p>
    <w:p w14:paraId="691A0FD0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jc w:val="right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</w:pPr>
      <w:r w:rsidRPr="00635E78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 xml:space="preserve">Հավելված </w:t>
      </w:r>
    </w:p>
    <w:p w14:paraId="27DD8764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jc w:val="right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</w:pPr>
      <w:r w:rsidRPr="00635E78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 xml:space="preserve">Հայաստանի Հանրապետության կառավարության </w:t>
      </w:r>
    </w:p>
    <w:p w14:paraId="789FBF39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/>
        <w:ind w:left="0" w:firstLine="720"/>
        <w:jc w:val="right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</w:pPr>
      <w:r w:rsidRPr="00635E78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2022 թվականի -ի N -Ն որոշման</w:t>
      </w:r>
    </w:p>
    <w:p w14:paraId="2377DAE1" w14:textId="77777777" w:rsidR="00BB173E" w:rsidRPr="00635E78" w:rsidRDefault="00BB173E" w:rsidP="00635E78">
      <w:pPr>
        <w:pStyle w:val="ListParagraph"/>
        <w:tabs>
          <w:tab w:val="left" w:pos="851"/>
          <w:tab w:val="left" w:pos="1080"/>
          <w:tab w:val="left" w:pos="1260"/>
        </w:tabs>
        <w:spacing w:after="0" w:line="360" w:lineRule="auto"/>
        <w:ind w:left="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14B63D" w14:textId="77777777" w:rsidR="00BB173E" w:rsidRPr="00635E78" w:rsidRDefault="00BB173E" w:rsidP="00635E78">
      <w:pPr>
        <w:tabs>
          <w:tab w:val="left" w:pos="851"/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5E78">
        <w:rPr>
          <w:rFonts w:ascii="GHEA Grapalat" w:hAnsi="GHEA Grapalat"/>
          <w:b/>
          <w:sz w:val="24"/>
          <w:szCs w:val="24"/>
          <w:lang w:val="hy-AM"/>
        </w:rPr>
        <w:t>ՏԵԽՆԻԿԱԿԱՆ ԿԱՆՈՆԱԿԱՐԳ</w:t>
      </w:r>
    </w:p>
    <w:p w14:paraId="5DA02D75" w14:textId="77777777" w:rsidR="00BB173E" w:rsidRPr="00635E78" w:rsidRDefault="00BB173E" w:rsidP="00635E78">
      <w:pPr>
        <w:tabs>
          <w:tab w:val="left" w:pos="851"/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635E7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 xml:space="preserve">ԾԽԱԽՈՏԱՅԻՆ ԱՐՏԱԴՐԱՏԵՍԱԿՆԵՐԻ ՓՈԽԱՐԻՆԻՉՆԵՐԻ ԱՆՎՏԱՆԳՈՒԹՅԱՆ </w:t>
      </w:r>
    </w:p>
    <w:p w14:paraId="64FCBF89" w14:textId="77777777" w:rsidR="00BB173E" w:rsidRPr="00635E78" w:rsidRDefault="00BB173E" w:rsidP="00635E78">
      <w:pPr>
        <w:tabs>
          <w:tab w:val="left" w:pos="851"/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F4CE966" w14:textId="77777777" w:rsidR="00BB173E" w:rsidRPr="00635E78" w:rsidRDefault="00BB173E" w:rsidP="00635E78">
      <w:pPr>
        <w:tabs>
          <w:tab w:val="left" w:pos="851"/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1. ԿԻՐԱՌՄԱՆ ՈԼՈՐՏԸ</w:t>
      </w:r>
    </w:p>
    <w:p w14:paraId="54A2C6D8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Ծխախոտային արտադրատեսակների փոխարինիչների անվտանգության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կանոնակարգի (այսուհետ` տեխնիկական կանոնակարգ) գործողությունը տարածվում է ծխախոտահումք չպարունակող,  էլեկտրոնային եղանակով աշխատող ծխախոտային արտադրատեսակի փոխարինիչ հանդիսացող արտադրանքի վրա։ </w:t>
      </w:r>
    </w:p>
    <w:p w14:paraId="03B32FAE" w14:textId="3410C554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Սույն տեխնիկական կանոնակարգի գործողությունը տարածվում է 1-ին կետում նշված և Եվրասիական տնտեսական միության արտաքին տնտեսական գործունեության միասնական ապրանքային անվանացանկի 2404 դասից ծխախոտահումք չպարունակող, լցանյութի գոլորշացմամբ և էլեկտրոնային եղանակով աշխատող ծխախոտային արտադրատեսակների փոխարինիչների </w:t>
      </w:r>
      <w:r w:rsidR="00BF36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(այսուհետ՝ ՆՊԱ) </w:t>
      </w:r>
      <w:r w:rsidRPr="00635E78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վրա, որի միջոցով նիկոտինի և պրոպիլենգլիկոլի կամ գլիցերինի, առանձին դեպքերում նաև տարբեր համային կամ հոտային հավելումներ պարունակող լցանյութի գոլորշիացմամբ առաջացած աերոզոլը փոխանցվում է սպառողի օրգանիզմ։</w:t>
      </w:r>
    </w:p>
    <w:p w14:paraId="0C38C635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կանոնակարգով սահմանվում են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ՆՊԱ-ի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անվտանգությունը բնութագրող ցուցանիշները, դրանց նույնականացմանը, արտադրմանը, մակնշմանը, փաթեթավորմանը, պահպանմանը և փոխադրմանը, ինչպես նաև համապատասխանության գնահատման ընթացակարգերին ներկայացվող պահանջները։</w:t>
      </w:r>
    </w:p>
    <w:p w14:paraId="7918A83B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տեխնիկական կանոնակարգը մշակված է մարդու կյանքն ու առողջությունը, շրջակա միջավայրը պաշտպանելու, ինչպես նաև ՆՊԱ-ի նշանակության ու անվտանգության առումով սպառողներին մոլորության մեջ գցող գործողությունները կանխելու նպատակով և տարածվում է Հայաստանի Հանրապետության տարածքում շրջանառության մեջ դրվող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ծ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խախոտային արտադրատեսակների փոխարինիչների վրա:</w:t>
      </w:r>
    </w:p>
    <w:p w14:paraId="41FADC7D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տեխնիկական կանոնակարգման օբյեկտ հանդիսացող և </w:t>
      </w:r>
      <w:r w:rsidRPr="00635E78">
        <w:rPr>
          <w:rFonts w:ascii="GHEA Grapalat" w:hAnsi="GHEA Grapalat"/>
          <w:sz w:val="24"/>
          <w:szCs w:val="24"/>
          <w:lang w:val="hy-AM"/>
        </w:rPr>
        <w:t>ներքին սպառման համար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շրջանառության մեջ դրված արտադրանքը հավաստվում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համապատասխանության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գնահատմամբ՝ համապատասխանության հայտարարագրման եղանակով, բացառությամբ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ՆՊԱ-ի նմուշների, որոնք ներմուծվում են Հայաստանի Հանրապետության տարածք</w:t>
      </w:r>
      <w:r w:rsidRPr="00635E7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FE98765" w14:textId="77777777" w:rsidR="00BB173E" w:rsidRPr="00635E78" w:rsidRDefault="00BB173E" w:rsidP="00635E78">
      <w:pPr>
        <w:pStyle w:val="ListParagraph"/>
        <w:numPr>
          <w:ilvl w:val="0"/>
          <w:numId w:val="10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ցուցահանդեսներին, տոնավաճառներին ու միջազգային հանդիպումներին ցուցադրության համար նախատեսված արտադրանքի, ինչպես նաև արտադրանքի նման ցուցադրության ընթացքում օգտագործման կամ ցուցահանդեսներին, տոնավաճառներին և միջազգային հանդիպումներին օգտագործման համար</w:t>
      </w:r>
      <w:r w:rsidRPr="00635E7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CFBFB51" w14:textId="77777777" w:rsidR="00BB173E" w:rsidRPr="00635E78" w:rsidRDefault="00BB173E" w:rsidP="00635E78">
      <w:pPr>
        <w:pStyle w:val="ListParagraph"/>
        <w:numPr>
          <w:ilvl w:val="0"/>
          <w:numId w:val="10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որպես հետազոտությունների ու փորձարկումների համար նախատեսված փորձանմուշներ ու նմուշներ՝ համապատասխանության գնահատման հավատարմագրված մարմնի հետ կնքված պայմանագրի կամ նամակի պատճենը տրամադրելու պայմանով, որը հաստատում է ներմուծվող (ներմուծված) արտադրանքի (ապրանքների)՝ այդ նպատակների համար անհրաժեշտ քանակը (քաշը և ծավալը), լաբորատորիաների, արտադրողների և (կամ) ներմուծողների (վաճառողների) կողմից և նախատեսված են որակի ու անվտանգության հսկողության, միջազգային ստանդարտներին համապատասխան չափումների, միջլաբորատոր համեմատական փորձարկումների անցկացման, չափման միջոցների տրամաչափարկման, համեմատական թեստերի, համտեսի (դեգուստացիայի) անցկացման, դիզայնի ուսումնասիրման նպատակով</w:t>
      </w:r>
      <w:r w:rsidRPr="00635E7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9E53328" w14:textId="77777777" w:rsidR="00BB173E" w:rsidRPr="00635E78" w:rsidRDefault="00BB173E" w:rsidP="00635E78">
      <w:pPr>
        <w:pStyle w:val="ListParagraph"/>
        <w:numPr>
          <w:ilvl w:val="0"/>
          <w:numId w:val="10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նախկինում օգտագործված (շահագործված) արտադրանքը,</w:t>
      </w:r>
    </w:p>
    <w:p w14:paraId="68E8727A" w14:textId="77777777" w:rsidR="00BB173E" w:rsidRPr="00635E78" w:rsidRDefault="00BB173E" w:rsidP="00635E78">
      <w:pPr>
        <w:pStyle w:val="ListParagraph"/>
        <w:numPr>
          <w:ilvl w:val="0"/>
          <w:numId w:val="10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եզակի օրինակներով (քանակներով) ներմուծվող (ներմուծված) արտադրանքը, որը նախատեսված է մեկ արտաքին առևտրային պայմանագրով՝ ներմուծողի կողմից բացառապես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անձնական օգտագործման համար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(այդ թվում՝ գիտահետազոտական կամ ներկայացուցչական նպատակների համար, որպես հուշանվերներ կամ գովազդային նյութեր)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14:paraId="387C905B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Սույն տեխնիկական կանոնակարգի կանոնակարգման օբյեկտ չի հանդիսանում հետևյալ արտադրանքը՝</w:t>
      </w:r>
    </w:p>
    <w:p w14:paraId="1DBACB54" w14:textId="77777777" w:rsidR="00BB173E" w:rsidRPr="00635E78" w:rsidRDefault="00BB173E" w:rsidP="00635E78">
      <w:pPr>
        <w:pStyle w:val="ListParagraph"/>
        <w:numPr>
          <w:ilvl w:val="1"/>
          <w:numId w:val="33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ծխախոտային արտադրատեսակները, մասնավորապես՝ ծխախոտահումքից՝ ծխախոտային տերևից և (կամ) այլ մասերից ամբողջությամբ կամ մասնակիորեն պատրաստված արտադրանքը, որոնք պատրաստված են այնպես, որ օգտագործվեն ծխելու, </w:t>
      </w:r>
      <w:r w:rsidRPr="00635E78">
        <w:rPr>
          <w:rFonts w:ascii="GHEA Grapalat" w:hAnsi="GHEA Grapalat"/>
          <w:sz w:val="24"/>
          <w:szCs w:val="24"/>
          <w:lang w:val="hy-AM"/>
        </w:rPr>
        <w:t>ծծելու, ծամելու կամ քթով ներշնչելու համար</w:t>
      </w:r>
      <w:r w:rsidRPr="00635E7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21707F2" w14:textId="77777777" w:rsidR="00BB173E" w:rsidRPr="00635E78" w:rsidRDefault="00BB173E" w:rsidP="00635E78">
      <w:pPr>
        <w:pStyle w:val="ListParagraph"/>
        <w:numPr>
          <w:ilvl w:val="1"/>
          <w:numId w:val="33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եղ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հանդիսացող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հեղուկները</w:t>
      </w:r>
      <w:r w:rsidRPr="00635E78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</w:p>
    <w:p w14:paraId="68988BC1" w14:textId="77777777" w:rsidR="00BB173E" w:rsidRPr="00635E78" w:rsidRDefault="00BB173E" w:rsidP="00635E78">
      <w:pPr>
        <w:pStyle w:val="ListParagraph"/>
        <w:numPr>
          <w:ilvl w:val="1"/>
          <w:numId w:val="33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այն արտադրանքը, որն արտաքին առևտրային պայմանագրերի համաձայն արտահանվում է Հայաստանի Հանրապետության տարածքի սահմաններից դուրս</w:t>
      </w:r>
      <w:r w:rsidRPr="00635E7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F3657D6" w14:textId="77777777" w:rsidR="00BB173E" w:rsidRPr="00635E78" w:rsidRDefault="00BB173E" w:rsidP="00635E78">
      <w:pPr>
        <w:pStyle w:val="ListParagraph"/>
        <w:numPr>
          <w:ilvl w:val="1"/>
          <w:numId w:val="33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բնական նիկոտին պարունակող պարենային արտադրանքը:</w:t>
      </w:r>
    </w:p>
    <w:p w14:paraId="22D475B9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BB510E6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5E78">
        <w:rPr>
          <w:rFonts w:ascii="GHEA Grapalat" w:hAnsi="GHEA Grapalat"/>
          <w:b/>
          <w:sz w:val="24"/>
          <w:szCs w:val="24"/>
          <w:lang w:val="hy-AM"/>
        </w:rPr>
        <w:t>2. ՀԱՍԿԱՑՈՒԹՅՈՒՆՆԵՐ</w:t>
      </w:r>
    </w:p>
    <w:p w14:paraId="7C562776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034C6E4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Սույն տեխնիկական կանոնակարգի կիրառման նպատակով օգտագործվում են հետևյալ հասկացությունները և դրանց սահմանումները ՝</w:t>
      </w:r>
    </w:p>
    <w:p w14:paraId="53BED764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սպառողական փաթեթվածք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վերջնական սպառողին իրացվող արտադրանքի կամ վաճառքի համար նախատեսված փաթեթվածք.</w:t>
      </w:r>
    </w:p>
    <w:p w14:paraId="5B5A0ADE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պարկուճ (քարթրիջ)՝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նիկոտին մատակարարող համակարգի (այսուհետ՝ ՆՄՀ)</w:t>
      </w:r>
      <w:r w:rsidRPr="00635E7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բաղադրատարր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որն իրենից ներկայացնում է ՆՄՀ-ի համար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արդյունաբերական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եղանակով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լցոնված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հեղուկով տարողություն և որը կարող է ներկառուցվել ՆՄՀ- ի մեջ,</w:t>
      </w:r>
    </w:p>
    <w:p w14:paraId="285FC3F0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բաղադրիչ՝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բաղադրատարր (բացառությամբ՝ խառնուրդի, հեղուկի, գելի, փոշու և այլնի), որն օգտագործվում է նիկոտին պարունակող արտադրանքի լցանյութի արտադրության մեջ և առկա է նիկոտին պարունակող պատրաստի արտադրանքում, ներառյալ՝ փոփոխված ձևով</w:t>
      </w:r>
      <w:r w:rsidRPr="00635E78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7CEC8721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աերոզոլ՝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գազային վիճակում գտնվող պինդ և (կամ) հեղուկ մասնիկների կախույթ, ներառյալ ծխախոտային գոլորշի, որը ստացվում է լցանյութից՝ ցանկացած եղանակով՝ բացառությամբ լցանյութի այրումից (ծխալուց),</w:t>
      </w:r>
    </w:p>
    <w:p w14:paraId="1908FEFE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տարողություն՝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ՆՊԱ-ի համար նախատեսված տարա, որն օգտագործվում է ՆՄՀ-ի լիցքավորման համար, չի հանդիսանում ՆՄՀ-ի բաղադրատարր և չի կարող տեղադրվել ՆՄՀ-ի մեջ,</w:t>
      </w:r>
    </w:p>
    <w:p w14:paraId="092B0F73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լցանյութ՝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ՆՊԱ-ի հիմնական տարր (ներառյալ՝ խառնուրդ, հեղուկ, գել, փոշի, հավելում, բուրավետիչ և այլն), որից և (կամ) որի միջոցով ՆՊԱ շահագործման ընթացքում ձևավորվում է սպառողի կողմից ներքաշվող՝ նիկոտին կամ նիկոտինի աղեր պարունակող աերոզոլ,</w:t>
      </w:r>
    </w:p>
    <w:p w14:paraId="53FC5298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նիկոտին պարունակող արտադրանք (այսուհետ՝ՆՊԱ)՝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սպառողի կողմից ՆՄՀ-ի շահագործման ընթացքում առաջացող նիկոտին կամ նիկոտինի աղեր պարունակող աերոզոլ ներքաշելու միջոցով օգտագործման համար նախատեսված արտադրատեսակ,</w:t>
      </w:r>
    </w:p>
    <w:p w14:paraId="11F96451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Sylfaen"/>
          <w:b/>
          <w:sz w:val="24"/>
          <w:szCs w:val="24"/>
          <w:lang w:val="hy-AM"/>
        </w:rPr>
        <w:t>նիկոտին մատակարարող համակարգ (</w:t>
      </w: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ՆՄՀ)՝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ՆՊԱ-ի օգտագործման համար անհրաժեշտ սարք (ներառյալ էլեկտրոնային գոլորշիչ</w:t>
      </w:r>
      <w:r w:rsidRPr="00635E78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,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էլեկտրոնային գոլորշու գեներատոր տաքացման համար սարք և այլն), որն անհրաժեշտ է լցանյութից սպառողի կողմից ներքաշվող աերոզոլ ստանալու համար (ՆՄՀ-ն կարող է կառուցվածքով միացված լինել ՆՊԱ-ի հետ), </w:t>
      </w:r>
    </w:p>
    <w:p w14:paraId="278A3BC3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հեղուկ ՆՄՀ-ի համար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ՆՊԱ տեսակ, լուծույթ (հեղուկ կամ գել), որը ՆՄՀ-ի հետ ըստ նշանակության օգտագործման արդյունքում վերածվում է սպառողի կողմից ներքաշվող նիկոտին պարունակող աերոզոլի,</w:t>
      </w:r>
    </w:p>
    <w:p w14:paraId="7D23747D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ՆՊԱ-ի շահագործում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սպառողի կողմից նիկոտին կամ նիկոտինի աղեր պարունակող աերոզոլի ներքաշում, որը ստացվում է ՆՊԱ-ի լցանյութից ՆՄՀ-ի միջոցով,</w:t>
      </w:r>
    </w:p>
    <w:p w14:paraId="5438D8A5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բուրավետիչ՝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 և (կամ) բույր հաղորդելու համար նախատեսված հավելում,</w:t>
      </w:r>
    </w:p>
    <w:p w14:paraId="23DC07E3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վնասակար կամ հնարավոր վնասակար նյութեր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արտազատվող նյութեր, որոնք վնասում են կամ կարող են վնաս հասցնել մարդու առողջությանը,</w:t>
      </w:r>
    </w:p>
    <w:p w14:paraId="4B27500D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արտազատվող նյութեր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քիմիական տարրեր կամ միացություններ, որոնք արտազատվում են արտադրանքի նպատակային օգտագործման ընթացքում, ներառյալ նիկոտին պարունակող աերոզոլում պարունակվող նյութեր, որոնք սպառողը ներքաշում է,</w:t>
      </w:r>
    </w:p>
    <w:p w14:paraId="3E36F297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հավելում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ՆՊԱ-ի հիմնական լցանյութին ավելացվող ցանկացած հումք կամ նյութ,</w:t>
      </w:r>
    </w:p>
    <w:p w14:paraId="5D056BF6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մատակարար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ՆՊԱ-ի կամ ՆՄՀ-ի արտադրող (</w:t>
      </w:r>
      <w:r w:rsidRPr="00635E78">
        <w:rPr>
          <w:rFonts w:ascii="GHEA Grapalat" w:hAnsi="GHEA Grapalat"/>
          <w:color w:val="000000" w:themeColor="text1"/>
          <w:sz w:val="24"/>
          <w:szCs w:val="24"/>
          <w:lang w:val="hy-AM"/>
        </w:rPr>
        <w:t>արտադրողի կողմից լիազորված անձը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), ներկրող կամ վաճառող,</w:t>
      </w:r>
    </w:p>
    <w:p w14:paraId="340BA5CB" w14:textId="77777777" w:rsidR="00BB173E" w:rsidRPr="00635E78" w:rsidRDefault="00BB173E" w:rsidP="00635E78">
      <w:pPr>
        <w:pStyle w:val="ListParagraph"/>
        <w:numPr>
          <w:ilvl w:val="0"/>
          <w:numId w:val="2"/>
        </w:numPr>
        <w:tabs>
          <w:tab w:val="left" w:pos="63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պիտանիության ժամկետ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՝ ՆՊԱ-ի նպատակային օգտագործման համար նախատեսված ժամանակահատված, որի լրանալուց հետո ՆՊԱ-ն նպատակային օգտագործման համար այլևս պիտանի չէ,</w:t>
      </w:r>
    </w:p>
    <w:p w14:paraId="3DE42607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493A6BE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3. ՇՐՋԱՆԱՌՈՒԹՅԱՆ ԴՈՒՐՍ ԲԵՐՄԱՆ ԿԱՆՈՆՆԵՐԸ</w:t>
      </w:r>
    </w:p>
    <w:p w14:paraId="5F70BCCF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3083FB9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72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տարածքում համապատասխանության պարտադիր գնահատման ենթակա և շրջանառության մեջ գտնվող ՆՊԱ պետք է ուղեկցվի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համապատասխանության հայտարարագրով, </w:t>
      </w:r>
      <w:r w:rsidRPr="00635E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հայերեն մակնշմամբ և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համապատասխանության ազգային նշանով:</w:t>
      </w:r>
    </w:p>
    <w:p w14:paraId="6E814C9C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72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Արգելվում է Հայաստանի Հանրապետության տարածքում համապատասխանության պարտադիր գնահատման ենթակա ՆՊԱ-ի շրջանառությունն առանց 8-րդ կետով սահմանված պահանջների։ </w:t>
      </w:r>
    </w:p>
    <w:p w14:paraId="7164E38C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72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Հանրապետություն կարող են ներմուծվել, իրացվել և Հայաստանի Հանրապետության տարածքում իրացման նպատակով արտադրվել սույն տեխնիկական կանոնակարգին համապատասխանող ՆՊԱ-ն:</w:t>
      </w:r>
    </w:p>
    <w:p w14:paraId="467A71C3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72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տարածքից դուրս արտահանելու նպատակով արտադրվող ՆՊԱ-ները կարող են արտադրվել ներմուծող երկրի օրենսդրության պահանջներին համապատասխան:</w:t>
      </w:r>
    </w:p>
    <w:p w14:paraId="626B2213" w14:textId="77777777" w:rsidR="00BB173E" w:rsidRPr="00635E78" w:rsidRDefault="00BB173E" w:rsidP="00635E78">
      <w:pPr>
        <w:pStyle w:val="ListParagraph"/>
        <w:tabs>
          <w:tab w:val="left" w:pos="72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430723BF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ՆՊԱ-Ի ՆՈՒՅՆԱԿԱՆԱՑՄԱՆ ԳՈՐԾԸՆԹԱՑԸ</w:t>
      </w:r>
    </w:p>
    <w:p w14:paraId="03F31EFF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14:paraId="20F8D07D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9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Սույն տեխնիկական կանոնակարգի կիրառման ոլորտին դասելու նպատակով ՆՊԱ-ի նույնականացումն իրականացնում են մատակարարը (արտադրողը (արտադրողի կողմից լիազորված անձը), ներմուծողը, ներմուծող-իրացնողը, վաճառողը), մաքսային մարմինը՝ </w:t>
      </w:r>
      <w:r w:rsidRPr="00635E78">
        <w:rPr>
          <w:rFonts w:ascii="GHEA Grapalat" w:eastAsia="Calibri" w:hAnsi="GHEA Grapalat" w:cs="Sylfaen"/>
          <w:sz w:val="24"/>
          <w:szCs w:val="24"/>
          <w:lang w:val="hy-AM"/>
        </w:rPr>
        <w:t>մաքսային օրենսդրությամբ սահմանված պահանջների շրջանակում</w:t>
      </w:r>
      <w:r w:rsidRPr="00635E78">
        <w:rPr>
          <w:rFonts w:ascii="GHEA Grapalat" w:hAnsi="GHEA Grapalat"/>
          <w:sz w:val="24"/>
          <w:szCs w:val="24"/>
          <w:lang w:val="hy-AM"/>
        </w:rPr>
        <w:t>, սույն տեխնիկական կանոնակարգի պահանջների պահպանման նկատմամբ պետական վերահսկողություն իրականացնող տեսչական մարմինը, համապատասխանության գնահատման մարմինը և օրենսդրությամբ նախատեսված անձինք՝ տեսողական՝ զննման և գործիքային եղանակով։</w:t>
      </w:r>
    </w:p>
    <w:p w14:paraId="04631990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170"/>
        </w:tabs>
        <w:spacing w:after="0" w:line="360" w:lineRule="auto"/>
        <w:ind w:left="0" w:right="2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ՆՊԱ-ի նույնականացման նպատակով որպես արտադրանքի վերաբերյալ փաստաթուղթ օգտագործվում են հետևյալ փաստաթղթերը՝ շահագործման հրահանգը, ուղեցույց ներդիր-թերթիկը, տեղեկատվական թերթիկը, պայմանագիրը, ապրանքաուղեկից փաստաթղթերը, համապատասխանության գնահատումը հավաստող փաստաթուղթը, ինչպես նաև մատակարարի կողմից տրամադրված այլ փաստաթղթեր (անհրաժեշտության դեպքում):</w:t>
      </w:r>
    </w:p>
    <w:p w14:paraId="68D86E18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9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տեսողական՝ զննման եղանակով նույնականացումն իրականացվում է ըստ դրա անվանման, բնութագրող հատկանիշների և կիրառման եղանակի՝ ՆՊԱ-ի արտաքին տեսքը սույն տեխնիկական կանոնակարգին համապատասխան սահմանման մեջ շարադրված հատկանիշների հետ համեմատելու եղանակով</w:t>
      </w:r>
      <w:r w:rsidRPr="00635E78">
        <w:rPr>
          <w:rFonts w:ascii="Cambria Math" w:hAnsi="Cambria Math"/>
          <w:sz w:val="24"/>
          <w:szCs w:val="24"/>
          <w:lang w:val="hy-AM"/>
        </w:rPr>
        <w:t>․</w:t>
      </w:r>
    </w:p>
    <w:p w14:paraId="5204852E" w14:textId="77777777" w:rsidR="00BB173E" w:rsidRPr="00635E78" w:rsidRDefault="00BB173E" w:rsidP="00635E78">
      <w:pPr>
        <w:widowControl w:val="0"/>
        <w:tabs>
          <w:tab w:val="left" w:pos="1080"/>
          <w:tab w:val="left" w:pos="1260"/>
        </w:tabs>
        <w:spacing w:after="0" w:line="360" w:lineRule="auto"/>
        <w:ind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1) ըստ անվանման՝ ՆՊԱ-ի սպառողական փաթեթվածքի և ներդիր թերթիկի վրա զետեղված տեղեկատվության մեջ և (կամ) ուղեկցող փաստաթղթերում (մատակարարման մասին պայմանագրի բնօրինակներ (հաստատված պատճեններ), ապրանքին կից ներկայացվող փաստաթղթեր կամ ՆՊԱ-ի համապատասխանության հայտարարագիր) նշված ՆՊԱ-ի անվանումը՝ սույն տեխնիկական կանոնակարգին համապատասխան սահմանումների հետ համեմատելու եղանակով</w:t>
      </w:r>
      <w:r w:rsidRPr="00635E7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2761639" w14:textId="77777777" w:rsidR="00BB173E" w:rsidRPr="00635E78" w:rsidRDefault="00BB173E" w:rsidP="00635E78">
      <w:pPr>
        <w:widowControl w:val="0"/>
        <w:tabs>
          <w:tab w:val="left" w:pos="1080"/>
          <w:tab w:val="left" w:pos="1260"/>
        </w:tabs>
        <w:spacing w:after="0" w:line="360" w:lineRule="auto"/>
        <w:ind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2) ըստ բաղադրիչների կազմի՝ զննվող արտադրանքի սպառողական փաթեթվածքի վրա կամ փաստաթղթերում ՆՊԱ-ի մասին զետեղված տեղեկությունների ստուգման միջոցով, </w:t>
      </w:r>
    </w:p>
    <w:p w14:paraId="573F3A62" w14:textId="77777777" w:rsidR="00BB173E" w:rsidRPr="00635E78" w:rsidRDefault="00BB173E" w:rsidP="00635E78">
      <w:pPr>
        <w:widowControl w:val="0"/>
        <w:tabs>
          <w:tab w:val="left" w:pos="1080"/>
          <w:tab w:val="left" w:pos="1260"/>
        </w:tabs>
        <w:spacing w:after="0" w:line="360" w:lineRule="auto"/>
        <w:ind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3) ըստ կիրառման եղանակի՝ սպառողական փաթեթվածքի կամ շահագործման փաստաթղթերում նշման առկայության ստուգման միջոցով՝ նիկոտին պարունակող արտադրատեսակների (տեսակը, մակնիշը, մոդելը) կիրառման համար սարքի նշումը, որի հետ պետք է օգտագործվի ՆՊԱ-ն: </w:t>
      </w:r>
    </w:p>
    <w:p w14:paraId="2FAFABDA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lastRenderedPageBreak/>
        <w:t>Տեսողական՝ զննման եղանակով նույնականացումն իրականացնելու անհնարինության դեպքում, ՆՊԱ նույնականացումը կարող է կատարվել նաև գործիքային եղանակով։</w:t>
      </w:r>
    </w:p>
    <w:p w14:paraId="01609368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գործիքային եղանակով նույնականացումը կատարվում է համաձայն հետևյալ նույնականացման ցուցանիշների</w:t>
      </w:r>
      <w:r w:rsidRPr="00635E7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1039BA6" w14:textId="77777777" w:rsidR="00BB173E" w:rsidRPr="00635E78" w:rsidRDefault="00BB173E" w:rsidP="00635E78">
      <w:pPr>
        <w:pStyle w:val="ListParagraph"/>
        <w:widowControl w:val="0"/>
        <w:numPr>
          <w:ilvl w:val="0"/>
          <w:numId w:val="2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ՆՊԱ-ի օգտագործումից առաջացած աերոզոլում նիկոտինի պարունակության որոշում․</w:t>
      </w:r>
    </w:p>
    <w:p w14:paraId="32772937" w14:textId="77777777" w:rsidR="00BB173E" w:rsidRPr="00635E78" w:rsidRDefault="00BB173E" w:rsidP="00635E78">
      <w:pPr>
        <w:pStyle w:val="ListParagraph"/>
        <w:widowControl w:val="0"/>
        <w:numPr>
          <w:ilvl w:val="0"/>
          <w:numId w:val="2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հեղուկում նիկոտինի առավելագույն պարունակության որոշում</w:t>
      </w:r>
      <w:r w:rsidRPr="00635E78">
        <w:rPr>
          <w:rFonts w:ascii="Cambria Math" w:hAnsi="Cambria Math"/>
          <w:sz w:val="24"/>
          <w:szCs w:val="24"/>
          <w:lang w:val="hy-AM"/>
        </w:rPr>
        <w:t>․</w:t>
      </w:r>
    </w:p>
    <w:p w14:paraId="2074F661" w14:textId="77777777" w:rsidR="00BB173E" w:rsidRPr="00635E78" w:rsidRDefault="00BB173E" w:rsidP="00635E78">
      <w:pPr>
        <w:pStyle w:val="ListParagraph"/>
        <w:widowControl w:val="0"/>
        <w:numPr>
          <w:ilvl w:val="0"/>
          <w:numId w:val="2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լցանյութում առկա տարրերի որոշում․</w:t>
      </w:r>
    </w:p>
    <w:p w14:paraId="421CA115" w14:textId="77777777" w:rsidR="00BB173E" w:rsidRPr="00635E78" w:rsidRDefault="00BB173E" w:rsidP="00635E78">
      <w:pPr>
        <w:pStyle w:val="ListParagraph"/>
        <w:widowControl w:val="0"/>
        <w:numPr>
          <w:ilvl w:val="0"/>
          <w:numId w:val="2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սույն տեխնիկական կանոնակարգով ս</w:t>
      </w: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ահմանված՝ ՆՊԱ-ի արտադրության ժամանակ արգելված բաղադրիչների որոշում․</w:t>
      </w:r>
    </w:p>
    <w:p w14:paraId="5F5C8528" w14:textId="77777777" w:rsidR="00BB173E" w:rsidRPr="00635E78" w:rsidRDefault="00BB173E" w:rsidP="00635E78">
      <w:pPr>
        <w:pStyle w:val="ListParagraph"/>
        <w:widowControl w:val="0"/>
        <w:numPr>
          <w:ilvl w:val="0"/>
          <w:numId w:val="2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օգտագործման ընթացքում այրման բացակայություն:</w:t>
      </w:r>
    </w:p>
    <w:p w14:paraId="7B6D4A43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 w:cs="Arial,Bold"/>
          <w:bCs/>
          <w:sz w:val="24"/>
          <w:szCs w:val="24"/>
          <w:lang w:val="hy-AM"/>
        </w:rPr>
      </w:pPr>
      <w:r w:rsidRPr="00635E78">
        <w:rPr>
          <w:rFonts w:ascii="GHEA Grapalat" w:hAnsi="GHEA Grapalat" w:cs="Arial,Bold"/>
          <w:bCs/>
          <w:sz w:val="24"/>
          <w:szCs w:val="24"/>
          <w:lang w:val="hy-AM"/>
        </w:rPr>
        <w:t>Նույնականացման արդյունք է համարվում նույնականացվող արտադրանքը ՆՊԱ-ի շարքին դասելը կամ չդասելը:</w:t>
      </w:r>
    </w:p>
    <w:p w14:paraId="2AC6DA69" w14:textId="77777777" w:rsidR="00BB173E" w:rsidRPr="00635E78" w:rsidRDefault="00BB173E" w:rsidP="00635E78">
      <w:pPr>
        <w:pStyle w:val="ListParagraph"/>
        <w:widowControl w:val="0"/>
        <w:tabs>
          <w:tab w:val="left" w:pos="1080"/>
          <w:tab w:val="left" w:pos="1260"/>
        </w:tabs>
        <w:spacing w:after="0" w:line="360" w:lineRule="auto"/>
        <w:ind w:left="0" w:right="20" w:firstLine="720"/>
        <w:rPr>
          <w:rFonts w:ascii="GHEA Grapalat" w:hAnsi="GHEA Grapalat" w:cs="Arial,Bold"/>
          <w:b/>
          <w:bCs/>
          <w:sz w:val="24"/>
          <w:szCs w:val="24"/>
          <w:lang w:val="hy-AM"/>
        </w:rPr>
      </w:pPr>
    </w:p>
    <w:p w14:paraId="29B5C18B" w14:textId="77777777" w:rsidR="00BB173E" w:rsidRPr="00635E78" w:rsidRDefault="00BB173E" w:rsidP="00635E78">
      <w:pPr>
        <w:pStyle w:val="ListParagraph"/>
        <w:widowControl w:val="0"/>
        <w:tabs>
          <w:tab w:val="left" w:pos="1080"/>
          <w:tab w:val="left" w:pos="1260"/>
        </w:tabs>
        <w:spacing w:after="0" w:line="360" w:lineRule="auto"/>
        <w:ind w:left="0" w:right="20" w:firstLine="720"/>
        <w:rPr>
          <w:rFonts w:ascii="GHEA Grapalat" w:hAnsi="GHEA Grapalat" w:cs="Arial,Bold"/>
          <w:b/>
          <w:bCs/>
          <w:sz w:val="24"/>
          <w:szCs w:val="24"/>
          <w:lang w:val="hy-AM"/>
        </w:rPr>
      </w:pPr>
      <w:r w:rsidRPr="00635E78">
        <w:rPr>
          <w:rFonts w:ascii="GHEA Grapalat" w:hAnsi="GHEA Grapalat" w:cs="Arial,Bold"/>
          <w:b/>
          <w:bCs/>
          <w:sz w:val="24"/>
          <w:szCs w:val="24"/>
          <w:lang w:val="hy-AM"/>
        </w:rPr>
        <w:t>5. ՆՊԱ-Ի ԱՆՎՏԱՆԳՈՒԹՅԱՆ ՊԱՀԱՆՋՆԵՐԸ</w:t>
      </w:r>
    </w:p>
    <w:p w14:paraId="3CCEAB57" w14:textId="77777777" w:rsidR="00BB173E" w:rsidRPr="00635E78" w:rsidRDefault="00BB173E" w:rsidP="00635E78">
      <w:pPr>
        <w:widowControl w:val="0"/>
        <w:tabs>
          <w:tab w:val="left" w:pos="1080"/>
          <w:tab w:val="left" w:pos="1260"/>
        </w:tabs>
        <w:spacing w:after="0" w:line="360" w:lineRule="auto"/>
        <w:ind w:right="20" w:firstLine="720"/>
        <w:jc w:val="right"/>
        <w:rPr>
          <w:rFonts w:ascii="GHEA Grapalat" w:hAnsi="GHEA Grapalat" w:cs="Arial,Bold"/>
          <w:bCs/>
          <w:sz w:val="24"/>
          <w:szCs w:val="24"/>
          <w:lang w:val="hy-AM"/>
        </w:rPr>
      </w:pPr>
    </w:p>
    <w:p w14:paraId="5F900B22" w14:textId="77777777" w:rsidR="00BB173E" w:rsidRPr="00635E78" w:rsidRDefault="00BB173E" w:rsidP="00635E78">
      <w:pPr>
        <w:pStyle w:val="ListParagraph"/>
        <w:numPr>
          <w:ilvl w:val="0"/>
          <w:numId w:val="3"/>
        </w:numPr>
        <w:tabs>
          <w:tab w:val="left" w:pos="72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Կախված լցանյութից տարբերակվում են ՆՊԱ-ի համակցված և ՆՄՀ-ի համար նախատեսված հեղուկներ տեսակները։</w:t>
      </w:r>
    </w:p>
    <w:p w14:paraId="34081216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 w:cs="Arial,Bold"/>
          <w:bCs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ՆՊԱ-ն պետք է արտադրվի սույն տեխնիկական կանոնակարգի պահանջներին,  ՆՊԱ-ի համապատասխան արտադրատեսակների վերաբերյալ արտադրողի տեխնոլոգիական հրահանգներին և բաղադրագրերին համաձայն:</w:t>
      </w:r>
    </w:p>
    <w:p w14:paraId="34AA9DB3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ՆՊԱ-ը պետք է արտադրված լինի այնպես, որ համապատասխան լցանյութի նպատակային օգտագործումը հանգեցնի նիկոտին պարունակող աերոզոլի առաջացմանը:</w:t>
      </w:r>
    </w:p>
    <w:p w14:paraId="1070AF5A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ՆՄՀ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հեղուկների արտադրման գործընթացում օգտագործվում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Աղյուսակ</w:t>
      </w:r>
      <w:r w:rsidRPr="00635E78">
        <w:rPr>
          <w:rFonts w:ascii="GHEA Grapalat" w:eastAsia="Times New Roman" w:hAnsi="GHEA Grapalat"/>
          <w:sz w:val="24"/>
          <w:szCs w:val="24"/>
          <w:lang w:val="hy-AM"/>
        </w:rPr>
        <w:t xml:space="preserve"> N 1-ով ներկայացված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հետևյալ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հումքը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4E03C292" w14:textId="77777777" w:rsidR="00BB173E" w:rsidRPr="00635E78" w:rsidRDefault="00BB173E" w:rsidP="00635E78">
      <w:pPr>
        <w:pStyle w:val="Bodytext1"/>
        <w:shd w:val="clear" w:color="auto" w:fill="auto"/>
        <w:tabs>
          <w:tab w:val="left" w:pos="990"/>
          <w:tab w:val="left" w:pos="1080"/>
          <w:tab w:val="left" w:pos="1260"/>
        </w:tabs>
        <w:spacing w:before="0"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Աղյուսակ</w:t>
      </w:r>
      <w:r w:rsidRPr="00635E78">
        <w:rPr>
          <w:rFonts w:ascii="GHEA Grapalat" w:eastAsia="Times New Roman" w:hAnsi="GHEA Grapalat"/>
          <w:sz w:val="24"/>
          <w:szCs w:val="24"/>
          <w:lang w:val="hy-AM"/>
        </w:rPr>
        <w:t xml:space="preserve"> N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18"/>
        <w:gridCol w:w="5522"/>
        <w:gridCol w:w="1647"/>
      </w:tblGrid>
      <w:tr w:rsidR="00BB173E" w:rsidRPr="00635E78" w14:paraId="3B66AA22" w14:textId="77777777" w:rsidTr="00996F45">
        <w:trPr>
          <w:jc w:val="center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41B2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rPr>
                <w:rFonts w:ascii="GHEA Grapalat" w:eastAsia="Times New Roman" w:hAnsi="GHEA Grapalat" w:cs="GHEA Grapalat"/>
                <w:lang w:eastAsia="ru-RU"/>
              </w:rPr>
            </w:pPr>
            <w:r w:rsidRPr="00635E78">
              <w:rPr>
                <w:rFonts w:ascii="GHEA Grapalat" w:eastAsia="Times New Roman" w:hAnsi="GHEA Grapalat" w:cs="GHEA Grapalat"/>
                <w:lang w:eastAsia="ru-RU"/>
              </w:rPr>
              <w:t>Արտադրանքի անվանումը</w:t>
            </w:r>
          </w:p>
        </w:tc>
        <w:tc>
          <w:tcPr>
            <w:tcW w:w="5522" w:type="dxa"/>
            <w:tcBorders>
              <w:left w:val="single" w:sz="4" w:space="0" w:color="auto"/>
            </w:tcBorders>
          </w:tcPr>
          <w:p w14:paraId="6580F74B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eastAsia="ru-RU"/>
              </w:rPr>
            </w:pPr>
            <w:r w:rsidRPr="00635E78">
              <w:rPr>
                <w:rFonts w:ascii="GHEA Grapalat" w:eastAsia="Times New Roman" w:hAnsi="GHEA Grapalat"/>
                <w:lang w:eastAsia="ru-RU"/>
              </w:rPr>
              <w:t>Ցուցանիշի անվանումը</w:t>
            </w:r>
          </w:p>
        </w:tc>
        <w:tc>
          <w:tcPr>
            <w:tcW w:w="1620" w:type="dxa"/>
          </w:tcPr>
          <w:p w14:paraId="1F9BE9D7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35E78">
              <w:rPr>
                <w:rFonts w:ascii="GHEA Grapalat" w:eastAsia="Times New Roman" w:hAnsi="GHEA Grapalat"/>
                <w:lang w:eastAsia="ru-RU"/>
              </w:rPr>
              <w:t>Նորմը</w:t>
            </w:r>
          </w:p>
        </w:tc>
      </w:tr>
      <w:tr w:rsidR="00BB173E" w:rsidRPr="00635E78" w14:paraId="14872DD4" w14:textId="77777777" w:rsidTr="00996F45">
        <w:trPr>
          <w:jc w:val="center"/>
        </w:trPr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A9B3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rPr>
                <w:rFonts w:ascii="GHEA Grapalat" w:eastAsia="Times New Roman" w:hAnsi="GHEA Grapalat" w:cs="GHEA Grapalat"/>
                <w:lang w:eastAsia="ru-RU"/>
              </w:rPr>
            </w:pPr>
            <w:r w:rsidRPr="00635E78">
              <w:rPr>
                <w:rFonts w:ascii="GHEA Grapalat" w:eastAsia="Times New Roman" w:hAnsi="GHEA Grapalat" w:cs="GHEA Grapalat"/>
                <w:lang w:eastAsia="ru-RU"/>
              </w:rPr>
              <w:t>ՆՄՀ</w:t>
            </w:r>
            <w:r w:rsidRPr="00635E78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r w:rsidRPr="00635E78">
              <w:rPr>
                <w:rFonts w:ascii="GHEA Grapalat" w:eastAsia="Times New Roman" w:hAnsi="GHEA Grapalat" w:cs="GHEA Grapalat"/>
                <w:lang w:eastAsia="ru-RU"/>
              </w:rPr>
              <w:t>հեղուկներ</w:t>
            </w:r>
          </w:p>
          <w:p w14:paraId="5E101F94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rPr>
                <w:rFonts w:ascii="GHEA Grapalat" w:hAnsi="GHEA Grapalat" w:cs="Sylfaen"/>
              </w:rPr>
            </w:pPr>
          </w:p>
        </w:tc>
        <w:tc>
          <w:tcPr>
            <w:tcW w:w="5522" w:type="dxa"/>
            <w:tcBorders>
              <w:left w:val="single" w:sz="4" w:space="0" w:color="auto"/>
            </w:tcBorders>
          </w:tcPr>
          <w:p w14:paraId="2B984BCE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both"/>
              <w:rPr>
                <w:rFonts w:ascii="GHEA Grapalat" w:hAnsi="GHEA Grapalat" w:cs="Sylfaen"/>
              </w:rPr>
            </w:pPr>
            <w:r w:rsidRPr="00635E78">
              <w:rPr>
                <w:rFonts w:ascii="GHEA Grapalat" w:eastAsia="Times New Roman" w:hAnsi="GHEA Grapalat"/>
                <w:lang w:eastAsia="ru-RU"/>
              </w:rPr>
              <w:t xml:space="preserve">նիկոտին, նիկոտինի աղեր, </w:t>
            </w:r>
            <w:r w:rsidRPr="00635E78">
              <w:rPr>
                <w:rFonts w:ascii="GHEA Grapalat" w:hAnsi="GHEA Grapalat" w:cs="Sylfaen"/>
              </w:rPr>
              <w:t xml:space="preserve">%, </w:t>
            </w:r>
            <w:r w:rsidRPr="00635E78">
              <w:rPr>
                <w:rFonts w:ascii="GHEA Grapalat" w:hAnsi="GHEA Grapalat"/>
                <w:lang w:eastAsia="en-US"/>
              </w:rPr>
              <w:t>ոչ պակաս</w:t>
            </w:r>
          </w:p>
        </w:tc>
        <w:tc>
          <w:tcPr>
            <w:tcW w:w="1620" w:type="dxa"/>
          </w:tcPr>
          <w:p w14:paraId="0CA0EBEA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center"/>
              <w:rPr>
                <w:rFonts w:ascii="GHEA Grapalat" w:hAnsi="GHEA Grapalat" w:cs="Sylfaen"/>
              </w:rPr>
            </w:pPr>
            <w:r w:rsidRPr="00635E78">
              <w:rPr>
                <w:rFonts w:ascii="GHEA Grapalat" w:eastAsia="Times New Roman" w:hAnsi="GHEA Grapalat"/>
                <w:lang w:eastAsia="ru-RU"/>
              </w:rPr>
              <w:t>98</w:t>
            </w:r>
          </w:p>
        </w:tc>
      </w:tr>
      <w:tr w:rsidR="00BB173E" w:rsidRPr="00635E78" w14:paraId="222343DB" w14:textId="77777777" w:rsidTr="00996F45">
        <w:trPr>
          <w:jc w:val="center"/>
        </w:trPr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CBE0" w14:textId="77777777" w:rsidR="00BB173E" w:rsidRPr="00635E78" w:rsidRDefault="00BB173E" w:rsidP="00635E78">
            <w:pPr>
              <w:tabs>
                <w:tab w:val="left" w:pos="990"/>
                <w:tab w:val="left" w:pos="1080"/>
                <w:tab w:val="left" w:pos="1260"/>
              </w:tabs>
              <w:spacing w:after="0"/>
              <w:ind w:firstLine="720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5522" w:type="dxa"/>
            <w:tcBorders>
              <w:left w:val="single" w:sz="4" w:space="0" w:color="auto"/>
            </w:tcBorders>
          </w:tcPr>
          <w:p w14:paraId="109B0A26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both"/>
              <w:rPr>
                <w:rFonts w:ascii="GHEA Grapalat" w:hAnsi="GHEA Grapalat" w:cs="Sylfaen"/>
              </w:rPr>
            </w:pPr>
            <w:r w:rsidRPr="00635E78">
              <w:rPr>
                <w:rFonts w:ascii="GHEA Grapalat" w:hAnsi="GHEA Grapalat"/>
                <w:lang w:eastAsia="en-US"/>
              </w:rPr>
              <w:t>գլիցերին թորած</w:t>
            </w:r>
            <w:r w:rsidRPr="00635E78">
              <w:rPr>
                <w:rFonts w:ascii="GHEA Grapalat" w:hAnsi="GHEA Grapalat" w:cs="Sylfaen"/>
              </w:rPr>
              <w:t xml:space="preserve">, %, </w:t>
            </w:r>
            <w:r w:rsidRPr="00635E78">
              <w:rPr>
                <w:rFonts w:ascii="GHEA Grapalat" w:hAnsi="GHEA Grapalat"/>
                <w:lang w:eastAsia="en-US"/>
              </w:rPr>
              <w:t>ոչ պակաս</w:t>
            </w:r>
          </w:p>
        </w:tc>
        <w:tc>
          <w:tcPr>
            <w:tcW w:w="1620" w:type="dxa"/>
          </w:tcPr>
          <w:p w14:paraId="26E10901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center"/>
              <w:rPr>
                <w:rFonts w:ascii="GHEA Grapalat" w:hAnsi="GHEA Grapalat" w:cs="Sylfaen"/>
              </w:rPr>
            </w:pPr>
            <w:r w:rsidRPr="00635E78">
              <w:rPr>
                <w:rFonts w:ascii="GHEA Grapalat" w:hAnsi="GHEA Grapalat"/>
                <w:lang w:eastAsia="en-US"/>
              </w:rPr>
              <w:t>95</w:t>
            </w:r>
          </w:p>
        </w:tc>
      </w:tr>
      <w:tr w:rsidR="00BB173E" w:rsidRPr="00635E78" w14:paraId="59289582" w14:textId="77777777" w:rsidTr="00996F45">
        <w:trPr>
          <w:jc w:val="center"/>
        </w:trPr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EFE4" w14:textId="77777777" w:rsidR="00BB173E" w:rsidRPr="00635E78" w:rsidRDefault="00BB173E" w:rsidP="00635E78">
            <w:pPr>
              <w:tabs>
                <w:tab w:val="left" w:pos="990"/>
                <w:tab w:val="left" w:pos="1080"/>
                <w:tab w:val="left" w:pos="1260"/>
              </w:tabs>
              <w:spacing w:after="0"/>
              <w:ind w:firstLine="720"/>
              <w:jc w:val="both"/>
              <w:rPr>
                <w:rFonts w:ascii="GHEA Grapalat" w:hAnsi="GHEA Grapalat"/>
              </w:rPr>
            </w:pPr>
          </w:p>
        </w:tc>
        <w:tc>
          <w:tcPr>
            <w:tcW w:w="5522" w:type="dxa"/>
            <w:tcBorders>
              <w:left w:val="single" w:sz="4" w:space="0" w:color="auto"/>
            </w:tcBorders>
          </w:tcPr>
          <w:p w14:paraId="1275D4AC" w14:textId="77777777" w:rsidR="00BB173E" w:rsidRPr="00635E78" w:rsidRDefault="00BB173E" w:rsidP="00635E78">
            <w:pPr>
              <w:tabs>
                <w:tab w:val="left" w:pos="990"/>
                <w:tab w:val="left" w:pos="1080"/>
                <w:tab w:val="left" w:pos="1260"/>
              </w:tabs>
              <w:spacing w:after="0"/>
              <w:ind w:firstLine="720"/>
              <w:jc w:val="both"/>
              <w:rPr>
                <w:rFonts w:ascii="GHEA Grapalat" w:hAnsi="GHEA Grapalat" w:cs="Sylfaen"/>
              </w:rPr>
            </w:pPr>
            <w:r w:rsidRPr="00635E78">
              <w:rPr>
                <w:rFonts w:ascii="GHEA Grapalat" w:hAnsi="GHEA Grapalat"/>
                <w:lang w:eastAsia="en-US"/>
              </w:rPr>
              <w:t xml:space="preserve">պրոպիլենգլիկոլ,  </w:t>
            </w:r>
            <w:r w:rsidRPr="00635E78">
              <w:rPr>
                <w:rFonts w:ascii="GHEA Grapalat" w:hAnsi="GHEA Grapalat" w:cs="Sylfaen"/>
              </w:rPr>
              <w:t xml:space="preserve">%, </w:t>
            </w:r>
            <w:r w:rsidRPr="00635E78">
              <w:rPr>
                <w:rFonts w:ascii="GHEA Grapalat" w:hAnsi="GHEA Grapalat"/>
                <w:lang w:eastAsia="en-US"/>
              </w:rPr>
              <w:t>ոչ պակաս</w:t>
            </w:r>
          </w:p>
        </w:tc>
        <w:tc>
          <w:tcPr>
            <w:tcW w:w="1620" w:type="dxa"/>
          </w:tcPr>
          <w:p w14:paraId="4D6C91F7" w14:textId="77777777" w:rsidR="00BB173E" w:rsidRPr="00635E78" w:rsidRDefault="00BB173E" w:rsidP="00635E78">
            <w:pPr>
              <w:pStyle w:val="NoSpacing"/>
              <w:tabs>
                <w:tab w:val="left" w:pos="990"/>
                <w:tab w:val="left" w:pos="1080"/>
                <w:tab w:val="left" w:pos="1260"/>
              </w:tabs>
              <w:spacing w:line="276" w:lineRule="auto"/>
              <w:ind w:firstLine="720"/>
              <w:jc w:val="center"/>
              <w:rPr>
                <w:rFonts w:ascii="GHEA Grapalat" w:hAnsi="GHEA Grapalat" w:cs="Sylfaen"/>
              </w:rPr>
            </w:pPr>
            <w:r w:rsidRPr="00635E78">
              <w:rPr>
                <w:rFonts w:ascii="GHEA Grapalat" w:hAnsi="GHEA Grapalat"/>
                <w:lang w:eastAsia="en-US"/>
              </w:rPr>
              <w:t>95</w:t>
            </w:r>
          </w:p>
        </w:tc>
      </w:tr>
    </w:tbl>
    <w:p w14:paraId="04FC81D5" w14:textId="77777777" w:rsidR="00BB173E" w:rsidRPr="00635E78" w:rsidRDefault="00BB173E" w:rsidP="00635E78">
      <w:pPr>
        <w:pStyle w:val="ListParagraph"/>
        <w:tabs>
          <w:tab w:val="left" w:pos="9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60D878B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9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Թույլատրվում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արտադրությունում կիրառել միայն այն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բաղադրիչները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որոնց օգտագործումն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ապահովում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տեխնիկական կանոնակարգով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սահմանված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ՆՄՀ-ի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հեղուկի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բնութագրերը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015BE0F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Նիկոտին պարունակող հեղուկը չի կարող պարունակել հետևյալ հավելումները.</w:t>
      </w:r>
    </w:p>
    <w:p w14:paraId="4D2901C4" w14:textId="77777777" w:rsidR="00BB173E" w:rsidRPr="00635E78" w:rsidRDefault="00BB173E" w:rsidP="00635E78">
      <w:pPr>
        <w:widowControl w:val="0"/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1) վիտամիններ կամ այլ հավելումներ, որոնք տպավորություն են ստեղծում, որ ծխախոտային արտադրատեսակի փոխարինիչն առողջության համար օգտակար է կամ ներկայացնում է առողջության համար նվազեցված ռիսկեր,</w:t>
      </w:r>
    </w:p>
    <w:p w14:paraId="39359E83" w14:textId="77777777" w:rsidR="00BB173E" w:rsidRPr="00635E78" w:rsidRDefault="00BB173E" w:rsidP="00635E78">
      <w:pPr>
        <w:widowControl w:val="0"/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2) կոֆեին կամ տաուրին կամ այլ հավելումներ և խթանիչ միացություններ, որոնք կապված են էներգիայի և կենսունակության հետ,</w:t>
      </w:r>
    </w:p>
    <w:p w14:paraId="590EC70E" w14:textId="77777777" w:rsidR="00BB173E" w:rsidRPr="00635E78" w:rsidRDefault="00BB173E" w:rsidP="00635E78">
      <w:pPr>
        <w:widowControl w:val="0"/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3) արտանետումների գունազարդման հատկություններ ունեցող հավելումներ,</w:t>
      </w:r>
    </w:p>
    <w:p w14:paraId="26F73828" w14:textId="77777777" w:rsidR="00BB173E" w:rsidRPr="00635E78" w:rsidRDefault="00BB173E" w:rsidP="00635E78">
      <w:pPr>
        <w:widowControl w:val="0"/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 xml:space="preserve">4) հավելումներ, որոնք հեշտացնում են ինհալացիան կամ նիկոտինի կլանումը, </w:t>
      </w:r>
    </w:p>
    <w:p w14:paraId="753228BA" w14:textId="77777777" w:rsidR="00BB173E" w:rsidRPr="00635E78" w:rsidRDefault="00BB173E" w:rsidP="00635E78">
      <w:pPr>
        <w:widowControl w:val="0"/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 xml:space="preserve">5) հավելումներ, որոնք ունեն </w:t>
      </w:r>
      <w:r w:rsidRPr="00635E78">
        <w:rPr>
          <w:rFonts w:ascii="GHEA Grapalat" w:hAnsi="GHEA Grapalat"/>
          <w:sz w:val="24"/>
          <w:szCs w:val="24"/>
          <w:lang w:val="hy-AM"/>
        </w:rPr>
        <w:t>քաղցկեղածին, մուտագեն կամ ռեպրոտոքսիկ (մարդու վերարտադրողական համակարգի վրա ազդող թունավոր նյութեր)</w:t>
      </w:r>
      <w:r w:rsidRPr="00635E78">
        <w:rPr>
          <w:rFonts w:ascii="GHEA Grapalat" w:hAnsi="GHEA Grapalat" w:cs="Sylfaen"/>
          <w:sz w:val="24"/>
          <w:szCs w:val="24"/>
          <w:lang w:val="hy-AM"/>
        </w:rPr>
        <w:t xml:space="preserve"> հատկություններ չտաքացված վիճակում:</w:t>
      </w:r>
    </w:p>
    <w:p w14:paraId="20514B61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90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ՆՄՀ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հեղուկում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նիկոտինի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առավելագույն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պարունակությունը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չպետք է գերազանցի 20 մգ/գ-ը։</w:t>
      </w:r>
      <w:r w:rsidRPr="00635E78">
        <w:rPr>
          <w:lang w:val="hy-AM"/>
        </w:rPr>
        <w:t xml:space="preserve"> </w:t>
      </w:r>
    </w:p>
    <w:p w14:paraId="69C5799D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9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Սպառման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նախատեսվող՝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միավոր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պարկուճում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քարթրիջում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ՆՄՀ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հեղուկի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ծավալը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կարող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գերազանցել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մլ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7D770C6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Թույլատրվում է կիրառել միայն այնպիսի հավելումներ, որոնք պահպանում են սույն տեխնիկական կանոնակարգով ՆՊԱ-ի  համար սահմանված բնութագրերը:</w:t>
      </w:r>
    </w:p>
    <w:p w14:paraId="7F0E359E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ՆՊԱ-ի արտադրության ընթացքում օգտագործվող հավելումները պետք է համապատասխանեն հավելումների համար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Հանրապետության տարածքում </w:t>
      </w:r>
      <w:r w:rsidRPr="00635E78">
        <w:rPr>
          <w:rFonts w:ascii="GHEA Grapalat" w:hAnsi="GHEA Grapalat"/>
          <w:sz w:val="24"/>
          <w:szCs w:val="24"/>
          <w:lang w:val="hy-AM"/>
        </w:rPr>
        <w:t>գործող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միջազգային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ընդունված </w:t>
      </w:r>
      <w:r w:rsidRPr="00635E78">
        <w:rPr>
          <w:rFonts w:ascii="GHEA Grapalat" w:hAnsi="GHEA Grapalat"/>
          <w:sz w:val="24"/>
          <w:szCs w:val="24"/>
          <w:lang w:val="hy-AM"/>
        </w:rPr>
        <w:t>օրենսդրությամբ սահմանված պահանջներին:</w:t>
      </w:r>
    </w:p>
    <w:p w14:paraId="5F2BD87F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Արտադրողը պարտավոր է իրականացնել ռիսկերի գնահատում՝ օրենսդրությամբ և սույն տեխնիկական կանոնակարգի կիրարկումն ապահովող ստանդարտներով սահմանված պահանջներին համապատասխան: </w:t>
      </w:r>
    </w:p>
    <w:p w14:paraId="301D61C5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Ռիսկերի գնահատման ընթացքում հաշվի են առնվում հումքի հատկություններն ու մանրէաբանական, արտադրական գործընթացի և վերահսկման առանձնահատկությունները, փաթեթավորման պայմանները և շրջանառության ողջ շղթայում ՆՊԱ-ի կենսացիկլը:</w:t>
      </w:r>
    </w:p>
    <w:p w14:paraId="723C900A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lastRenderedPageBreak/>
        <w:t xml:space="preserve"> Ռիսկերի գնահատման արդյունքներով որոշվում են պահպանման պայմանները, և պիտանիության ժամկետը:</w:t>
      </w:r>
    </w:p>
    <w:p w14:paraId="186EC8CB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Պահպանման պայմանները կամ պիտանիության ժամկետը սահմանվում են արտադրողի կողմից՝ սեփական ուսումնասիրությունների հիման վրա:</w:t>
      </w:r>
    </w:p>
    <w:p w14:paraId="6D19E2A5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990"/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ՆՄՀ շահագործման ընթացքում պետք է համապատասխանի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Հանրապետության տարածքում </w:t>
      </w:r>
      <w:r w:rsidRPr="00635E78">
        <w:rPr>
          <w:rFonts w:ascii="GHEA Grapalat" w:hAnsi="GHEA Grapalat"/>
          <w:sz w:val="24"/>
          <w:szCs w:val="24"/>
          <w:lang w:val="hy-AM"/>
        </w:rPr>
        <w:t>գործող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միջազգային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ընդունված </w:t>
      </w:r>
      <w:r w:rsidRPr="00635E78">
        <w:rPr>
          <w:rFonts w:ascii="GHEA Grapalat" w:hAnsi="GHEA Grapalat"/>
          <w:sz w:val="24"/>
          <w:szCs w:val="24"/>
          <w:lang w:val="hy-AM"/>
        </w:rPr>
        <w:t>օրենսդրությամբ սահմանված պահանջներին։</w:t>
      </w:r>
    </w:p>
    <w:p w14:paraId="1518B80C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շահագործման ընթացքում նիկոտին պարունակող աերոզոլում արտազատվող ցանկացած նյութ պետք է համապատասխանի սույն տեխնիկական կանոնակարգի կիրարկումն ապահովող ստանդարտներով սահմանված պահանջներին:</w:t>
      </w:r>
    </w:p>
    <w:p w14:paraId="7059719C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Նիկոտին պարունակող աերոզոլում նիկոտինի պարունակությունը հաշվարկվում է մգ-ով 100 սմ</w:t>
      </w:r>
      <w:r w:rsidRPr="00635E78">
        <w:rPr>
          <w:rFonts w:ascii="GHEA Grapalat" w:eastAsia="Times New Roman" w:hAnsi="GHEA Grapalat" w:cs="Times New Roman"/>
          <w:noProof/>
          <w:sz w:val="24"/>
          <w:szCs w:val="24"/>
          <w:vertAlign w:val="superscript"/>
          <w:lang w:val="hy-AM"/>
        </w:rPr>
        <w:t>3</w:t>
      </w: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նիկոտին պարունակող աերոզոլում գազաքրոմատագրման եղանակով՝ Հայաստանի Հանրապետության </w:t>
      </w:r>
      <w:r w:rsidRPr="00635E78">
        <w:rPr>
          <w:rFonts w:ascii="GHEA Grapalat" w:hAnsi="GHEA Grapalat"/>
          <w:sz w:val="24"/>
          <w:szCs w:val="24"/>
          <w:lang w:val="hy-AM"/>
        </w:rPr>
        <w:t>օրենսդրությամբ և սույն տեխնիկական կանոնակարգի կիրարկումն ապահովող ստանդարտներով սահմանված պահանջներին համապատասխան</w:t>
      </w: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:</w:t>
      </w:r>
    </w:p>
    <w:p w14:paraId="326851ED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ՆՊԱ-ի արտադրության ժամանակ արգելված բաղադրիչների ցանկը հետևյալն է</w:t>
      </w:r>
      <w:r w:rsidRPr="00635E78"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․</w:t>
      </w: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</w:p>
    <w:p w14:paraId="671BCC6F" w14:textId="77777777" w:rsidR="00BB173E" w:rsidRPr="00635E78" w:rsidRDefault="00BB173E" w:rsidP="00635E78">
      <w:pPr>
        <w:pStyle w:val="Bodytext1"/>
        <w:numPr>
          <w:ilvl w:val="0"/>
          <w:numId w:val="29"/>
        </w:numPr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Նյութեր՝</w:t>
      </w:r>
    </w:p>
    <w:p w14:paraId="307EA846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ա. ագարինաթթու (Acidumagaricinicum).</w:t>
      </w:r>
    </w:p>
    <w:p w14:paraId="060A5921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բ.կեչու ձյութայուղ (Oleum Betulaeempyreumaticum).</w:t>
      </w:r>
    </w:p>
    <w:p w14:paraId="5609F658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գ. դառը նուշի յուղ (Oleum Amygdalarumamarum)՝ ազատ կամ կապված սինիլաթթվի պարունակությամբ .</w:t>
      </w:r>
    </w:p>
    <w:p w14:paraId="573C6004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դ. սասաֆրասի յուղ (Oleum Sassafratis).</w:t>
      </w:r>
    </w:p>
    <w:p w14:paraId="423C4F52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ե. գիհու ձյութայուղ (Oleum Juniperi Empyreumaticum).</w:t>
      </w:r>
    </w:p>
    <w:p w14:paraId="1EBBDCC6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զ. կամֆորայի յուղ (Oleum Camphoratum).</w:t>
      </w:r>
    </w:p>
    <w:p w14:paraId="2811658F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է. կամֆորա.</w:t>
      </w:r>
    </w:p>
    <w:p w14:paraId="3E71D952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ը. կումարին.</w:t>
      </w:r>
    </w:p>
    <w:p w14:paraId="30AAE55F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թ. կանճրակ.</w:t>
      </w:r>
    </w:p>
    <w:p w14:paraId="272E4B66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ժ.կենսածառ` թույա</w:t>
      </w:r>
    </w:p>
    <w:p w14:paraId="360F5262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ի. սաֆլոր,</w:t>
      </w:r>
    </w:p>
    <w:p w14:paraId="04D85AA3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լ. թուխոն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:</w:t>
      </w:r>
    </w:p>
    <w:p w14:paraId="7B19DB4E" w14:textId="77777777" w:rsidR="00BB173E" w:rsidRPr="00635E78" w:rsidRDefault="00BB173E" w:rsidP="00635E78">
      <w:pPr>
        <w:pStyle w:val="Bodytext1"/>
        <w:numPr>
          <w:ilvl w:val="0"/>
          <w:numId w:val="29"/>
        </w:numPr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 w:cs="Times New Roman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Այն նյութերը, որոնց շրջանառությունն արգելված է՝ Հայաստանի Հանրապետության 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lastRenderedPageBreak/>
        <w:t xml:space="preserve">միջազգային պայմանագրերին համապատասխան։ </w:t>
      </w:r>
    </w:p>
    <w:p w14:paraId="29FF331A" w14:textId="77777777" w:rsidR="00BB173E" w:rsidRPr="00635E78" w:rsidRDefault="00BB173E" w:rsidP="00635E78">
      <w:pPr>
        <w:pStyle w:val="Bodytext1"/>
        <w:numPr>
          <w:ilvl w:val="0"/>
          <w:numId w:val="29"/>
        </w:numPr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Բուրավետիչ և համային նյութեր, որոնք պատրաստված են․</w:t>
      </w:r>
    </w:p>
    <w:p w14:paraId="3E583859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ա. դառը և քաղցր համով մորմի փայտե ցողունից (Stipites Dulcamarae), կամֆորայի ծառի փայտից (Lignum Camphorae), </w:t>
      </w:r>
    </w:p>
    <w:p w14:paraId="5976883F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բ. բազմոտիկ սովորական կոճղարմատից (Rhizoma Poiypodii). </w:t>
      </w:r>
    </w:p>
    <w:p w14:paraId="3355B187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գ. ճահճային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դաղձի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տերևներից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(Herba Pulegii), </w:t>
      </w:r>
    </w:p>
    <w:p w14:paraId="79885D4F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դ. կվասսիայի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փայտից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(Lignum Quassiae), </w:t>
      </w:r>
    </w:p>
    <w:p w14:paraId="7F7094A9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ե. օճառածառի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կեղևից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(Cortex Quillaja), </w:t>
      </w:r>
    </w:p>
    <w:p w14:paraId="1D040611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զ. տարկավանի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խոտերից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(Herba Tanaceti), </w:t>
      </w:r>
    </w:p>
    <w:p w14:paraId="3E697897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է. սատապի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խոտերից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(Herba Rutae).</w:t>
      </w:r>
    </w:p>
    <w:p w14:paraId="6F441E75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ը. սասաֆրասի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 w:cs="Sylfaen"/>
          <w:sz w:val="24"/>
          <w:szCs w:val="24"/>
          <w:lang w:val="hy-AM"/>
        </w:rPr>
        <w:t>ցողուններից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տերևներից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5E78">
        <w:rPr>
          <w:rFonts w:ascii="GHEA Grapalat" w:hAnsi="GHEA Grapalat" w:cs="Sylfaen"/>
          <w:sz w:val="24"/>
          <w:szCs w:val="24"/>
          <w:lang w:val="hy-AM"/>
        </w:rPr>
        <w:t>կեղևից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(Stipes, Folium, Cortex Sassafratis).</w:t>
      </w:r>
    </w:p>
    <w:p w14:paraId="23515409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թ. դեղատու իշառվույտից (Millilotus officinalis).</w:t>
      </w:r>
    </w:p>
    <w:p w14:paraId="0211958B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ժ. տոնկա հատիկներից (Semen Toncae).</w:t>
      </w:r>
    </w:p>
    <w:p w14:paraId="77A2B8C7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ի. հոտավետ լիատրիսից (Liatris odoratissima).</w:t>
      </w:r>
    </w:p>
    <w:p w14:paraId="3897AED8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 w:cs="Sylfaen"/>
          <w:sz w:val="24"/>
          <w:szCs w:val="24"/>
          <w:lang w:val="hy-AM"/>
        </w:rPr>
        <w:t>լ. գետնաստղից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(Asperula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odorata)</w:t>
      </w:r>
      <w:r w:rsidRPr="00635E78">
        <w:rPr>
          <w:rFonts w:ascii="GHEA Grapalat" w:hAnsi="GHEA Grapalat"/>
          <w:sz w:val="24"/>
          <w:szCs w:val="24"/>
          <w:lang w:val="hy-AM"/>
        </w:rPr>
        <w:t>:</w:t>
      </w:r>
    </w:p>
    <w:p w14:paraId="2E1B6B50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CF0A38B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ՓԱԹԵԹԱՎՈՐՄԱՆԸ ՆԵՐԿԱՅԱՑՎՈՂ ՊԱՀԱՆՋՆԵՐԸ</w:t>
      </w:r>
    </w:p>
    <w:p w14:paraId="66BEF046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ՆՊԱ-ի  փաթեթվածքը պետք է համապատասխանի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Հանրապետության տարածքում </w:t>
      </w:r>
      <w:r w:rsidRPr="00635E78">
        <w:rPr>
          <w:rFonts w:ascii="GHEA Grapalat" w:hAnsi="GHEA Grapalat"/>
          <w:sz w:val="24"/>
          <w:szCs w:val="24"/>
          <w:lang w:val="hy-AM"/>
        </w:rPr>
        <w:t>գործող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միջազգային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ընդունված </w:t>
      </w:r>
      <w:r w:rsidRPr="00635E78">
        <w:rPr>
          <w:rFonts w:ascii="GHEA Grapalat" w:hAnsi="GHEA Grapalat"/>
          <w:sz w:val="24"/>
          <w:szCs w:val="24"/>
          <w:lang w:val="hy-AM"/>
        </w:rPr>
        <w:t>օրենսդրությամբ, ինչպես նաև սույն գլխով սահմանված պահանջներին։</w:t>
      </w:r>
    </w:p>
    <w:p w14:paraId="4614931B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ՆՊԱ-ի միավոր փաթեթվածքի և արտադրանքի սպառողական փաթեթվածքի համար օգտագործվում են.</w:t>
      </w:r>
    </w:p>
    <w:p w14:paraId="1E5C5F4F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ստվարաթղթից պիտակներ, </w:t>
      </w:r>
    </w:p>
    <w:p w14:paraId="58C10DC6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ստվարաթղթե, թղթե և համակցված նյութերից տուփեր,</w:t>
      </w:r>
    </w:p>
    <w:p w14:paraId="013A47FD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3) հարթ ստվարաթղթե ապրանքաման, որը սոսնձված է, </w:t>
      </w:r>
    </w:p>
    <w:p w14:paraId="33E86D55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 փաթեթավորման թուղթ,</w:t>
      </w:r>
    </w:p>
    <w:p w14:paraId="76B72719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5) պոլիմերային թաղանթ,</w:t>
      </w:r>
    </w:p>
    <w:p w14:paraId="6B63F1E3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6) սպառողական պոլիմերային փաթեթավորում: </w:t>
      </w:r>
    </w:p>
    <w:p w14:paraId="7443872D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Սպառողական փաթեթավորման տեսանելի թերությունների ցանկը, ինչպես նաև այդպիսի թերությունների գնահատման մեթոդաբանությունը սահմանում է արտադրողը:</w:t>
      </w:r>
    </w:p>
    <w:p w14:paraId="5DA5B0F9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ՆՄՀ-ի լիցքավորման համար օգտագործվող տարողության ծավալը չի կարող գերազանցել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 մլ-ը։</w:t>
      </w:r>
    </w:p>
    <w:p w14:paraId="38832264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Արտադրողը պետք է ապահովի երեխաների կողմից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պարկուճների (քարթրիջների)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 տարողությունների բացման անհնարինությունը՝ համաձայն ԳՕՍՏ ԻՍՕ 8317 միջպետական ստանդարտի պահանջների։</w:t>
      </w:r>
    </w:p>
    <w:p w14:paraId="19CB1951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Միավոր փաթեթավորումը և արդյունաբերական եղանակով հեղուկով լցված ՆՄՀ-ը պետք է բացառեն հեղուկի արտահոսքը։</w:t>
      </w:r>
    </w:p>
    <w:p w14:paraId="1F96FABD" w14:textId="77777777" w:rsidR="00BB173E" w:rsidRPr="00635E78" w:rsidRDefault="00BB173E" w:rsidP="00635E78">
      <w:pPr>
        <w:widowControl w:val="0"/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E1DF4FB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7. ՆՊԱ-Ի </w:t>
      </w:r>
      <w:r w:rsidRPr="00635E78">
        <w:rPr>
          <w:rFonts w:ascii="GHEA Grapalat" w:eastAsia="Times New Roman" w:hAnsi="GHEA Grapalat" w:cs="Arial"/>
          <w:b/>
          <w:noProof/>
          <w:sz w:val="24"/>
          <w:szCs w:val="24"/>
          <w:lang w:val="hy-AM" w:eastAsia="ru-RU"/>
        </w:rPr>
        <w:t>ԱՐՏԱԴՐՈՒԹՅԱՆԸ</w:t>
      </w:r>
      <w:r w:rsidRPr="00635E78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, </w:t>
      </w:r>
      <w:r w:rsidRPr="00635E78">
        <w:rPr>
          <w:rFonts w:ascii="GHEA Grapalat" w:eastAsia="Times New Roman" w:hAnsi="GHEA Grapalat" w:cs="Arial"/>
          <w:b/>
          <w:noProof/>
          <w:sz w:val="24"/>
          <w:szCs w:val="24"/>
          <w:lang w:val="hy-AM" w:eastAsia="ru-RU"/>
        </w:rPr>
        <w:t>ՓՈԽԱԴՐՄԱՆԸ</w:t>
      </w:r>
      <w:r w:rsidRPr="00635E78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Arial"/>
          <w:b/>
          <w:noProof/>
          <w:sz w:val="24"/>
          <w:szCs w:val="24"/>
          <w:lang w:val="hy-AM" w:eastAsia="ru-RU"/>
        </w:rPr>
        <w:t>ԵՎ</w:t>
      </w:r>
      <w:r w:rsidRPr="00635E78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Arial"/>
          <w:b/>
          <w:noProof/>
          <w:sz w:val="24"/>
          <w:szCs w:val="24"/>
          <w:lang w:val="hy-AM" w:eastAsia="ru-RU"/>
        </w:rPr>
        <w:t>ՊԱՀՊԱՆՄԱՆԸ</w:t>
      </w:r>
      <w:r w:rsidRPr="00635E78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Arial"/>
          <w:b/>
          <w:noProof/>
          <w:sz w:val="24"/>
          <w:szCs w:val="24"/>
          <w:lang w:val="hy-AM" w:eastAsia="ru-RU"/>
        </w:rPr>
        <w:t>ՆԵՐԿԱՅԱՑՎՈՂ</w:t>
      </w:r>
      <w:r w:rsidRPr="00635E78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 w:rsidRPr="00635E78">
        <w:rPr>
          <w:rFonts w:ascii="GHEA Grapalat" w:eastAsia="Times New Roman" w:hAnsi="GHEA Grapalat" w:cs="Arial"/>
          <w:b/>
          <w:noProof/>
          <w:sz w:val="24"/>
          <w:szCs w:val="24"/>
          <w:lang w:val="hy-AM" w:eastAsia="ru-RU"/>
        </w:rPr>
        <w:t>ՊԱՀԱՆՋՆԵՐԸ</w:t>
      </w:r>
    </w:p>
    <w:p w14:paraId="5E4C3698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4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bookmarkStart w:id="0" w:name="_Toc367442242"/>
      <w:bookmarkStart w:id="1" w:name="_Toc367443411"/>
      <w:bookmarkStart w:id="2" w:name="_Toc385578522"/>
      <w:bookmarkStart w:id="3" w:name="_Toc385578988"/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Արտադրողը պարտավոր է ապահովել պարբերական ներքին հսկողության գործընթացի իրականացումը՝ արտադրության ողջ ընթացքում։</w:t>
      </w:r>
    </w:p>
    <w:p w14:paraId="2CD75756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4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Արտադրողի արտադրական գործընթացները, փորձարկման արդյունքները և մշտադիտարկումը պետք է փաստաթղթավորվեն։</w:t>
      </w:r>
    </w:p>
    <w:p w14:paraId="5C3E4A38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4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ՆՊԱ-ի կամ ՆՄՀ-ի կամ որևէ բաղադրիչի տարբեր արտադրողների դեպքում, սույն գլխի պահանջները կիրառվում են յուրաքանչյուր արտադրողի համար առանձին՝ ապահովելով համակցված արտադրանքի  </w:t>
      </w:r>
      <w:r w:rsidRPr="00635E78">
        <w:rPr>
          <w:rFonts w:ascii="GHEA Grapalat" w:eastAsia="Times New Roman" w:hAnsi="GHEA Grapalat" w:cs="Times New Roman"/>
          <w:noProof/>
          <w:sz w:val="24"/>
          <w:szCs w:val="24"/>
          <w:shd w:val="clear" w:color="auto" w:fill="FFFFFF"/>
          <w:lang w:val="hy-AM" w:eastAsia="ru-RU" w:bidi="ru-RU"/>
        </w:rPr>
        <w:t>սույն տեխնիկական կանոնակարգի պահանջներին համապատասխանություն։</w:t>
      </w:r>
    </w:p>
    <w:p w14:paraId="5CB22739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4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Արտադրողն ապահովում և պատասխանատվություն է կրում, որ ՆՄՀ-ի ցանկացած բաղադրիչի արտադրության համար անհրաժեշտ հումքի և նյութերի յուրաքանչյուր խմբաքանակը համապատասխանի ՆՄՀ-ի բաղադրիչի վերաբերյալ արտադրողի տեխնիկական պայմաններին: </w:t>
      </w:r>
    </w:p>
    <w:p w14:paraId="3997B097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4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Արտադրանքի համապատասխանությունը հավաստվում է ազգային օրենսդրությամբ սահմանված պահանջներին համապատասխան, ներառելով երրորդ անձի կողմից (հումքի և նյութերի մատակարարի կողմից) տրամադրված համապատասխանության գնահատման փաստաթղթով ՝ հումքի կամ նյութերի մատակարարի պարբերաբար իրականացված աուդիտի վերաբերյալ փաստաթղթերը, կամ նիկոտինի մատակարարման համակարգի համապատասխան բաղադրիչի արտադրողի կողմից հումքի և նյութերի յուրաքանչյուր խմբաքանակի փորձարկման արդյունքները:</w:t>
      </w:r>
    </w:p>
    <w:p w14:paraId="0B5E6681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ՆՊԱ-ի յուրաքանչյուր սպառողական փաթեթվածքը պետք է նույնականացում ունենա, որի միջոցով արտադրողը կարող է միանշանակ որոշել արտադրանքի խմբաքանակի հերթական համարը, արտադրման օրը և արտադրական օբյեկտը:</w:t>
      </w:r>
    </w:p>
    <w:p w14:paraId="3F8F0794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ՆՊԱ-ները փոխադրվում են ըստ փոխադրամիջոցի տվյալ տեսակի համար գործող ապրանքափոխադրման կանոնների:</w:t>
      </w:r>
    </w:p>
    <w:p w14:paraId="6D2292C1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Փոխադրամիջոցները պետք է լինեն ծածկված, չոր, մաքուր և զերծ լինեն կողմնակի հոտերից:</w:t>
      </w:r>
    </w:p>
    <w:p w14:paraId="6264D5B8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ՆՊԱ-ների պահպանման համար նախատեսված տարածքը պետք է լինի չոր, մաքուր և առանց կողմնակի հոտի:</w:t>
      </w:r>
    </w:p>
    <w:p w14:paraId="5167EB5B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Արգելվում է ՆՊԱ-ները պահել արագ փչացող ապրանքների և հոտավետ մթերքների հետ միևնույն տարածքում:</w:t>
      </w:r>
    </w:p>
    <w:bookmarkEnd w:id="0"/>
    <w:bookmarkEnd w:id="1"/>
    <w:bookmarkEnd w:id="2"/>
    <w:bookmarkEnd w:id="3"/>
    <w:p w14:paraId="1ABCD109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58AC0AFA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8. ՍՊԱՌՈՂԱԿԱՆ ՓԱԹԵԹՎԱԾՔԻ ՄԱԿՆՇՄԱՆԸ ՆԵՐԿԱՅԱՑՎՈՂ ՊԱՀԱՆՋՆԵՐԸ</w:t>
      </w:r>
    </w:p>
    <w:p w14:paraId="5B2E0850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1001C9B2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ՆՄՀ- ի համար նախատեսված հեղուկների փաթեթվածքի վրա պետք է մակնշվի հետևյալ տեղեկատվությունը</w:t>
      </w:r>
      <w:r w:rsidRPr="00635E7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2FA362F8" w14:textId="77777777" w:rsidR="00BB173E" w:rsidRPr="00635E78" w:rsidRDefault="00BB173E" w:rsidP="00635E7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ՆՊԱ կամ լցանյութի տեսակը </w:t>
      </w:r>
      <w:r w:rsidRPr="00635E78">
        <w:rPr>
          <w:rFonts w:ascii="GHEA Grapalat" w:hAnsi="GHEA Grapalat"/>
          <w:sz w:val="24"/>
          <w:szCs w:val="24"/>
          <w:lang w:val="hy-AM"/>
        </w:rPr>
        <w:t>(օրինակ՝ «Հեղուկ՝ նիկոտինի մատակարարման համակարգի համար» և այլն)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2A188B81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արտադրանքի անվանումը, այդ թվում</w:t>
      </w:r>
      <w:r w:rsidRPr="00635E78">
        <w:rPr>
          <w:rFonts w:ascii="GHEA Grapalat" w:hAnsi="GHEA Grapalat"/>
          <w:sz w:val="24"/>
          <w:szCs w:val="24"/>
          <w:lang w:val="hy-AM"/>
        </w:rPr>
        <w:t>՝ ապրանքային նշանը,</w:t>
      </w:r>
    </w:p>
    <w:p w14:paraId="0AAC8B50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 կտորների քանակը (չափաբաժին կամ միավոր/հատ),</w:t>
      </w:r>
    </w:p>
    <w:p w14:paraId="18693F6D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 ա</w:t>
      </w:r>
      <w:r w:rsidRPr="00635E78">
        <w:rPr>
          <w:rFonts w:ascii="GHEA Grapalat" w:hAnsi="GHEA Grapalat"/>
          <w:sz w:val="24"/>
          <w:szCs w:val="24"/>
          <w:lang w:val="hy-AM"/>
        </w:rPr>
        <w:t>րտադրողի և ներկրողի անվանումը, վերջիններիս գտնվելու վայրը (իրավաբանական հասցեն): Նշված տեղեկատվությունը կարող է տեղադրվել սպառողական փաթեթվածքի արտաքին կամ ներքին կողմի վրա՝ փաթեթվածքի տեսանելի հատվածում,</w:t>
      </w:r>
    </w:p>
    <w:p w14:paraId="18B2F764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5) ՀՀ-ում գրանցված և սպառողների պահանջները ընդունելու համար արտադրողի կողմից լիազորված կազմակերպության անվանումը և հասցեն, </w:t>
      </w:r>
    </w:p>
    <w:p w14:paraId="24C9730C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6) ՆՄՀ-ի համար հեղուկում նիկոտինի պարունակությունը (մգ/գ), </w:t>
      </w:r>
    </w:p>
    <w:p w14:paraId="5F4F6448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7) ՆՄՀ-ի համար հեղուկի ծավալը (մլ),</w:t>
      </w:r>
    </w:p>
    <w:p w14:paraId="03C6FE98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8) արտադրման ամիսը, տարին և պիտանիության ժամկետը,</w:t>
      </w:r>
    </w:p>
    <w:p w14:paraId="0421B7EF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9) անչափահասներին վաճառքի անթույլատրելիության մասին նշում,</w:t>
      </w:r>
    </w:p>
    <w:p w14:paraId="1C99ED78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10) ՆՄՀ-ի հեղուկների համար՝ նշում երեխաների համար անհասանելի վայրում պահելու անհրաժեշտության մասին՝ «Պահպանեք երեխաների համար անհասանելի տեղում» գրության տեսքով, </w:t>
      </w:r>
    </w:p>
    <w:p w14:paraId="5837DD6C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11) 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սարքի համար դրա անվանումը՝ ներառելով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ՆՄՀ-ի կամ պարկուճի (քարթրիջի) հետ նպատակային օգտագործման 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 և կիրառման ցուցումը․ </w:t>
      </w:r>
    </w:p>
    <w:p w14:paraId="7236675A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12) նախազգուշացնող մակագրություն՝ «Պարունակում է նիկոտին, որը թունավոր է և կախվածություն է առաջացնում»։ Մակագրության տեքստը տպագրվում է սպիտակ ֆոնի վրա, սև, թավ, հստակ, հեշտ ընթեռնելի տառաչափով և </w:t>
      </w:r>
      <w:r w:rsidRPr="00635E78">
        <w:rPr>
          <w:rFonts w:ascii="GHEA Grapalat" w:hAnsi="GHEA Grapalat"/>
          <w:sz w:val="24"/>
          <w:szCs w:val="24"/>
          <w:shd w:val="clear" w:color="auto" w:fill="FFFFFF"/>
          <w:lang w:val="hy-AM"/>
        </w:rPr>
        <w:t>Arial</w:t>
      </w:r>
      <w:r w:rsidRPr="00635E78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Armenian տառատեսակով: Տառատեսակի չափը պետք է ընտրված լինի այնպես, որպեսզի նախազգուշացման տեքստերը զբաղեցնեն դրանց համար նախատեսված մակերեսի հնարավոր առավելագույն մասը։ Սույն կետով նախատեսված տեղեկությունը ներկայացվում է 3-4 մմ</w:t>
      </w:r>
      <w:r w:rsidRPr="00635E78">
        <w:rPr>
          <w:rFonts w:ascii="GHEA Grapalat" w:eastAsia="Times New Roman" w:hAnsi="GHEA Grapalat" w:cs="Times New Roman"/>
          <w:sz w:val="24"/>
          <w:szCs w:val="24"/>
          <w:vertAlign w:val="superscript"/>
          <w:lang w:val="hy-AM" w:eastAsia="ru-RU"/>
        </w:rPr>
        <w:t>3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-ից ոչ պակաս հաստություն ունեցող սև շրջանակում: Շրջանակով սահմանափակված հատվածը՝ ներառյալ հենց շրջանակը պետք է զբաղեցնի սպառողական փաթեթավորման հիմնական դիմային կողմի 30%-ից ոչ պակաս մակերեսը</w:t>
      </w:r>
      <w:r w:rsidRPr="00635E7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2C27CFD9" w14:textId="77777777" w:rsidR="00BB173E" w:rsidRPr="00635E78" w:rsidRDefault="00BB173E" w:rsidP="00635E78">
      <w:pPr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/>
          <w:sz w:val="24"/>
          <w:szCs w:val="24"/>
          <w:lang w:val="hy-AM" w:eastAsia="ru-RU"/>
        </w:rPr>
        <w:t>13) արտադրանքի օգտագործման և պահպանման հրահանգները.</w:t>
      </w:r>
    </w:p>
    <w:p w14:paraId="0E5D7DE5" w14:textId="77777777" w:rsidR="00BB173E" w:rsidRPr="00635E78" w:rsidRDefault="00BB173E" w:rsidP="00635E78">
      <w:pPr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/>
          <w:sz w:val="24"/>
          <w:szCs w:val="24"/>
          <w:lang w:val="hy-AM" w:eastAsia="ru-RU"/>
        </w:rPr>
        <w:t>14) հակացուցումները.</w:t>
      </w:r>
    </w:p>
    <w:p w14:paraId="33B3674D" w14:textId="77777777" w:rsidR="00BB173E" w:rsidRPr="00635E78" w:rsidRDefault="00BB173E" w:rsidP="00635E78">
      <w:pPr>
        <w:tabs>
          <w:tab w:val="left" w:pos="1080"/>
        </w:tabs>
        <w:spacing w:after="0" w:line="360" w:lineRule="auto"/>
        <w:ind w:right="225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/>
          <w:sz w:val="24"/>
          <w:szCs w:val="24"/>
          <w:lang w:val="hy-AM" w:eastAsia="ru-RU"/>
        </w:rPr>
        <w:t>15) նախազգուշացումներ հատուկ ռիսկային խմբերի համար.</w:t>
      </w:r>
    </w:p>
    <w:p w14:paraId="048EB5CA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/>
          <w:sz w:val="24"/>
          <w:szCs w:val="24"/>
          <w:lang w:val="hy-AM" w:eastAsia="ru-RU"/>
        </w:rPr>
        <w:t>16) հնարավոր անբարենպաստ ազդեցությունները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71E0BE6D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գլխով սահմանված՝ մակնշմանը վերաբերող տեղեկատվությունը զետեղվում է սպառողական փաթեթվածքի վրա կամ կարող է տեղադրվել սպառողական փաթեթվածքի մեջ, ներդիր տեղեկատվական թերթիկի միջոցով՝ ելնելով սպառողական փաթեթվածքի վրա մակնշմանը վերաբերող տեղեկատվության ամբողջական ծավալի զետեղման անհնարինությունից:</w:t>
      </w:r>
    </w:p>
    <w:p w14:paraId="55F656B4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Մակնշմանը վերաբերող տեղեկատվությունը ներառում է արտադրանքի և դրա արտադրողի վերաբերյալ սպառողի համար հավաստի տեղեկատվություն՝ տեղեկությունները հավաստող փաստաթղթերի առկայության դեպքում: </w:t>
      </w:r>
    </w:p>
    <w:p w14:paraId="66692203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Սպառողական փաթեթվածքի վրա զետեղվող տեղեկատվությունը պետք է լինի հստակ և հեշտ ընթեռնելի՝ ապահովելով դրա կայունությունը պահեստավորման, փոխադրման և վաճառքի ժամանակ:</w:t>
      </w:r>
    </w:p>
    <w:p w14:paraId="6A4AB922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Չի թույլատրվում մոլորության մեջ գցող տերմինների՝ «Նիկոտինի ցածր պարունակություն», «Թեթև», «Շատ թեթև» («Գերթեթև»), «Փափուկ», «Յուրահատուկ», «Ն</w:t>
      </w:r>
      <w:r w:rsidRPr="00635E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վազ </w:t>
      </w:r>
      <w:r w:rsidRPr="00635E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վտանգավոր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կամ ցանկացած այլ տերմինների օգտագործումը, որոնք ուղղակի կամ անուղղակի կերպով նպաստում են տվյալ արտադրատեսակի անվտանգ լինելու մասին կարծիքի ձևավորմանը:</w:t>
      </w:r>
    </w:p>
    <w:p w14:paraId="4FAD4AB5" w14:textId="77777777" w:rsidR="00BB173E" w:rsidRPr="00635E78" w:rsidRDefault="00BB173E" w:rsidP="00635E78">
      <w:pPr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ՆՊԱ-ի սպառողական փաթեթվածքի վրա չի թույլատրվում զետեղել այն սարքերի անվանումը, ապրանքային նշանը կամ այլ տեղեկություններ, որոնք չեն օգտագործվել ՆՄՀ-ի գնահատման համար՝ սույն տեխնիկական կանոնակարգի պահանջներին համապատասխան։</w:t>
      </w:r>
    </w:p>
    <w:p w14:paraId="4617D72C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Սպառողական փաթեթվածքի վրա զետեղվող տեղեկատվությունը պետք է լինի հայերեն լեզվով, իսկ արտադրողի ու լիցենզավորողի անվանումները և ՆՊԱ անվանումը կամ ապրանքային նշանները կարող են ներկայացվել լատիներեն տառերով:</w:t>
      </w:r>
    </w:p>
    <w:p w14:paraId="1BA68F86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րտադրանքի տրանսպորտային փաթեթավորման վրա պետք է լինի հետևյալ տեղեկատվությունը. </w:t>
      </w:r>
    </w:p>
    <w:p w14:paraId="5FDCC7AB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արտադրանքի տեսակը,</w:t>
      </w:r>
    </w:p>
    <w:p w14:paraId="33E4C99B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արտադրանքի անվանումը,</w:t>
      </w:r>
    </w:p>
    <w:p w14:paraId="6B171B05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 արտադրողի անվանումն ու հասցեն,</w:t>
      </w:r>
    </w:p>
    <w:p w14:paraId="7074753E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 տրանսպորտային փաթեթավորման մեջ գտնվող սպառողական փաթեթավորման մեջ պարունակվող ՆՊԱ ընդհանուր քանակը կամ ծավալը՝ հեղուկի դեպքում:</w:t>
      </w:r>
    </w:p>
    <w:p w14:paraId="3EC2B10D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 w:eastAsia="ru-RU"/>
        </w:rPr>
        <w:t>Տրանսպորտային փաթեթավորման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վրա կարող է լինել լրացուցիչ այլ հավաստի տեղեկատվություն (անհրաժեշտության և փաստաթղթերի առկայության դեպքում): </w:t>
      </w:r>
    </w:p>
    <w:p w14:paraId="4E0F1E5B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Տրանսպորտային փաթեթավորումը պետք է ամուր փակված լինի այնպես, որ ապահովի փոխադրման և պահեստավորման ընթացքում արտադրանքի անվտանգությունը: </w:t>
      </w:r>
    </w:p>
    <w:p w14:paraId="350C72B5" w14:textId="77777777" w:rsidR="00BB173E" w:rsidRPr="00635E78" w:rsidRDefault="00BB173E" w:rsidP="00635E78">
      <w:pPr>
        <w:pStyle w:val="ListParagraph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99967F1" w14:textId="77777777" w:rsidR="00BB173E" w:rsidRPr="00635E78" w:rsidRDefault="00BB173E" w:rsidP="00635E78">
      <w:pPr>
        <w:pStyle w:val="ListParagraph"/>
        <w:tabs>
          <w:tab w:val="left" w:pos="1080"/>
          <w:tab w:val="left" w:pos="1260"/>
        </w:tabs>
        <w:spacing w:after="0" w:line="360" w:lineRule="auto"/>
        <w:ind w:left="0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9. ՆՄՀ-Ի ԴԱՍԱԿԱՐԳՈՒՄԸ ԵՎ ԲԱՂԿԱՑՈՒՑԻՉ ՄԱՍԵՐԸ</w:t>
      </w:r>
    </w:p>
    <w:p w14:paraId="4D354864" w14:textId="77777777" w:rsidR="00BB173E" w:rsidRPr="00635E78" w:rsidRDefault="00BB173E" w:rsidP="00635E78">
      <w:pPr>
        <w:pStyle w:val="ListParagraph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026F4E1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Ըստ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օգտագործման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եղանակի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ՆՄՀ-ը բաժանվում է հետևյալ խմբերի</w:t>
      </w:r>
      <w:r w:rsidRPr="00635E7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418D1954" w14:textId="77777777" w:rsidR="00BB173E" w:rsidRPr="00635E78" w:rsidRDefault="00BB173E" w:rsidP="00635E78">
      <w:pPr>
        <w:pStyle w:val="ListParagraph"/>
        <w:widowControl w:val="0"/>
        <w:numPr>
          <w:ilvl w:val="0"/>
          <w:numId w:val="19"/>
        </w:numPr>
        <w:tabs>
          <w:tab w:val="left" w:pos="108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>Մեկանգամյա օգտագործման կամ փակ տիպի սարք՝ ներկառուցված պարկուճով (քարթրիջով) ՆՄՀ, առանց դրա օգտագործված քարթրիջի փոխարինման կամ կրկնակի լիցքավորման հնարավորության,</w:t>
      </w:r>
    </w:p>
    <w:p w14:paraId="5D119131" w14:textId="77777777" w:rsidR="00BB173E" w:rsidRPr="00635E78" w:rsidRDefault="00BB173E" w:rsidP="00635E78">
      <w:pPr>
        <w:pStyle w:val="ListParagraph"/>
        <w:widowControl w:val="0"/>
        <w:numPr>
          <w:ilvl w:val="0"/>
          <w:numId w:val="19"/>
        </w:numPr>
        <w:tabs>
          <w:tab w:val="left" w:pos="1080"/>
        </w:tabs>
        <w:spacing w:after="0" w:line="360" w:lineRule="auto"/>
        <w:ind w:left="0"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Բազմակի օգտագործման կամ բաց տիպի սարք՝ օգտագործողի կողմից չափաբաժնային փաթեթվածքը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(օրինակ՝ գլանակները կամ քարթրիջները)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փոխելու կամ քարթրիջը հեղուկով նորից լցնելու հնարավորությամբ ՆՄՀ։</w:t>
      </w:r>
    </w:p>
    <w:p w14:paraId="05FBF14D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</w:tabs>
        <w:spacing w:after="0" w:line="360" w:lineRule="auto"/>
        <w:ind w:left="0" w:right="2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ՆՄՀ-ը կարող է ներառել հետևյալ բաղկացուցիչ մասերը՝ ատոմայզեր, չափաբաժնային փաթեթավորում ՆՄՀ հեղուկով (պարկուճի (քարթրիջի) տեսքով և այլն), տարողություն ՆՄՀ հեղուկի համար, էլեկտրական սնուցման աղբյուր, լիցքավորիչ, ծխափող, պատյան, հոսանքափոխարկիչ, լույսի ցուցիչ և այլ տարրեր: </w:t>
      </w:r>
    </w:p>
    <w:p w14:paraId="2D64CB0D" w14:textId="77777777" w:rsidR="00BB173E" w:rsidRPr="00635E78" w:rsidRDefault="00BB173E" w:rsidP="00635E78">
      <w:pPr>
        <w:pStyle w:val="ListParagraph"/>
        <w:widowControl w:val="0"/>
        <w:numPr>
          <w:ilvl w:val="0"/>
          <w:numId w:val="7"/>
        </w:numPr>
        <w:tabs>
          <w:tab w:val="left" w:pos="1080"/>
        </w:tabs>
        <w:spacing w:after="0" w:line="360" w:lineRule="auto"/>
        <w:ind w:left="0" w:right="2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Արտադրատեսակները պետք է օգտագործվեն միայն այն սարքերի հետ, որոնք նշված են իրենց սպառողական փաթեթավորման վրա և (կամ) դրանց շահագործման կանոնների մեջ։</w:t>
      </w:r>
    </w:p>
    <w:p w14:paraId="0ECE6E6B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06EB74B" w14:textId="77777777" w:rsidR="00BB173E" w:rsidRPr="00635E78" w:rsidRDefault="00BB173E" w:rsidP="00635E78">
      <w:pPr>
        <w:tabs>
          <w:tab w:val="left" w:pos="1080"/>
          <w:tab w:val="left" w:pos="1170"/>
          <w:tab w:val="left" w:pos="1260"/>
          <w:tab w:val="left" w:pos="1440"/>
          <w:tab w:val="left" w:pos="1620"/>
        </w:tabs>
        <w:spacing w:after="0" w:line="360" w:lineRule="auto"/>
        <w:ind w:firstLine="720"/>
        <w:jc w:val="both"/>
        <w:rPr>
          <w:rStyle w:val="BodyText10"/>
          <w:rFonts w:ascii="GHEA Grapalat" w:hAnsi="GHEA Grapalat"/>
          <w:b/>
          <w:color w:val="auto"/>
          <w:sz w:val="24"/>
          <w:szCs w:val="24"/>
        </w:rPr>
      </w:pPr>
      <w:r w:rsidRPr="00635E7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10. </w:t>
      </w:r>
      <w:r w:rsidRPr="00635E78">
        <w:rPr>
          <w:rStyle w:val="BodyText10"/>
          <w:rFonts w:ascii="GHEA Grapalat" w:hAnsi="GHEA Grapalat"/>
          <w:b/>
          <w:color w:val="auto"/>
          <w:sz w:val="24"/>
          <w:szCs w:val="24"/>
        </w:rPr>
        <w:t>ՏԵԽՆԻԿԱԿԱՆ ԿԱՆՈՆԱԿԱՐԳԻ ՊԱՀԱՆՋՆԵՐԻՆ ՆՊԱ-Ի ՀԱՄԱՊԱՏԱՍԽԱՆՈՒԹՅԱՆ ԱՊԱՀՈՎՈՒՄԸ</w:t>
      </w:r>
    </w:p>
    <w:p w14:paraId="527A8978" w14:textId="77777777" w:rsidR="00BB173E" w:rsidRPr="00635E78" w:rsidRDefault="00BB173E" w:rsidP="00635E78">
      <w:pPr>
        <w:tabs>
          <w:tab w:val="left" w:pos="1080"/>
          <w:tab w:val="left" w:pos="1170"/>
          <w:tab w:val="left" w:pos="1260"/>
          <w:tab w:val="left" w:pos="1440"/>
          <w:tab w:val="left" w:pos="16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41F89689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տեխնիկական կանոնակարգին ՆՊԱ-ի համապատասխանությունն ապահովվում է դրա անվտանգության պահանջների, տեխնիկական կանոնակարգի կիրարկումն ապահովող ստանդարտների անվանացանկում ներառված ստանդարտների անմիջական կիրառմամբ և կատարմամբ:</w:t>
      </w:r>
    </w:p>
    <w:p w14:paraId="78B3ECB8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ՆՊԱ-ների համապատասխանությունը սույն տեխնիկական կանոնակարգին, փորձարկման մեթոդները և չափումները սահմանվում են սույն տեխնիկական կանոնակարգի կիրարկումն ապահովող ստանդարտներով և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Հանրապետության տարածքում </w:t>
      </w:r>
      <w:r w:rsidRPr="00635E78">
        <w:rPr>
          <w:rFonts w:ascii="GHEA Grapalat" w:hAnsi="GHEA Grapalat"/>
          <w:sz w:val="24"/>
          <w:szCs w:val="24"/>
          <w:lang w:val="hy-AM"/>
        </w:rPr>
        <w:t>գործող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միջազգային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ընդունված </w:t>
      </w:r>
      <w:r w:rsidRPr="00635E78">
        <w:rPr>
          <w:rFonts w:ascii="GHEA Grapalat" w:hAnsi="GHEA Grapalat"/>
          <w:sz w:val="24"/>
          <w:szCs w:val="24"/>
          <w:lang w:val="hy-AM"/>
        </w:rPr>
        <w:t>օրենսդրությամբ սահմանված պահանջներով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635E78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14:paraId="298D3EB7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AABAD4D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35E7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635E7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11. ՀԱՄԱՊԱՏԱՍԽԱՆՈՒԹՅԱՆ ԳՆԱՀԱՏՄԱՆ ԸՆԹԱՑԱԿԱՐԳԵՐԸ</w:t>
      </w:r>
    </w:p>
    <w:p w14:paraId="17242D01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1DF4485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Մինչև Հայաստանի Հանրապետության շուկայում շրջանառության մեջ դրվելը, ներառյալ ներմուծելը՝ ՆՊԱ-ն ենթակա է համապատասխանության գնահատման՝ համապատասխանության հայտարարագրմամբ։</w:t>
      </w:r>
    </w:p>
    <w:p w14:paraId="4D549542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Սույն տեխնիկական կանոնակարգին</w:t>
      </w:r>
      <w:r w:rsidRPr="00635E7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ՆՊԱ-ի համապատասխանության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գնահատումն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իրականացվում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խմբաքանակի և սերիական արտադրության համար նախատեսված և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2014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հունվարի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16-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56-Ն որոշմամբ հաստատված հայտարարագրման համապատասխան ընթացակարգերից որևէ մեկի միջոցով:</w:t>
      </w:r>
    </w:p>
    <w:p w14:paraId="40EED0E1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Style w:val="BodyText10"/>
          <w:rFonts w:ascii="GHEA Grapalat" w:eastAsia="Times New Roman" w:hAnsi="GHEA Grapalat"/>
          <w:color w:val="auto"/>
          <w:sz w:val="24"/>
          <w:szCs w:val="24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hAnsi="GHEA Grapalat"/>
          <w:sz w:val="24"/>
          <w:szCs w:val="24"/>
          <w:lang w:val="hy-AM"/>
        </w:rPr>
        <w:t xml:space="preserve">ՆՊԱ-ի 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համապատասխանության հայտարարագրման ժամանակ հայտատուն՝</w:t>
      </w:r>
    </w:p>
    <w:p w14:paraId="24D021A7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1)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ab/>
        <w:t>կազմում և վերլուծում է սույն տեխնիկական կանոնակարգի պահանջներին ՆՊԱ-ի համապատասխանությունը հավաստող փաստաթղթերը, այդ թվում՝</w:t>
      </w:r>
    </w:p>
    <w:p w14:paraId="5FA7DC4E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ա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 սպառողական փաթեթվածքի նմուշը.</w:t>
      </w:r>
    </w:p>
    <w:p w14:paraId="45BB97F8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բ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 ներդիր թերթիկը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</w:p>
    <w:p w14:paraId="48C1D3B1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hAnsi="GHEA Grapalat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գ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 w:cs="Cambria Math"/>
          <w:color w:val="auto"/>
          <w:sz w:val="24"/>
          <w:szCs w:val="24"/>
        </w:rPr>
        <w:t xml:space="preserve"> 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ՆՊԱ-ի նմուշների՝ սույն տեխնիկական կանոնակարգի պահանջներին համապատասխանության փորձարկումների արձանագրությունը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</w:p>
    <w:p w14:paraId="4EE31BE5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դ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 մատակարարման մասին պայմանագիրը և ապրանքաուղեկից փաստաթղթերը.</w:t>
      </w:r>
    </w:p>
    <w:p w14:paraId="79B1FDEC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hAnsi="GHEA Grapalat" w:cs="Times New Roman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lastRenderedPageBreak/>
        <w:t>ե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 xml:space="preserve"> որակի կառավարման համակարգի սերտիֆիկատը (սերտիֆիկատի պատճենը) (համապատասխանության գնահատման ընթացակարգով սահմանված պահանջի դեպքում).</w:t>
      </w:r>
    </w:p>
    <w:p w14:paraId="3C674FDB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hAnsi="GHEA Grapalat" w:cs="Times New Roman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զ հայտատուի ընտրությամբ այլ փաստաթղթեր, որոնք հիմք են ծառայել հաստատելու ՆՊԱ-ի համապատասխանությունը սույն տեխնիկական կանոնակարգի պահանջներին, ինչպես նաև վերջինիս վրա տարածվող մյուս տեխնիկական կանոնակարգերի պահանջներին (առկայության դեպքում).</w:t>
      </w:r>
    </w:p>
    <w:p w14:paraId="626F479E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hAnsi="GHEA Grapalat" w:cs="Times New Roman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է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ab/>
        <w:t>իրականացնում է ՆՊԱ-ի նույնականացումը՝ սույն տեխնիկական կանոնակարգի V գլխին համապատասխան.</w:t>
      </w:r>
    </w:p>
    <w:p w14:paraId="621B680A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Style w:val="BodyText10"/>
          <w:rFonts w:ascii="GHEA Grapalat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ը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ab/>
        <w:t>ձեռնարկում է բոլոր անհրաժեշտ միջոցները, որպեսզի որակի կառավարման համակարգի գործունեությունը լինի կայուն (անհրաժեշտության դեպքում).</w:t>
      </w:r>
    </w:p>
    <w:p w14:paraId="50733A33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թ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ab/>
        <w:t xml:space="preserve">ընդունում է համապատասխանության հայտարարագիրը, որը 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պետք է համապատասխանի օրենսդրությամբ սահմանված պահանջներին համապատասխան (Հայաստանի Հանրապետության էկոնոմիկայի նախարարի 2015 թվականի հունիսի 16-ի N 801-Ն հրամանով սահմանված պահանջներին)՝ լրացվի հայերենով, էլեկտրոնային տպող սարքերի օգտագործմամբ՝ համապատասխանելով օրենսդրությամբ սահմանված պահանջներին և ձևաչափին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.</w:t>
      </w:r>
    </w:p>
    <w:p w14:paraId="6F8C85F3" w14:textId="77777777" w:rsidR="00BB173E" w:rsidRPr="00635E78" w:rsidRDefault="00BB173E" w:rsidP="00635E78">
      <w:pPr>
        <w:pStyle w:val="Bodytext1"/>
        <w:shd w:val="clear" w:color="auto" w:fill="auto"/>
        <w:tabs>
          <w:tab w:val="left" w:pos="993"/>
          <w:tab w:val="left" w:pos="1260"/>
        </w:tabs>
        <w:spacing w:before="0" w:after="0" w:line="360" w:lineRule="auto"/>
        <w:ind w:right="40" w:firstLine="720"/>
        <w:rPr>
          <w:rFonts w:ascii="GHEA Grapalat" w:hAnsi="GHEA Grapalat" w:cs="Times New Roman"/>
          <w:sz w:val="24"/>
          <w:szCs w:val="24"/>
          <w:lang w:val="hy-AM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ժ</w:t>
      </w:r>
      <w:r w:rsidRPr="00635E78">
        <w:rPr>
          <w:rStyle w:val="BodyText10"/>
          <w:rFonts w:ascii="Cambria Math" w:hAnsi="Cambria Math" w:cs="Cambria Math"/>
          <w:color w:val="auto"/>
          <w:sz w:val="24"/>
          <w:szCs w:val="24"/>
        </w:rPr>
        <w:t>․</w:t>
      </w: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ab/>
        <w:t xml:space="preserve">զետեղում է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ՆՊԱ-ի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սպառողական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փոխադրման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տարաների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վրա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ապրանքաուղեկից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փաստաթղթերում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35E78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</w:t>
      </w: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անության ազգային նշանը՝ Հայաստանի Հանրապետության 2013 թվականի մարտի 14-ի N 337-Ն որոշմամբ սահմանված կարգով։</w:t>
      </w:r>
    </w:p>
    <w:p w14:paraId="7CFBA9CB" w14:textId="77777777" w:rsidR="00BB173E" w:rsidRPr="00635E78" w:rsidRDefault="00BB173E" w:rsidP="00635E78">
      <w:pPr>
        <w:pStyle w:val="Bodytext1"/>
        <w:numPr>
          <w:ilvl w:val="0"/>
          <w:numId w:val="4"/>
        </w:numPr>
        <w:shd w:val="clear" w:color="auto" w:fill="auto"/>
        <w:tabs>
          <w:tab w:val="left" w:pos="567"/>
          <w:tab w:val="left" w:pos="900"/>
          <w:tab w:val="left" w:pos="1080"/>
          <w:tab w:val="left" w:pos="1260"/>
        </w:tabs>
        <w:spacing w:before="0" w:after="0" w:line="360" w:lineRule="auto"/>
        <w:ind w:left="0" w:right="40" w:firstLine="720"/>
        <w:rPr>
          <w:rStyle w:val="BodyText10"/>
          <w:rFonts w:ascii="GHEA Grapalat" w:eastAsia="Times New Roman" w:hAnsi="GHEA Grapalat"/>
          <w:color w:val="auto"/>
          <w:sz w:val="24"/>
          <w:szCs w:val="24"/>
        </w:rPr>
      </w:pPr>
      <w:r w:rsidRPr="00635E78">
        <w:rPr>
          <w:rStyle w:val="BodyText10"/>
          <w:rFonts w:ascii="GHEA Grapalat" w:hAnsi="GHEA Grapalat"/>
          <w:color w:val="auto"/>
          <w:sz w:val="24"/>
          <w:szCs w:val="24"/>
        </w:rPr>
        <w:t>համապատասխանության հավաստման ընթացակարգն ավարտվելուց հետո կազմում է փաստաթղթերի փաթեթ, որը ներառում է սույն կետի 1) ենթակետով նախատեսված փաստաթղթերը և համապատասխանության հայտարարագիրը։</w:t>
      </w:r>
    </w:p>
    <w:p w14:paraId="5DADCDF3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FC2D132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12. ՊԵՏԱԿԱՆ ՎԵՐԱՀՍԿՈՂՈՒԹՅՈՒՆԸ</w:t>
      </w:r>
    </w:p>
    <w:p w14:paraId="1FE056EA" w14:textId="77777777" w:rsidR="00BB173E" w:rsidRPr="00635E78" w:rsidRDefault="00BB173E" w:rsidP="00635E78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C730A46" w14:textId="77777777" w:rsidR="00BB173E" w:rsidRPr="00635E78" w:rsidRDefault="00BB173E" w:rsidP="00635E78">
      <w:pPr>
        <w:pStyle w:val="ListParagraph"/>
        <w:numPr>
          <w:ilvl w:val="0"/>
          <w:numId w:val="7"/>
        </w:numPr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5E78">
        <w:rPr>
          <w:rFonts w:ascii="GHEA Grapalat" w:eastAsia="Times New Roman" w:hAnsi="GHEA Grapalat" w:cs="Times New Roman"/>
          <w:sz w:val="24"/>
          <w:szCs w:val="24"/>
          <w:lang w:val="hy-AM"/>
        </w:rPr>
        <w:t>Սույն տեխնիկական կանոնակարգի պահանջներին ՆՊԱ-ի համապատասխանության նկատմամբ պետական վերահսկողությունն իրականացվում է Oրենքով սահմանված կարգով:</w:t>
      </w:r>
    </w:p>
    <w:p w14:paraId="357B4747" w14:textId="77777777" w:rsidR="0092018B" w:rsidRPr="00BB173E" w:rsidRDefault="0092018B" w:rsidP="00635E78">
      <w:pPr>
        <w:rPr>
          <w:lang w:val="hy-AM"/>
        </w:rPr>
      </w:pPr>
    </w:p>
    <w:sectPr w:rsidR="0092018B" w:rsidRPr="00BB173E" w:rsidSect="00BB173E">
      <w:pgSz w:w="12240" w:h="15840"/>
      <w:pgMar w:top="562" w:right="562" w:bottom="1138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7D20C" w14:textId="77777777" w:rsidR="009C117B" w:rsidRDefault="009C117B" w:rsidP="006F4048">
      <w:pPr>
        <w:spacing w:after="0" w:line="240" w:lineRule="auto"/>
      </w:pPr>
      <w:r>
        <w:separator/>
      </w:r>
    </w:p>
  </w:endnote>
  <w:endnote w:type="continuationSeparator" w:id="0">
    <w:p w14:paraId="35D13542" w14:textId="77777777" w:rsidR="009C117B" w:rsidRDefault="009C117B" w:rsidP="006F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charset w:val="01"/>
    <w:family w:val="moder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83843" w14:textId="77777777" w:rsidR="009C117B" w:rsidRDefault="009C117B" w:rsidP="006F4048">
      <w:pPr>
        <w:spacing w:after="0" w:line="240" w:lineRule="auto"/>
      </w:pPr>
      <w:r>
        <w:separator/>
      </w:r>
    </w:p>
  </w:footnote>
  <w:footnote w:type="continuationSeparator" w:id="0">
    <w:p w14:paraId="70A65AF4" w14:textId="77777777" w:rsidR="009C117B" w:rsidRDefault="009C117B" w:rsidP="006F4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614B"/>
    <w:multiLevelType w:val="hybridMultilevel"/>
    <w:tmpl w:val="1B863232"/>
    <w:lvl w:ilvl="0" w:tplc="EF367796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05643B"/>
    <w:multiLevelType w:val="hybridMultilevel"/>
    <w:tmpl w:val="884C62F8"/>
    <w:lvl w:ilvl="0" w:tplc="4C6C5F1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  <w:strike w:val="0"/>
      </w:rPr>
    </w:lvl>
    <w:lvl w:ilvl="1" w:tplc="EBDCE534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B40F55"/>
    <w:multiLevelType w:val="hybridMultilevel"/>
    <w:tmpl w:val="A522B1A4"/>
    <w:lvl w:ilvl="0" w:tplc="3366415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6701FD8"/>
    <w:multiLevelType w:val="hybridMultilevel"/>
    <w:tmpl w:val="B8FC1CDA"/>
    <w:lvl w:ilvl="0" w:tplc="0409000F">
      <w:start w:val="1"/>
      <w:numFmt w:val="decimal"/>
      <w:lvlText w:val="%1."/>
      <w:lvlJc w:val="left"/>
      <w:pPr>
        <w:ind w:left="874" w:hanging="360"/>
      </w:pPr>
    </w:lvl>
    <w:lvl w:ilvl="1" w:tplc="04090019" w:tentative="1">
      <w:start w:val="1"/>
      <w:numFmt w:val="lowerLetter"/>
      <w:lvlText w:val="%2."/>
      <w:lvlJc w:val="left"/>
      <w:pPr>
        <w:ind w:left="1594" w:hanging="360"/>
      </w:pPr>
    </w:lvl>
    <w:lvl w:ilvl="2" w:tplc="0409001B" w:tentative="1">
      <w:start w:val="1"/>
      <w:numFmt w:val="lowerRoman"/>
      <w:lvlText w:val="%3."/>
      <w:lvlJc w:val="right"/>
      <w:pPr>
        <w:ind w:left="2314" w:hanging="180"/>
      </w:pPr>
    </w:lvl>
    <w:lvl w:ilvl="3" w:tplc="0409000F" w:tentative="1">
      <w:start w:val="1"/>
      <w:numFmt w:val="decimal"/>
      <w:lvlText w:val="%4."/>
      <w:lvlJc w:val="left"/>
      <w:pPr>
        <w:ind w:left="3034" w:hanging="360"/>
      </w:pPr>
    </w:lvl>
    <w:lvl w:ilvl="4" w:tplc="04090019" w:tentative="1">
      <w:start w:val="1"/>
      <w:numFmt w:val="lowerLetter"/>
      <w:lvlText w:val="%5."/>
      <w:lvlJc w:val="left"/>
      <w:pPr>
        <w:ind w:left="3754" w:hanging="360"/>
      </w:pPr>
    </w:lvl>
    <w:lvl w:ilvl="5" w:tplc="0409001B" w:tentative="1">
      <w:start w:val="1"/>
      <w:numFmt w:val="lowerRoman"/>
      <w:lvlText w:val="%6."/>
      <w:lvlJc w:val="right"/>
      <w:pPr>
        <w:ind w:left="4474" w:hanging="180"/>
      </w:pPr>
    </w:lvl>
    <w:lvl w:ilvl="6" w:tplc="0409000F" w:tentative="1">
      <w:start w:val="1"/>
      <w:numFmt w:val="decimal"/>
      <w:lvlText w:val="%7."/>
      <w:lvlJc w:val="left"/>
      <w:pPr>
        <w:ind w:left="5194" w:hanging="360"/>
      </w:pPr>
    </w:lvl>
    <w:lvl w:ilvl="7" w:tplc="04090019" w:tentative="1">
      <w:start w:val="1"/>
      <w:numFmt w:val="lowerLetter"/>
      <w:lvlText w:val="%8."/>
      <w:lvlJc w:val="left"/>
      <w:pPr>
        <w:ind w:left="5914" w:hanging="360"/>
      </w:pPr>
    </w:lvl>
    <w:lvl w:ilvl="8" w:tplc="0409001B" w:tentative="1">
      <w:start w:val="1"/>
      <w:numFmt w:val="lowerRoman"/>
      <w:lvlText w:val="%9."/>
      <w:lvlJc w:val="right"/>
      <w:pPr>
        <w:ind w:left="6634" w:hanging="180"/>
      </w:pPr>
    </w:lvl>
  </w:abstractNum>
  <w:abstractNum w:abstractNumId="4" w15:restartNumberingAfterBreak="0">
    <w:nsid w:val="084C74C7"/>
    <w:multiLevelType w:val="hybridMultilevel"/>
    <w:tmpl w:val="FD7C4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9EF"/>
    <w:multiLevelType w:val="hybridMultilevel"/>
    <w:tmpl w:val="45064326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0D245AA4"/>
    <w:multiLevelType w:val="hybridMultilevel"/>
    <w:tmpl w:val="F1F04938"/>
    <w:lvl w:ilvl="0" w:tplc="39DCFAC0">
      <w:start w:val="1"/>
      <w:numFmt w:val="decimal"/>
      <w:lvlText w:val="%1)"/>
      <w:lvlJc w:val="left"/>
      <w:pPr>
        <w:ind w:left="1335" w:hanging="4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124800D3"/>
    <w:multiLevelType w:val="hybridMultilevel"/>
    <w:tmpl w:val="DB90D6D4"/>
    <w:lvl w:ilvl="0" w:tplc="39DCFA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15F0D7AA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444A09"/>
    <w:multiLevelType w:val="hybridMultilevel"/>
    <w:tmpl w:val="ED1CD836"/>
    <w:lvl w:ilvl="0" w:tplc="295AC5D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4E571E"/>
    <w:multiLevelType w:val="hybridMultilevel"/>
    <w:tmpl w:val="B8DA15C8"/>
    <w:lvl w:ilvl="0" w:tplc="39DCFA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AE0B24"/>
    <w:multiLevelType w:val="hybridMultilevel"/>
    <w:tmpl w:val="FB0EE6CE"/>
    <w:lvl w:ilvl="0" w:tplc="39DCFA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39DCFAC0">
      <w:start w:val="1"/>
      <w:numFmt w:val="decimal"/>
      <w:lvlText w:val="%2)"/>
      <w:lvlJc w:val="left"/>
      <w:pPr>
        <w:ind w:left="99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1591C5F"/>
    <w:multiLevelType w:val="hybridMultilevel"/>
    <w:tmpl w:val="E4DA0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E50EC"/>
    <w:multiLevelType w:val="hybridMultilevel"/>
    <w:tmpl w:val="4C9C6D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9266FC"/>
    <w:multiLevelType w:val="hybridMultilevel"/>
    <w:tmpl w:val="53D472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130896"/>
    <w:multiLevelType w:val="hybridMultilevel"/>
    <w:tmpl w:val="D438FC52"/>
    <w:lvl w:ilvl="0" w:tplc="04090011">
      <w:start w:val="1"/>
      <w:numFmt w:val="decimal"/>
      <w:lvlText w:val="%1)"/>
      <w:lvlJc w:val="left"/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3A75D8C"/>
    <w:multiLevelType w:val="hybridMultilevel"/>
    <w:tmpl w:val="D6EEFD50"/>
    <w:lvl w:ilvl="0" w:tplc="6C3C91B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A42EC"/>
    <w:multiLevelType w:val="hybridMultilevel"/>
    <w:tmpl w:val="207EF92C"/>
    <w:lvl w:ilvl="0" w:tplc="1C2A0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044F64"/>
    <w:multiLevelType w:val="hybridMultilevel"/>
    <w:tmpl w:val="E55813C0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372D7987"/>
    <w:multiLevelType w:val="hybridMultilevel"/>
    <w:tmpl w:val="F932A9C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374629EA"/>
    <w:multiLevelType w:val="hybridMultilevel"/>
    <w:tmpl w:val="F1F04938"/>
    <w:lvl w:ilvl="0" w:tplc="39DCFAC0">
      <w:start w:val="1"/>
      <w:numFmt w:val="decimal"/>
      <w:lvlText w:val="%1)"/>
      <w:lvlJc w:val="left"/>
      <w:pPr>
        <w:ind w:left="1335" w:hanging="4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BA1512B"/>
    <w:multiLevelType w:val="hybridMultilevel"/>
    <w:tmpl w:val="410865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F83385"/>
    <w:multiLevelType w:val="multilevel"/>
    <w:tmpl w:val="051A102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2" w15:restartNumberingAfterBreak="0">
    <w:nsid w:val="3D581B7C"/>
    <w:multiLevelType w:val="hybridMultilevel"/>
    <w:tmpl w:val="30080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360419"/>
    <w:multiLevelType w:val="multilevel"/>
    <w:tmpl w:val="0D283DA8"/>
    <w:lvl w:ilvl="0">
      <w:start w:val="1"/>
      <w:numFmt w:val="decimal"/>
      <w:lvlText w:val="%1)"/>
      <w:lvlJc w:val="left"/>
      <w:rPr>
        <w:rFonts w:ascii="GHEA Grapalat" w:eastAsia="Times New Roman" w:hAnsi="GHEA Grapalat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2."/>
      <w:lvlJc w:val="left"/>
      <w:rPr>
        <w:rFonts w:hint="default"/>
        <w:b/>
        <w:color w:val="00000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98D60FD"/>
    <w:multiLevelType w:val="hybridMultilevel"/>
    <w:tmpl w:val="80387AA6"/>
    <w:lvl w:ilvl="0" w:tplc="D72C7638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55585CC7"/>
    <w:multiLevelType w:val="hybridMultilevel"/>
    <w:tmpl w:val="A76A06A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7896AD3"/>
    <w:multiLevelType w:val="hybridMultilevel"/>
    <w:tmpl w:val="967CBFD8"/>
    <w:lvl w:ilvl="0" w:tplc="427CF4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64EF671F"/>
    <w:multiLevelType w:val="hybridMultilevel"/>
    <w:tmpl w:val="A8BEFF46"/>
    <w:lvl w:ilvl="0" w:tplc="39DCFAC0">
      <w:start w:val="1"/>
      <w:numFmt w:val="decimal"/>
      <w:lvlText w:val="%1)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58B46F5"/>
    <w:multiLevelType w:val="hybridMultilevel"/>
    <w:tmpl w:val="AEE4D804"/>
    <w:lvl w:ilvl="0" w:tplc="336641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83434C"/>
    <w:multiLevelType w:val="hybridMultilevel"/>
    <w:tmpl w:val="DEB0CB34"/>
    <w:lvl w:ilvl="0" w:tplc="283E1DFE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EBDCE534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0A1534"/>
    <w:multiLevelType w:val="hybridMultilevel"/>
    <w:tmpl w:val="599AF3CA"/>
    <w:lvl w:ilvl="0" w:tplc="04090011">
      <w:start w:val="1"/>
      <w:numFmt w:val="decimal"/>
      <w:lvlText w:val="%1)"/>
      <w:lvlJc w:val="left"/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8122246"/>
    <w:multiLevelType w:val="hybridMultilevel"/>
    <w:tmpl w:val="2DFC61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3F1A71"/>
    <w:multiLevelType w:val="hybridMultilevel"/>
    <w:tmpl w:val="2BFCAC58"/>
    <w:lvl w:ilvl="0" w:tplc="674E831E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EBDCE534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4"/>
  </w:num>
  <w:num w:numId="4">
    <w:abstractNumId w:val="0"/>
  </w:num>
  <w:num w:numId="5">
    <w:abstractNumId w:val="23"/>
  </w:num>
  <w:num w:numId="6">
    <w:abstractNumId w:val="26"/>
  </w:num>
  <w:num w:numId="7">
    <w:abstractNumId w:val="29"/>
  </w:num>
  <w:num w:numId="8">
    <w:abstractNumId w:val="32"/>
  </w:num>
  <w:num w:numId="9">
    <w:abstractNumId w:val="18"/>
  </w:num>
  <w:num w:numId="10">
    <w:abstractNumId w:val="5"/>
  </w:num>
  <w:num w:numId="11">
    <w:abstractNumId w:val="11"/>
  </w:num>
  <w:num w:numId="12">
    <w:abstractNumId w:val="12"/>
  </w:num>
  <w:num w:numId="13">
    <w:abstractNumId w:val="13"/>
  </w:num>
  <w:num w:numId="14">
    <w:abstractNumId w:val="2"/>
  </w:num>
  <w:num w:numId="15">
    <w:abstractNumId w:val="28"/>
  </w:num>
  <w:num w:numId="16">
    <w:abstractNumId w:val="8"/>
  </w:num>
  <w:num w:numId="17">
    <w:abstractNumId w:val="4"/>
  </w:num>
  <w:num w:numId="18">
    <w:abstractNumId w:val="25"/>
  </w:num>
  <w:num w:numId="19">
    <w:abstractNumId w:val="31"/>
  </w:num>
  <w:num w:numId="20">
    <w:abstractNumId w:val="7"/>
  </w:num>
  <w:num w:numId="21">
    <w:abstractNumId w:val="9"/>
  </w:num>
  <w:num w:numId="22">
    <w:abstractNumId w:val="10"/>
  </w:num>
  <w:num w:numId="23">
    <w:abstractNumId w:val="20"/>
  </w:num>
  <w:num w:numId="24">
    <w:abstractNumId w:val="17"/>
  </w:num>
  <w:num w:numId="25">
    <w:abstractNumId w:val="3"/>
  </w:num>
  <w:num w:numId="26">
    <w:abstractNumId w:val="15"/>
  </w:num>
  <w:num w:numId="27">
    <w:abstractNumId w:val="19"/>
  </w:num>
  <w:num w:numId="28">
    <w:abstractNumId w:val="21"/>
  </w:num>
  <w:num w:numId="29">
    <w:abstractNumId w:val="14"/>
  </w:num>
  <w:num w:numId="30">
    <w:abstractNumId w:val="16"/>
  </w:num>
  <w:num w:numId="31">
    <w:abstractNumId w:val="27"/>
  </w:num>
  <w:num w:numId="32">
    <w:abstractNumId w:val="30"/>
  </w:num>
  <w:num w:numId="33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8DF"/>
    <w:rsid w:val="00005107"/>
    <w:rsid w:val="00020670"/>
    <w:rsid w:val="000251EC"/>
    <w:rsid w:val="000258E5"/>
    <w:rsid w:val="0002683B"/>
    <w:rsid w:val="00030E3D"/>
    <w:rsid w:val="00032742"/>
    <w:rsid w:val="00035524"/>
    <w:rsid w:val="000356B5"/>
    <w:rsid w:val="00051F9B"/>
    <w:rsid w:val="000538D0"/>
    <w:rsid w:val="00053ECA"/>
    <w:rsid w:val="00061D64"/>
    <w:rsid w:val="00067805"/>
    <w:rsid w:val="0007715B"/>
    <w:rsid w:val="00084812"/>
    <w:rsid w:val="000867C8"/>
    <w:rsid w:val="00087C1F"/>
    <w:rsid w:val="000901B7"/>
    <w:rsid w:val="000913FC"/>
    <w:rsid w:val="0009143D"/>
    <w:rsid w:val="00095A47"/>
    <w:rsid w:val="00095DB8"/>
    <w:rsid w:val="000A2F6E"/>
    <w:rsid w:val="000A30F9"/>
    <w:rsid w:val="000A7B39"/>
    <w:rsid w:val="000B17C8"/>
    <w:rsid w:val="000B3044"/>
    <w:rsid w:val="000B4E03"/>
    <w:rsid w:val="000C1624"/>
    <w:rsid w:val="000C24CB"/>
    <w:rsid w:val="000C39F7"/>
    <w:rsid w:val="000C505D"/>
    <w:rsid w:val="000D4A0F"/>
    <w:rsid w:val="000F30CB"/>
    <w:rsid w:val="000F3EDB"/>
    <w:rsid w:val="00100F7C"/>
    <w:rsid w:val="0011120A"/>
    <w:rsid w:val="001168D2"/>
    <w:rsid w:val="0011693F"/>
    <w:rsid w:val="00122014"/>
    <w:rsid w:val="00127D8A"/>
    <w:rsid w:val="001340F9"/>
    <w:rsid w:val="00147DD3"/>
    <w:rsid w:val="0016777A"/>
    <w:rsid w:val="0018067B"/>
    <w:rsid w:val="001826DE"/>
    <w:rsid w:val="0018493C"/>
    <w:rsid w:val="00190C44"/>
    <w:rsid w:val="00191F2D"/>
    <w:rsid w:val="001942D7"/>
    <w:rsid w:val="00196736"/>
    <w:rsid w:val="00196F29"/>
    <w:rsid w:val="001B0440"/>
    <w:rsid w:val="001C5561"/>
    <w:rsid w:val="001D0D22"/>
    <w:rsid w:val="001D1A7B"/>
    <w:rsid w:val="001E0A3E"/>
    <w:rsid w:val="001E0B8D"/>
    <w:rsid w:val="001E2B27"/>
    <w:rsid w:val="001E4254"/>
    <w:rsid w:val="001E67C2"/>
    <w:rsid w:val="001F0331"/>
    <w:rsid w:val="001F1703"/>
    <w:rsid w:val="001F3E8F"/>
    <w:rsid w:val="001F72C7"/>
    <w:rsid w:val="00205183"/>
    <w:rsid w:val="00213962"/>
    <w:rsid w:val="00214AD9"/>
    <w:rsid w:val="00216BD3"/>
    <w:rsid w:val="00216D6C"/>
    <w:rsid w:val="002217F3"/>
    <w:rsid w:val="00223174"/>
    <w:rsid w:val="00223637"/>
    <w:rsid w:val="00227CFB"/>
    <w:rsid w:val="002318CB"/>
    <w:rsid w:val="00237AAF"/>
    <w:rsid w:val="00251730"/>
    <w:rsid w:val="002722B8"/>
    <w:rsid w:val="00284896"/>
    <w:rsid w:val="00285A38"/>
    <w:rsid w:val="00292647"/>
    <w:rsid w:val="002A0A24"/>
    <w:rsid w:val="002A1B88"/>
    <w:rsid w:val="002A2D1E"/>
    <w:rsid w:val="002A6C41"/>
    <w:rsid w:val="002B1934"/>
    <w:rsid w:val="002B34C5"/>
    <w:rsid w:val="002B4678"/>
    <w:rsid w:val="002D2DCE"/>
    <w:rsid w:val="002D3179"/>
    <w:rsid w:val="002D4AC9"/>
    <w:rsid w:val="002D6E28"/>
    <w:rsid w:val="002D7284"/>
    <w:rsid w:val="002D7566"/>
    <w:rsid w:val="002D78DF"/>
    <w:rsid w:val="002D7F17"/>
    <w:rsid w:val="002E02EC"/>
    <w:rsid w:val="002F0180"/>
    <w:rsid w:val="002F3F5F"/>
    <w:rsid w:val="00300A52"/>
    <w:rsid w:val="00307830"/>
    <w:rsid w:val="003128A4"/>
    <w:rsid w:val="00313157"/>
    <w:rsid w:val="00313306"/>
    <w:rsid w:val="00314F29"/>
    <w:rsid w:val="00320E50"/>
    <w:rsid w:val="003332BB"/>
    <w:rsid w:val="00333E7A"/>
    <w:rsid w:val="00336059"/>
    <w:rsid w:val="00340B08"/>
    <w:rsid w:val="00340EE7"/>
    <w:rsid w:val="00342572"/>
    <w:rsid w:val="00354747"/>
    <w:rsid w:val="00357494"/>
    <w:rsid w:val="003616AA"/>
    <w:rsid w:val="0036451E"/>
    <w:rsid w:val="00366437"/>
    <w:rsid w:val="00367C14"/>
    <w:rsid w:val="00370447"/>
    <w:rsid w:val="003800B4"/>
    <w:rsid w:val="00383E0F"/>
    <w:rsid w:val="003900B9"/>
    <w:rsid w:val="00396F7D"/>
    <w:rsid w:val="003A4BE9"/>
    <w:rsid w:val="003B47ED"/>
    <w:rsid w:val="003B7760"/>
    <w:rsid w:val="003C6E1C"/>
    <w:rsid w:val="003C7015"/>
    <w:rsid w:val="003D0B27"/>
    <w:rsid w:val="003D1693"/>
    <w:rsid w:val="003E1084"/>
    <w:rsid w:val="003E6EE7"/>
    <w:rsid w:val="004003F0"/>
    <w:rsid w:val="004031F5"/>
    <w:rsid w:val="0040347E"/>
    <w:rsid w:val="0040360B"/>
    <w:rsid w:val="0040562B"/>
    <w:rsid w:val="00422B7B"/>
    <w:rsid w:val="004236F9"/>
    <w:rsid w:val="00423AA1"/>
    <w:rsid w:val="00431475"/>
    <w:rsid w:val="004314A6"/>
    <w:rsid w:val="004329C2"/>
    <w:rsid w:val="0043721B"/>
    <w:rsid w:val="004437AB"/>
    <w:rsid w:val="00447905"/>
    <w:rsid w:val="0045000F"/>
    <w:rsid w:val="00451007"/>
    <w:rsid w:val="00455F44"/>
    <w:rsid w:val="0046249F"/>
    <w:rsid w:val="00484A3C"/>
    <w:rsid w:val="0049110A"/>
    <w:rsid w:val="00494DAE"/>
    <w:rsid w:val="004A31C0"/>
    <w:rsid w:val="004A63D4"/>
    <w:rsid w:val="004A6747"/>
    <w:rsid w:val="004B33A8"/>
    <w:rsid w:val="004B5905"/>
    <w:rsid w:val="004C0603"/>
    <w:rsid w:val="004C08AF"/>
    <w:rsid w:val="004C1B34"/>
    <w:rsid w:val="004D4B08"/>
    <w:rsid w:val="004E6149"/>
    <w:rsid w:val="004F749B"/>
    <w:rsid w:val="00502BBE"/>
    <w:rsid w:val="00503F67"/>
    <w:rsid w:val="005104F9"/>
    <w:rsid w:val="005133C6"/>
    <w:rsid w:val="005201EC"/>
    <w:rsid w:val="00522D1D"/>
    <w:rsid w:val="00524D3A"/>
    <w:rsid w:val="0053707B"/>
    <w:rsid w:val="00541CFF"/>
    <w:rsid w:val="00557E7F"/>
    <w:rsid w:val="005612B9"/>
    <w:rsid w:val="00566CBE"/>
    <w:rsid w:val="00567BD4"/>
    <w:rsid w:val="00571C63"/>
    <w:rsid w:val="005722C2"/>
    <w:rsid w:val="00572609"/>
    <w:rsid w:val="005835F9"/>
    <w:rsid w:val="00585F45"/>
    <w:rsid w:val="0058767D"/>
    <w:rsid w:val="00596CFC"/>
    <w:rsid w:val="005A1523"/>
    <w:rsid w:val="005A1A79"/>
    <w:rsid w:val="005A3C79"/>
    <w:rsid w:val="005A7BCB"/>
    <w:rsid w:val="005B4B71"/>
    <w:rsid w:val="005B7F51"/>
    <w:rsid w:val="005C1EA3"/>
    <w:rsid w:val="005C58C5"/>
    <w:rsid w:val="005D282F"/>
    <w:rsid w:val="005D7650"/>
    <w:rsid w:val="005E6599"/>
    <w:rsid w:val="005F221C"/>
    <w:rsid w:val="005F42BB"/>
    <w:rsid w:val="00601814"/>
    <w:rsid w:val="006050AD"/>
    <w:rsid w:val="00607092"/>
    <w:rsid w:val="00607BEB"/>
    <w:rsid w:val="006116FF"/>
    <w:rsid w:val="0061424D"/>
    <w:rsid w:val="006241EC"/>
    <w:rsid w:val="006259C2"/>
    <w:rsid w:val="00625A45"/>
    <w:rsid w:val="00630CF1"/>
    <w:rsid w:val="00633CD0"/>
    <w:rsid w:val="00633F88"/>
    <w:rsid w:val="00635E78"/>
    <w:rsid w:val="00645602"/>
    <w:rsid w:val="006457C4"/>
    <w:rsid w:val="00656EA5"/>
    <w:rsid w:val="00666380"/>
    <w:rsid w:val="0067175C"/>
    <w:rsid w:val="00673CE6"/>
    <w:rsid w:val="00683869"/>
    <w:rsid w:val="006861BF"/>
    <w:rsid w:val="00692311"/>
    <w:rsid w:val="00696006"/>
    <w:rsid w:val="006A0B1C"/>
    <w:rsid w:val="006A2F2E"/>
    <w:rsid w:val="006A502F"/>
    <w:rsid w:val="006A71E3"/>
    <w:rsid w:val="006B16A7"/>
    <w:rsid w:val="006B4735"/>
    <w:rsid w:val="006B5024"/>
    <w:rsid w:val="006D58C0"/>
    <w:rsid w:val="006E50F8"/>
    <w:rsid w:val="006F1C27"/>
    <w:rsid w:val="006F4048"/>
    <w:rsid w:val="007028A8"/>
    <w:rsid w:val="00702BFA"/>
    <w:rsid w:val="00703D57"/>
    <w:rsid w:val="00706318"/>
    <w:rsid w:val="007116D1"/>
    <w:rsid w:val="00724FF6"/>
    <w:rsid w:val="00725609"/>
    <w:rsid w:val="00736BBA"/>
    <w:rsid w:val="00737F4C"/>
    <w:rsid w:val="00740D2F"/>
    <w:rsid w:val="00744EE1"/>
    <w:rsid w:val="0074678B"/>
    <w:rsid w:val="0075379C"/>
    <w:rsid w:val="007607E5"/>
    <w:rsid w:val="007679A4"/>
    <w:rsid w:val="00770ADB"/>
    <w:rsid w:val="00771C3A"/>
    <w:rsid w:val="00777467"/>
    <w:rsid w:val="0078088C"/>
    <w:rsid w:val="00780A28"/>
    <w:rsid w:val="0078673E"/>
    <w:rsid w:val="007872A8"/>
    <w:rsid w:val="007A11EB"/>
    <w:rsid w:val="007A4D06"/>
    <w:rsid w:val="007A7CA7"/>
    <w:rsid w:val="007B7F3B"/>
    <w:rsid w:val="007D14F5"/>
    <w:rsid w:val="007D1714"/>
    <w:rsid w:val="007E7E27"/>
    <w:rsid w:val="007F1477"/>
    <w:rsid w:val="00800AD0"/>
    <w:rsid w:val="008033F0"/>
    <w:rsid w:val="008157D2"/>
    <w:rsid w:val="00817C51"/>
    <w:rsid w:val="0083194A"/>
    <w:rsid w:val="00837E11"/>
    <w:rsid w:val="00841D97"/>
    <w:rsid w:val="00841F5C"/>
    <w:rsid w:val="008456F9"/>
    <w:rsid w:val="00846DF2"/>
    <w:rsid w:val="00853FFA"/>
    <w:rsid w:val="008703AA"/>
    <w:rsid w:val="008706D3"/>
    <w:rsid w:val="00876264"/>
    <w:rsid w:val="00876523"/>
    <w:rsid w:val="00893326"/>
    <w:rsid w:val="008A6DF1"/>
    <w:rsid w:val="008D2F34"/>
    <w:rsid w:val="008D52D2"/>
    <w:rsid w:val="008E64A1"/>
    <w:rsid w:val="008E7F03"/>
    <w:rsid w:val="008F3AEF"/>
    <w:rsid w:val="008F6187"/>
    <w:rsid w:val="009011CC"/>
    <w:rsid w:val="00902F89"/>
    <w:rsid w:val="00904C26"/>
    <w:rsid w:val="009061E7"/>
    <w:rsid w:val="0092018B"/>
    <w:rsid w:val="009207B3"/>
    <w:rsid w:val="0092397F"/>
    <w:rsid w:val="0093427F"/>
    <w:rsid w:val="00934CC4"/>
    <w:rsid w:val="00935680"/>
    <w:rsid w:val="00946B0A"/>
    <w:rsid w:val="00954132"/>
    <w:rsid w:val="009575DA"/>
    <w:rsid w:val="00965837"/>
    <w:rsid w:val="00973708"/>
    <w:rsid w:val="00975D87"/>
    <w:rsid w:val="00987155"/>
    <w:rsid w:val="0099269E"/>
    <w:rsid w:val="009B1A51"/>
    <w:rsid w:val="009C117B"/>
    <w:rsid w:val="009C1E41"/>
    <w:rsid w:val="009C3E07"/>
    <w:rsid w:val="009C53FC"/>
    <w:rsid w:val="009D70C8"/>
    <w:rsid w:val="009E1788"/>
    <w:rsid w:val="009E764C"/>
    <w:rsid w:val="009F5BDF"/>
    <w:rsid w:val="009F7188"/>
    <w:rsid w:val="00A00850"/>
    <w:rsid w:val="00A03610"/>
    <w:rsid w:val="00A13BD5"/>
    <w:rsid w:val="00A23246"/>
    <w:rsid w:val="00A3204E"/>
    <w:rsid w:val="00A33C72"/>
    <w:rsid w:val="00A4440C"/>
    <w:rsid w:val="00A45EDC"/>
    <w:rsid w:val="00A46905"/>
    <w:rsid w:val="00A4733B"/>
    <w:rsid w:val="00A52F87"/>
    <w:rsid w:val="00A54051"/>
    <w:rsid w:val="00A574E7"/>
    <w:rsid w:val="00A6556D"/>
    <w:rsid w:val="00A70518"/>
    <w:rsid w:val="00A718E4"/>
    <w:rsid w:val="00A72574"/>
    <w:rsid w:val="00A77105"/>
    <w:rsid w:val="00A81F73"/>
    <w:rsid w:val="00A85D41"/>
    <w:rsid w:val="00A872F0"/>
    <w:rsid w:val="00AA4120"/>
    <w:rsid w:val="00AA5277"/>
    <w:rsid w:val="00AB32AF"/>
    <w:rsid w:val="00AB4F88"/>
    <w:rsid w:val="00AB7D7F"/>
    <w:rsid w:val="00AC3765"/>
    <w:rsid w:val="00AC42C6"/>
    <w:rsid w:val="00AC6B02"/>
    <w:rsid w:val="00AE2C42"/>
    <w:rsid w:val="00AE4372"/>
    <w:rsid w:val="00AE7CCC"/>
    <w:rsid w:val="00AF3BF0"/>
    <w:rsid w:val="00AF3D5C"/>
    <w:rsid w:val="00AF57DC"/>
    <w:rsid w:val="00B02E1F"/>
    <w:rsid w:val="00B116DE"/>
    <w:rsid w:val="00B16262"/>
    <w:rsid w:val="00B2051C"/>
    <w:rsid w:val="00B2307E"/>
    <w:rsid w:val="00B31CF4"/>
    <w:rsid w:val="00B43EEF"/>
    <w:rsid w:val="00B53D18"/>
    <w:rsid w:val="00B5541D"/>
    <w:rsid w:val="00B5657C"/>
    <w:rsid w:val="00B56DAB"/>
    <w:rsid w:val="00B605FF"/>
    <w:rsid w:val="00B6060C"/>
    <w:rsid w:val="00B636E3"/>
    <w:rsid w:val="00B6461E"/>
    <w:rsid w:val="00B71EB4"/>
    <w:rsid w:val="00B81D5A"/>
    <w:rsid w:val="00B84088"/>
    <w:rsid w:val="00B87772"/>
    <w:rsid w:val="00B937C1"/>
    <w:rsid w:val="00B97835"/>
    <w:rsid w:val="00BB173E"/>
    <w:rsid w:val="00BB2566"/>
    <w:rsid w:val="00BC59CE"/>
    <w:rsid w:val="00BD7AE0"/>
    <w:rsid w:val="00BE0100"/>
    <w:rsid w:val="00BE24EE"/>
    <w:rsid w:val="00BE5490"/>
    <w:rsid w:val="00BE55AB"/>
    <w:rsid w:val="00BF1D07"/>
    <w:rsid w:val="00BF36C0"/>
    <w:rsid w:val="00C1789D"/>
    <w:rsid w:val="00C23773"/>
    <w:rsid w:val="00C23AB3"/>
    <w:rsid w:val="00C26EF0"/>
    <w:rsid w:val="00C31A7D"/>
    <w:rsid w:val="00C31D2F"/>
    <w:rsid w:val="00C3746C"/>
    <w:rsid w:val="00C43ED6"/>
    <w:rsid w:val="00C533BF"/>
    <w:rsid w:val="00C55302"/>
    <w:rsid w:val="00C77EED"/>
    <w:rsid w:val="00C83339"/>
    <w:rsid w:val="00C852FA"/>
    <w:rsid w:val="00C96F57"/>
    <w:rsid w:val="00C976A4"/>
    <w:rsid w:val="00CA4E09"/>
    <w:rsid w:val="00CB41C4"/>
    <w:rsid w:val="00CB4F74"/>
    <w:rsid w:val="00CB7414"/>
    <w:rsid w:val="00CC0B24"/>
    <w:rsid w:val="00CC0F06"/>
    <w:rsid w:val="00CC3E2B"/>
    <w:rsid w:val="00CD7A36"/>
    <w:rsid w:val="00CE073C"/>
    <w:rsid w:val="00CE37A6"/>
    <w:rsid w:val="00CE6B3C"/>
    <w:rsid w:val="00CF0DFA"/>
    <w:rsid w:val="00D001A4"/>
    <w:rsid w:val="00D01994"/>
    <w:rsid w:val="00D1001D"/>
    <w:rsid w:val="00D13754"/>
    <w:rsid w:val="00D148F0"/>
    <w:rsid w:val="00D23803"/>
    <w:rsid w:val="00D30D03"/>
    <w:rsid w:val="00D36A0E"/>
    <w:rsid w:val="00D507FE"/>
    <w:rsid w:val="00D545F3"/>
    <w:rsid w:val="00D70CD4"/>
    <w:rsid w:val="00D73DFE"/>
    <w:rsid w:val="00D74918"/>
    <w:rsid w:val="00D77C2D"/>
    <w:rsid w:val="00D84BA1"/>
    <w:rsid w:val="00D9098E"/>
    <w:rsid w:val="00D93EB9"/>
    <w:rsid w:val="00DA4B32"/>
    <w:rsid w:val="00DA7DD7"/>
    <w:rsid w:val="00DB09CA"/>
    <w:rsid w:val="00DB1721"/>
    <w:rsid w:val="00DB469D"/>
    <w:rsid w:val="00DC212E"/>
    <w:rsid w:val="00DC5644"/>
    <w:rsid w:val="00DD2659"/>
    <w:rsid w:val="00DD4CD3"/>
    <w:rsid w:val="00DD55A2"/>
    <w:rsid w:val="00DF1BE9"/>
    <w:rsid w:val="00DF5B14"/>
    <w:rsid w:val="00E004AF"/>
    <w:rsid w:val="00E01C5A"/>
    <w:rsid w:val="00E2617C"/>
    <w:rsid w:val="00E2672C"/>
    <w:rsid w:val="00E30376"/>
    <w:rsid w:val="00E31E16"/>
    <w:rsid w:val="00E34EDE"/>
    <w:rsid w:val="00E546D5"/>
    <w:rsid w:val="00E60D2A"/>
    <w:rsid w:val="00E61353"/>
    <w:rsid w:val="00E63A6A"/>
    <w:rsid w:val="00E87C4A"/>
    <w:rsid w:val="00E907C2"/>
    <w:rsid w:val="00E9762C"/>
    <w:rsid w:val="00E97CE2"/>
    <w:rsid w:val="00EB7516"/>
    <w:rsid w:val="00EB7DA2"/>
    <w:rsid w:val="00EC7F28"/>
    <w:rsid w:val="00ED5E1B"/>
    <w:rsid w:val="00EF1D60"/>
    <w:rsid w:val="00EF2C71"/>
    <w:rsid w:val="00F13308"/>
    <w:rsid w:val="00F13EC5"/>
    <w:rsid w:val="00F15176"/>
    <w:rsid w:val="00F263BF"/>
    <w:rsid w:val="00F31419"/>
    <w:rsid w:val="00F44C3F"/>
    <w:rsid w:val="00F45150"/>
    <w:rsid w:val="00F46F44"/>
    <w:rsid w:val="00F74A7B"/>
    <w:rsid w:val="00F757C8"/>
    <w:rsid w:val="00F840D5"/>
    <w:rsid w:val="00F847C8"/>
    <w:rsid w:val="00F87BE2"/>
    <w:rsid w:val="00F93AAA"/>
    <w:rsid w:val="00F95A4D"/>
    <w:rsid w:val="00FA14C1"/>
    <w:rsid w:val="00FA32BC"/>
    <w:rsid w:val="00FA498F"/>
    <w:rsid w:val="00FA7C9A"/>
    <w:rsid w:val="00FB1337"/>
    <w:rsid w:val="00FB2FF0"/>
    <w:rsid w:val="00FB4313"/>
    <w:rsid w:val="00FD4D94"/>
    <w:rsid w:val="00FD6131"/>
    <w:rsid w:val="00FD6207"/>
    <w:rsid w:val="00FD7E5A"/>
    <w:rsid w:val="00FE0823"/>
    <w:rsid w:val="00FE259A"/>
    <w:rsid w:val="00FF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CCF8E"/>
  <w15:chartTrackingRefBased/>
  <w15:docId w15:val="{1D341164-9456-4854-A0E5-BD7F0093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F4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8706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706D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0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EE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BE55AB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">
    <w:name w:val="Body text_"/>
    <w:basedOn w:val="DefaultParagraphFont"/>
    <w:link w:val="Bodytext1"/>
    <w:locked/>
    <w:rsid w:val="00BE55AB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BE55AB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</w:rPr>
  </w:style>
  <w:style w:type="paragraph" w:styleId="NoSpacing">
    <w:name w:val="No Spacing"/>
    <w:uiPriority w:val="1"/>
    <w:qFormat/>
    <w:rsid w:val="00BE55AB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rsid w:val="006F4048"/>
    <w:pPr>
      <w:spacing w:after="0" w:line="240" w:lineRule="auto"/>
    </w:pPr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F4048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FootnoteReference">
    <w:name w:val="footnote reference"/>
    <w:rsid w:val="006F4048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rsid w:val="0092018B"/>
  </w:style>
  <w:style w:type="character" w:customStyle="1" w:styleId="BodyText10">
    <w:name w:val="Body Text1"/>
    <w:rsid w:val="0092018B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CommentText">
    <w:name w:val="annotation text"/>
    <w:basedOn w:val="Normal"/>
    <w:link w:val="CommentTextChar"/>
    <w:uiPriority w:val="99"/>
    <w:rsid w:val="0092018B"/>
    <w:pPr>
      <w:widowControl w:val="0"/>
      <w:spacing w:after="0" w:line="240" w:lineRule="auto"/>
    </w:pPr>
    <w:rPr>
      <w:rFonts w:ascii="Courier New" w:eastAsia="Courier New" w:hAnsi="Courier New" w:cs="Times New Roman"/>
      <w:color w:val="000000"/>
      <w:sz w:val="20"/>
      <w:szCs w:val="20"/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018B"/>
    <w:rPr>
      <w:rFonts w:ascii="Courier New" w:eastAsia="Courier New" w:hAnsi="Courier New" w:cs="Times New Roman"/>
      <w:color w:val="000000"/>
      <w:sz w:val="20"/>
      <w:szCs w:val="20"/>
      <w:lang w:val="hy-AM" w:eastAsia="hy-AM"/>
    </w:rPr>
  </w:style>
  <w:style w:type="paragraph" w:styleId="NormalWeb">
    <w:name w:val="Normal (Web)"/>
    <w:basedOn w:val="Normal"/>
    <w:uiPriority w:val="99"/>
    <w:unhideWhenUsed/>
    <w:rsid w:val="00920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104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0562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62B"/>
    <w:pPr>
      <w:widowControl/>
      <w:spacing w:after="200"/>
    </w:pPr>
    <w:rPr>
      <w:rFonts w:asciiTheme="minorHAnsi" w:eastAsiaTheme="minorHAnsi" w:hAnsiTheme="minorHAnsi" w:cstheme="minorBidi"/>
      <w:b/>
      <w:bCs/>
      <w:color w:val="auto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62B"/>
    <w:rPr>
      <w:rFonts w:ascii="Courier New" w:eastAsia="Courier New" w:hAnsi="Courier New" w:cs="Times New Roman"/>
      <w:b/>
      <w:bCs/>
      <w:color w:val="000000"/>
      <w:sz w:val="20"/>
      <w:szCs w:val="20"/>
      <w:lang w:val="hy-AM" w:eastAsia="hy-AM"/>
    </w:rPr>
  </w:style>
  <w:style w:type="character" w:customStyle="1" w:styleId="CharStyle13">
    <w:name w:val="Char Style 13"/>
    <w:link w:val="Style12"/>
    <w:rsid w:val="007D14F5"/>
    <w:rPr>
      <w:sz w:val="27"/>
      <w:szCs w:val="27"/>
      <w:shd w:val="clear" w:color="auto" w:fill="FFFFFF"/>
    </w:rPr>
  </w:style>
  <w:style w:type="paragraph" w:customStyle="1" w:styleId="Style12">
    <w:name w:val="Style 12"/>
    <w:basedOn w:val="Normal"/>
    <w:link w:val="CharStyle13"/>
    <w:rsid w:val="007D14F5"/>
    <w:pPr>
      <w:widowControl w:val="0"/>
      <w:shd w:val="clear" w:color="auto" w:fill="FFFFFF"/>
      <w:spacing w:after="0" w:line="0" w:lineRule="atLeast"/>
      <w:ind w:hanging="1740"/>
      <w:jc w:val="both"/>
    </w:pPr>
    <w:rPr>
      <w:sz w:val="27"/>
      <w:szCs w:val="27"/>
    </w:rPr>
  </w:style>
  <w:style w:type="character" w:customStyle="1" w:styleId="Bodytext2">
    <w:name w:val="Body text (2)_"/>
    <w:basedOn w:val="DefaultParagraphFont"/>
    <w:link w:val="Bodytext20"/>
    <w:rsid w:val="00740D2F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40D2F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sz w:val="30"/>
      <w:szCs w:val="30"/>
    </w:rPr>
  </w:style>
  <w:style w:type="character" w:styleId="Emphasis">
    <w:name w:val="Emphasis"/>
    <w:qFormat/>
    <w:rsid w:val="00D9098E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14F2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14F29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14F2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14F29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053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01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4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19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3162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0" w:color="CDCDCD"/>
                                    <w:left w:val="single" w:sz="6" w:space="0" w:color="CDCDCD"/>
                                    <w:bottom w:val="single" w:sz="6" w:space="0" w:color="CDCDCD"/>
                                    <w:right w:val="single" w:sz="6" w:space="0" w:color="CDCDCD"/>
                                  </w:divBdr>
                                  <w:divsChild>
                                    <w:div w:id="1580676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0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3A8A8-2F61-4B42-9478-61A485F0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3961</Words>
  <Characters>22579</Characters>
  <Application>Microsoft Office Word</Application>
  <DocSecurity>0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https:/mul2.gov.am/tasks/564622/oneclick/841a3f4a20138b6368c1af2a006bfaf40e0353c21f86c12d7b3c28bf5ad04050.docx?token=78b9af7161668f2193fb8c622b93dc4f</cp:keywords>
  <dc:description/>
  <cp:lastModifiedBy>USER</cp:lastModifiedBy>
  <cp:revision>2</cp:revision>
  <cp:lastPrinted>2021-12-20T17:03:00Z</cp:lastPrinted>
  <dcterms:created xsi:type="dcterms:W3CDTF">2022-02-09T17:41:00Z</dcterms:created>
  <dcterms:modified xsi:type="dcterms:W3CDTF">2022-02-09T17:41:00Z</dcterms:modified>
</cp:coreProperties>
</file>