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62A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A2122">
        <w:rPr>
          <w:rFonts w:ascii="GHEA Mariam" w:hAnsi="GHEA Mariam"/>
          <w:sz w:val="24"/>
          <w:szCs w:val="24"/>
          <w:lang w:val="hy-AM"/>
        </w:rPr>
        <w:t>7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B21F5"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D6795" w:rsidRDefault="006B21F5" w:rsidP="006B21F5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6B21F5">
        <w:rPr>
          <w:rFonts w:ascii="GHEA Mariam" w:hAnsi="GHEA Mariam" w:cs="Sylfaen"/>
          <w:sz w:val="24"/>
          <w:szCs w:val="24"/>
          <w:lang w:val="af-ZA"/>
        </w:rPr>
        <w:t>«</w:t>
      </w:r>
      <w:r w:rsidRPr="006B21F5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ED679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D679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6795">
        <w:rPr>
          <w:rFonts w:ascii="GHEA Mariam" w:hAnsi="GHEA Mariam" w:cs="Arial"/>
          <w:spacing w:val="-8"/>
          <w:sz w:val="24"/>
          <w:szCs w:val="24"/>
          <w:lang w:val="hy-AM"/>
        </w:rPr>
        <w:t>ՕՐԵՆՍԳՐՔՈՒՄ</w:t>
      </w:r>
      <w:r w:rsidRPr="00ED679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6795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ED679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6795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ED679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D6795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ED6795">
        <w:rPr>
          <w:rFonts w:ascii="GHEA Mariam" w:hAnsi="GHEA Mariam" w:cs="Sylfaen"/>
          <w:spacing w:val="-8"/>
          <w:sz w:val="24"/>
          <w:szCs w:val="24"/>
          <w:lang w:val="af-ZA"/>
        </w:rPr>
        <w:t>»</w:t>
      </w:r>
      <w:r w:rsidRPr="006B21F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6B21F5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6B21F5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6B21F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6B21F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6B21F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6B21F5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6B21F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6B21F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6B21F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6B21F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 w:rsidRPr="006B21F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</w:p>
    <w:p w:rsidR="006B21F5" w:rsidRPr="006B21F5" w:rsidRDefault="006B21F5" w:rsidP="006B21F5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Մ</w:t>
      </w:r>
      <w:r w:rsidR="00ED6795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Ա</w:t>
      </w:r>
      <w:r w:rsidR="00ED6795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Ս</w:t>
      </w:r>
      <w:r w:rsidR="00ED6795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Ի</w:t>
      </w:r>
      <w:r w:rsidR="00ED6795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</w:p>
    <w:p w:rsidR="006B21F5" w:rsidRPr="006B21F5" w:rsidRDefault="006B21F5" w:rsidP="006B21F5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6B21F5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6B21F5" w:rsidRPr="00AD0799" w:rsidRDefault="006B21F5" w:rsidP="006B21F5">
      <w:pPr>
        <w:pStyle w:val="mechtex"/>
        <w:rPr>
          <w:rFonts w:ascii="GHEA Grapalat" w:hAnsi="GHEA Grapalat"/>
          <w:lang w:val="af-ZA"/>
        </w:rPr>
      </w:pPr>
    </w:p>
    <w:p w:rsidR="006B21F5" w:rsidRPr="00AD0799" w:rsidRDefault="006B21F5" w:rsidP="006B21F5">
      <w:pPr>
        <w:pStyle w:val="mechtex"/>
        <w:rPr>
          <w:rFonts w:ascii="GHEA Grapalat" w:hAnsi="GHEA Grapalat"/>
          <w:lang w:val="af-ZA"/>
        </w:rPr>
      </w:pPr>
    </w:p>
    <w:p w:rsidR="006B21F5" w:rsidRPr="006B21F5" w:rsidRDefault="006B21F5" w:rsidP="006B21F5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6C123C">
        <w:rPr>
          <w:rFonts w:ascii="GHEA Mariam" w:hAnsi="GHEA Mariam" w:cs="Tahoma"/>
          <w:spacing w:val="-8"/>
          <w:sz w:val="24"/>
          <w:szCs w:val="24"/>
        </w:rPr>
        <w:t>Հիմք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ընդունելով</w:t>
      </w:r>
      <w:r w:rsidRPr="006C123C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6C123C">
        <w:rPr>
          <w:rFonts w:ascii="GHEA Mariam" w:hAnsi="GHEA Mariam" w:cs="Tahoma"/>
          <w:spacing w:val="-8"/>
          <w:sz w:val="24"/>
          <w:szCs w:val="24"/>
        </w:rPr>
        <w:t>Ազգային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ժողովի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կանոնակարգ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» </w:t>
      </w:r>
      <w:r w:rsidRPr="006C123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6C123C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6C123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6C123C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սահմանադրական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օրենքի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77-</w:t>
      </w:r>
      <w:r w:rsidRPr="006C123C">
        <w:rPr>
          <w:rFonts w:ascii="GHEA Mariam" w:hAnsi="GHEA Mariam" w:cs="Tahoma"/>
          <w:spacing w:val="-8"/>
          <w:sz w:val="24"/>
          <w:szCs w:val="24"/>
        </w:rPr>
        <w:t>րդ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հոդվածի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1-</w:t>
      </w:r>
      <w:r w:rsidRPr="006C123C">
        <w:rPr>
          <w:rFonts w:ascii="GHEA Mariam" w:hAnsi="GHEA Mariam" w:cs="Tahoma"/>
          <w:spacing w:val="-8"/>
          <w:sz w:val="24"/>
          <w:szCs w:val="24"/>
        </w:rPr>
        <w:t>ին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մասը՝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Հայաստանի</w:t>
      </w:r>
      <w:r w:rsidRPr="006C123C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C123C">
        <w:rPr>
          <w:rFonts w:ascii="GHEA Mariam" w:hAnsi="GHEA Mariam" w:cs="Tahoma"/>
          <w:spacing w:val="-8"/>
          <w:sz w:val="24"/>
          <w:szCs w:val="24"/>
        </w:rPr>
        <w:t>Հանրապետության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կառավարությունը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6B21F5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մ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6B21F5">
        <w:rPr>
          <w:rFonts w:ascii="GHEA Mariam" w:hAnsi="GHEA Mariam" w:cs="Tahoma"/>
          <w:sz w:val="24"/>
          <w:szCs w:val="24"/>
        </w:rPr>
        <w:t>է</w:t>
      </w:r>
      <w:r w:rsidRPr="006B21F5">
        <w:rPr>
          <w:rFonts w:ascii="GHEA Mariam" w:hAnsi="GHEA Mariam" w:cs="Tahoma"/>
          <w:sz w:val="24"/>
          <w:szCs w:val="24"/>
          <w:lang w:val="af-ZA"/>
        </w:rPr>
        <w:t>.</w:t>
      </w:r>
    </w:p>
    <w:p w:rsidR="006B21F5" w:rsidRPr="006B21F5" w:rsidRDefault="006B21F5" w:rsidP="006B21F5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6B21F5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6B21F5">
        <w:rPr>
          <w:rFonts w:ascii="GHEA Mariam" w:hAnsi="GHEA Mariam" w:cs="Tahoma"/>
          <w:sz w:val="24"/>
          <w:szCs w:val="24"/>
        </w:rPr>
        <w:t>Հավանություն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տալ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Sylfaen"/>
          <w:sz w:val="24"/>
          <w:szCs w:val="24"/>
          <w:lang w:val="af-ZA"/>
        </w:rPr>
        <w:t>«</w:t>
      </w:r>
      <w:r w:rsidRPr="006B21F5">
        <w:rPr>
          <w:rFonts w:ascii="GHEA Mariam" w:hAnsi="GHEA Mariam" w:cs="Calibri"/>
          <w:sz w:val="24"/>
          <w:szCs w:val="24"/>
        </w:rPr>
        <w:t>Վարչական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իրավախախտումների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վերաբերյալ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Հայաստանի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Հանրապետության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օրենսգրքում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փոփոխություն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կատարելու</w:t>
      </w:r>
      <w:r w:rsidRPr="006B21F5">
        <w:rPr>
          <w:rFonts w:ascii="GHEA Mariam" w:hAnsi="GHEA Mariam" w:cs="Calibri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Calibri"/>
          <w:sz w:val="24"/>
          <w:szCs w:val="24"/>
        </w:rPr>
        <w:t>մասին</w:t>
      </w:r>
      <w:r w:rsidRPr="006B21F5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6B21F5">
        <w:rPr>
          <w:rFonts w:ascii="GHEA Mariam" w:hAnsi="GHEA Mariam" w:cs="Sylfaen"/>
          <w:spacing w:val="-2"/>
          <w:sz w:val="24"/>
          <w:szCs w:val="24"/>
          <w:lang w:val="af-ZA"/>
        </w:rPr>
        <w:t>Հայաստանի Հանրապետության օրենքի նախագծի</w:t>
      </w:r>
      <w:r w:rsidRPr="006B21F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6B21F5">
        <w:rPr>
          <w:rFonts w:ascii="GHEA Mariam" w:hAnsi="GHEA Mariam"/>
          <w:iCs/>
          <w:sz w:val="24"/>
          <w:szCs w:val="24"/>
        </w:rPr>
        <w:t>Պ</w:t>
      </w:r>
      <w:r w:rsidRPr="006B21F5">
        <w:rPr>
          <w:rFonts w:ascii="GHEA Mariam" w:hAnsi="GHEA Mariam"/>
          <w:iCs/>
          <w:sz w:val="24"/>
          <w:szCs w:val="24"/>
          <w:lang w:val="fr-FR"/>
        </w:rPr>
        <w:t>-169-22.02.2022-</w:t>
      </w:r>
      <w:r w:rsidRPr="006B21F5">
        <w:rPr>
          <w:rFonts w:ascii="GHEA Mariam" w:hAnsi="GHEA Mariam"/>
          <w:iCs/>
          <w:sz w:val="24"/>
          <w:szCs w:val="24"/>
        </w:rPr>
        <w:t>ՊԻ</w:t>
      </w:r>
      <w:r w:rsidRPr="006B21F5">
        <w:rPr>
          <w:rFonts w:ascii="GHEA Mariam" w:hAnsi="GHEA Mariam"/>
          <w:iCs/>
          <w:sz w:val="24"/>
          <w:szCs w:val="24"/>
          <w:lang w:val="fr-FR"/>
        </w:rPr>
        <w:t>-011/0</w:t>
      </w:r>
      <w:r w:rsidRPr="006B21F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6B21F5">
        <w:rPr>
          <w:rFonts w:ascii="GHEA Mariam" w:hAnsi="GHEA Mariam" w:cs="Tahoma"/>
          <w:sz w:val="24"/>
          <w:szCs w:val="24"/>
        </w:rPr>
        <w:t>վերաբերյալ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Հայաստանի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Հանրապետության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կառավարության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 w:cs="Tahoma"/>
          <w:sz w:val="24"/>
          <w:szCs w:val="24"/>
        </w:rPr>
        <w:t>առաջարկությանը</w:t>
      </w:r>
      <w:r w:rsidRPr="006B21F5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6B21F5" w:rsidRPr="006B21F5" w:rsidRDefault="006B21F5" w:rsidP="006B21F5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6B21F5">
        <w:rPr>
          <w:rFonts w:ascii="GHEA Mariam" w:hAnsi="GHEA Mariam"/>
          <w:sz w:val="24"/>
          <w:szCs w:val="24"/>
          <w:lang w:val="af-ZA"/>
        </w:rPr>
        <w:t xml:space="preserve">2. </w:t>
      </w:r>
      <w:r w:rsidRPr="006B21F5">
        <w:rPr>
          <w:rFonts w:ascii="GHEA Mariam" w:hAnsi="GHEA Mariam"/>
          <w:sz w:val="24"/>
          <w:szCs w:val="24"/>
        </w:rPr>
        <w:t>Հայաստանի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Հանրապետության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կառավարության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առաջարկությունը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սահմանված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կարգով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ներկայացնել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Հայաստանի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Հանրապետության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Ազգային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ժողովի</w:t>
      </w:r>
      <w:r w:rsidRPr="006B21F5">
        <w:rPr>
          <w:rFonts w:ascii="GHEA Mariam" w:hAnsi="GHEA Mariam"/>
          <w:sz w:val="24"/>
          <w:szCs w:val="24"/>
          <w:lang w:val="af-ZA"/>
        </w:rPr>
        <w:t xml:space="preserve"> </w:t>
      </w:r>
      <w:r w:rsidRPr="006B21F5">
        <w:rPr>
          <w:rFonts w:ascii="GHEA Mariam" w:hAnsi="GHEA Mariam"/>
          <w:sz w:val="24"/>
          <w:szCs w:val="24"/>
        </w:rPr>
        <w:t>աշխատակազմ</w:t>
      </w:r>
      <w:r w:rsidRPr="006B21F5">
        <w:rPr>
          <w:rFonts w:ascii="GHEA Mariam" w:hAnsi="GHEA Mariam"/>
          <w:sz w:val="24"/>
          <w:szCs w:val="24"/>
          <w:lang w:val="af-ZA"/>
        </w:rPr>
        <w:t>:</w:t>
      </w:r>
    </w:p>
    <w:p w:rsidR="00BA5707" w:rsidRPr="006B21F5" w:rsidRDefault="00BA5707" w:rsidP="00447D26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66D72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66D72" w:rsidSect="006B21F5">
          <w:headerReference w:type="even" r:id="rId8"/>
          <w:headerReference w:type="default" r:id="rId9"/>
          <w:footerReference w:type="even" r:id="rId10"/>
          <w:pgSz w:w="11909" w:h="16834" w:code="9"/>
          <w:pgMar w:top="851" w:right="1136" w:bottom="568" w:left="1276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66D72" w:rsidRDefault="00A66D72" w:rsidP="00A66D72">
      <w:pPr>
        <w:ind w:left="993" w:right="571"/>
        <w:jc w:val="both"/>
        <w:rPr>
          <w:rFonts w:ascii="GHEA Grapalat" w:hAnsi="GHEA Grapalat" w:cs="Sylfaen"/>
          <w:lang w:val="af-ZA"/>
        </w:rPr>
      </w:pPr>
    </w:p>
    <w:p w:rsidR="00A66D72" w:rsidRPr="00A66D72" w:rsidRDefault="00A66D72" w:rsidP="00A66D72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A66D72">
        <w:rPr>
          <w:rFonts w:ascii="GHEA Mariam" w:hAnsi="GHEA Mariam" w:cs="Sylfaen"/>
          <w:sz w:val="24"/>
          <w:szCs w:val="24"/>
          <w:lang w:val="af-ZA"/>
        </w:rPr>
        <w:t>«</w:t>
      </w:r>
      <w:r w:rsidRPr="00A66D72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66D72">
        <w:rPr>
          <w:rFonts w:ascii="GHEA Mariam" w:hAnsi="GHEA Mariam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z w:val="24"/>
          <w:szCs w:val="24"/>
          <w:lang w:val="hy-AM"/>
        </w:rPr>
        <w:t>ՄԱՍԻՆ</w:t>
      </w:r>
      <w:r w:rsidRPr="00A66D72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A66D72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A66D72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A66D72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A66D7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A66D7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A66D7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A66D72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r w:rsidRPr="00A66D72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A66D72">
        <w:rPr>
          <w:rFonts w:ascii="GHEA Mariam" w:hAnsi="GHEA Mariam"/>
          <w:iCs/>
          <w:sz w:val="24"/>
          <w:szCs w:val="24"/>
          <w:lang w:val="fr-FR"/>
        </w:rPr>
        <w:t>-169-22.02.2022-</w:t>
      </w:r>
      <w:r w:rsidRPr="00A66D72">
        <w:rPr>
          <w:rFonts w:ascii="GHEA Mariam" w:hAnsi="GHEA Mariam" w:cs="Arial"/>
          <w:iCs/>
          <w:sz w:val="24"/>
          <w:szCs w:val="24"/>
          <w:lang w:val="hy-AM"/>
        </w:rPr>
        <w:t>ՊԻ</w:t>
      </w:r>
      <w:r w:rsidRPr="00A66D72">
        <w:rPr>
          <w:rFonts w:ascii="GHEA Mariam" w:hAnsi="GHEA Mariam"/>
          <w:iCs/>
          <w:sz w:val="24"/>
          <w:szCs w:val="24"/>
          <w:lang w:val="fr-FR"/>
        </w:rPr>
        <w:t>-011/0</w:t>
      </w:r>
      <w:r w:rsidRPr="00A66D72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A66D72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A66D72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A66D72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A66D72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A66D72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A66D72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</w:p>
    <w:p w:rsidR="00A66D72" w:rsidRPr="00AD0799" w:rsidRDefault="00A66D72" w:rsidP="00A66D72">
      <w:pPr>
        <w:ind w:left="993" w:right="571"/>
        <w:jc w:val="both"/>
        <w:rPr>
          <w:rFonts w:ascii="GHEA Grapalat" w:hAnsi="GHEA Grapalat" w:cs="Tahoma"/>
          <w:spacing w:val="-4"/>
          <w:lang w:val="af-ZA"/>
        </w:rPr>
      </w:pPr>
    </w:p>
    <w:p w:rsidR="00A66D72" w:rsidRPr="00AD0799" w:rsidRDefault="00A66D72" w:rsidP="00A66D72">
      <w:pPr>
        <w:ind w:left="993" w:right="571"/>
        <w:jc w:val="both"/>
        <w:rPr>
          <w:rFonts w:ascii="GHEA Grapalat" w:hAnsi="GHEA Grapalat" w:cs="Tahoma"/>
          <w:spacing w:val="-4"/>
          <w:lang w:val="af-ZA"/>
        </w:rPr>
      </w:pPr>
    </w:p>
    <w:p w:rsidR="00A66D72" w:rsidRPr="00AD0799" w:rsidRDefault="00A66D72" w:rsidP="00A66D72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իրավախախտումների վերաբերյալ </w:t>
      </w:r>
      <w:r w:rsidRPr="00A66D72">
        <w:rPr>
          <w:rFonts w:ascii="GHEA Mariam" w:hAnsi="GHEA Mariam"/>
          <w:sz w:val="24"/>
          <w:szCs w:val="24"/>
          <w:lang w:val="hy-AM"/>
        </w:rPr>
        <w:t>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66D72">
        <w:rPr>
          <w:rFonts w:ascii="GHEA Mariam" w:hAnsi="GHEA Mariam"/>
          <w:sz w:val="24"/>
          <w:szCs w:val="24"/>
          <w:lang w:val="hy-AM"/>
        </w:rPr>
        <w:t>տության օրենսգրքում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փոփոխություն </w:t>
      </w:r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A66D72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66D72">
        <w:rPr>
          <w:rFonts w:ascii="GHEA Mariam" w:hAnsi="GHEA Mariam"/>
          <w:sz w:val="24"/>
          <w:szCs w:val="24"/>
          <w:lang w:val="hy-AM"/>
        </w:rPr>
        <w:t>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66D72">
        <w:rPr>
          <w:rFonts w:ascii="GHEA Mariam" w:hAnsi="GHEA Mariam"/>
          <w:sz w:val="24"/>
          <w:szCs w:val="24"/>
          <w:lang w:val="hy-AM"/>
        </w:rPr>
        <w:t>պետության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օրենքի նախագծով </w:t>
      </w:r>
      <w:r w:rsidRPr="00A66D72">
        <w:rPr>
          <w:rFonts w:ascii="GHEA Mariam" w:hAnsi="GHEA Mariam"/>
          <w:sz w:val="24"/>
          <w:szCs w:val="24"/>
          <w:lang w:val="hy-AM"/>
        </w:rPr>
        <w:t xml:space="preserve">(այսուհետ՝ </w:t>
      </w:r>
      <w:r>
        <w:rPr>
          <w:rFonts w:ascii="GHEA Mariam" w:hAnsi="GHEA Mariam"/>
          <w:sz w:val="24"/>
          <w:szCs w:val="24"/>
          <w:lang w:val="hy-AM"/>
        </w:rPr>
        <w:t>ն</w:t>
      </w:r>
      <w:r w:rsidR="00C411E8">
        <w:rPr>
          <w:rFonts w:ascii="GHEA Mariam" w:hAnsi="GHEA Mariam"/>
          <w:sz w:val="24"/>
          <w:szCs w:val="24"/>
          <w:lang w:val="hy-AM"/>
        </w:rPr>
        <w:t>ախագիծ) առաջարկվում է</w:t>
      </w:r>
      <w:r w:rsidRPr="00A66D72">
        <w:rPr>
          <w:rFonts w:ascii="GHEA Mariam" w:hAnsi="GHEA Mariam"/>
          <w:sz w:val="24"/>
          <w:szCs w:val="24"/>
          <w:lang w:val="hy-AM"/>
        </w:rPr>
        <w:t xml:space="preserve"> 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իրավախախտումների վերաբերյալ </w:t>
      </w:r>
      <w:r w:rsidRPr="00A66D72">
        <w:rPr>
          <w:rFonts w:ascii="GHEA Mariam" w:hAnsi="GHEA Mariam"/>
          <w:sz w:val="24"/>
          <w:szCs w:val="24"/>
          <w:lang w:val="hy-AM"/>
        </w:rPr>
        <w:t>Հայաստանի Հանրապետության օրենսգրքի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A66D7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66D72">
        <w:rPr>
          <w:rFonts w:ascii="GHEA Mariam" w:hAnsi="GHEA Mariam"/>
          <w:sz w:val="24"/>
          <w:szCs w:val="24"/>
          <w:lang w:val="hy-AM"/>
        </w:rPr>
        <w:t>305-րդ հոդվածը շարադրել նոր խմբագրությամբ:</w:t>
      </w:r>
    </w:p>
    <w:p w:rsidR="00A66D72" w:rsidRPr="00A66D72" w:rsidRDefault="00A66D72" w:rsidP="00A66D72">
      <w:pPr>
        <w:spacing w:line="360" w:lineRule="auto"/>
        <w:ind w:right="126" w:firstLine="708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A66D72">
        <w:rPr>
          <w:rFonts w:ascii="GHEA Mariam" w:hAnsi="GHEA Mariam"/>
          <w:spacing w:val="-6"/>
          <w:sz w:val="24"/>
          <w:szCs w:val="24"/>
          <w:lang w:val="hy-AM"/>
        </w:rPr>
        <w:t xml:space="preserve">Նախագծով նախատեսվում է, որ 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 xml:space="preserve">Վարչական իրավախախտումների վերաբերյալ </w:t>
      </w:r>
      <w:r w:rsidRPr="00A66D72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օրենսգրքով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 xml:space="preserve"> նախատեսված իրավախախտումների համար նշանակված տուգանքի գումարի 70 տոկոսը, իսկ </w:t>
      </w:r>
      <w:r w:rsidRPr="00A66D72">
        <w:rPr>
          <w:rFonts w:ascii="GHEA Mariam" w:hAnsi="GHEA Mariam"/>
          <w:sz w:val="24"/>
          <w:szCs w:val="24"/>
          <w:lang w:val="hy-AM"/>
        </w:rPr>
        <w:t>օրենսգրքի</w:t>
      </w:r>
      <w:r w:rsidRPr="00A66D72">
        <w:rPr>
          <w:rFonts w:ascii="GHEA Mariam" w:hAnsi="GHEA Mariam"/>
          <w:bCs/>
          <w:sz w:val="24"/>
          <w:szCs w:val="24"/>
          <w:lang w:val="hy-AM"/>
        </w:rPr>
        <w:t xml:space="preserve"> 123-րդ, 123.1-ին, 123.3-րդ, 123.4-րդ, 123.5-րդ, 123.6-րդ, 123.7-րդ, 124-124.4-րդ, 124.6-րդ, 124.7-րդ, 125-րդ, 128-րդ, 129.2-րդ, 129.3-րդ, 131-րդ, 132-րդ, 135.2-րդ, 140-րդ և 170.3-րդ հոդվածներով 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նախատեսված իրավախախտումների համար</w:t>
      </w:r>
      <w:r w:rsidRPr="00A66D7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նշանակված տուգանքի գումարի 50 տոկոսը</w:t>
      </w:r>
      <w:r w:rsidR="008F5680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 xml:space="preserve"> տուգանք նշանակելու մասին որոշումը վարչական իրավախախտում կատարած անձին հանձնելու օրվանից ոչ ուշ, քան 10 օրվա ընթացքում վճարելու դեպքում</w:t>
      </w:r>
      <w:r w:rsidR="008F5680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 xml:space="preserve"> իրավախախտում կատարած անձանց նկատմամբ նշանակված տուգանքը համարվելու է ամբողջությամբ մուծված:</w:t>
      </w:r>
    </w:p>
    <w:p w:rsidR="00A66D72" w:rsidRPr="00A66D72" w:rsidRDefault="00A66D72" w:rsidP="00A66D72">
      <w:pPr>
        <w:spacing w:line="360" w:lineRule="auto"/>
        <w:ind w:right="126" w:firstLine="708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Նախագծի հիմնավորման համաձայն՝ «</w:t>
      </w:r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իրավախախտումների վերաբերյալ </w:t>
      </w:r>
      <w:r w:rsidRPr="00A66D72">
        <w:rPr>
          <w:rFonts w:ascii="GHEA Mariam" w:hAnsi="GHEA Mariam"/>
          <w:sz w:val="24"/>
          <w:szCs w:val="24"/>
          <w:lang w:val="hy-AM"/>
        </w:rPr>
        <w:t>Հայաստանի Հանրապետության օրենսգրքում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փոփոխություն </w:t>
      </w:r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կատա</w:t>
      </w:r>
      <w:r w:rsidR="009C1F9A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րելու</w:t>
      </w:r>
      <w:r w:rsidRPr="00A66D72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D7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66D72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օրենքի նախագծի ընդունումը բխում է մի կողմից վարչարարության բարելավման պետության </w:t>
      </w:r>
      <w:r w:rsidR="0023745B" w:rsidRPr="0023745B">
        <w:rPr>
          <w:rFonts w:ascii="GHEA Mariam" w:hAnsi="GHEA Mariam"/>
          <w:sz w:val="24"/>
          <w:szCs w:val="24"/>
          <w:shd w:val="clear" w:color="auto" w:fill="FFFFFF"/>
          <w:lang w:val="hy-AM"/>
        </w:rPr>
        <w:t>պոզիտիվ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պարտա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կանությունից, մյուս կողմից՝ </w:t>
      </w:r>
      <w:r w:rsidR="006360BC"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քաղաքացիների</w:t>
      </w:r>
      <w:r w:rsidR="006360BC"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օրինաչափ վարքագիծ դրսևորելու պարտականությունից: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Պայմանավորված իրավախախտումների առանձնահատկություններով՝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գծով տարբեր իրավախախտումների համար սահմանվում են տարբեր արտոնու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թյուններ՝ կապված իրավախախտման համար տուգանքը սահմանված ժամկետի ավարտից շուտ վճարելու փաստով: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 ակնկալվում է բարձրացնել քաղաքա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ցիների կողմից տուգանքները ժամանակին վճարելու պատրաստակամությունը՝ իջեց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նելով տուգանքի չափը օրինապահ քաղաքացիների համար:</w:t>
      </w:r>
    </w:p>
    <w:p w:rsidR="00A66D72" w:rsidRPr="00A66D72" w:rsidRDefault="00A66D72" w:rsidP="00A66D72">
      <w:pPr>
        <w:spacing w:line="360" w:lineRule="auto"/>
        <w:ind w:right="126" w:firstLine="708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Միաժամանակ, ներկայացված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ախագծի ընդունման արդյունքում էականորեն  կբեռնաթափվեն վարչական մարմինները, կնվազեն նրանց կողմից օգտագործվող միջոցները, քանզի վարչական ակտի բողոքարկման համար վճարվող պետական տուրքը որոշ դեպքերում գրեթե համասար է լինում 10-օրյա ժամկետում տուգանքի մուծման չափին, մյուս կողմից՝ կթեթևանա վարչական դատարանների գերծան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րաբեռնված վիճակը, 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ինչպես նաև քաղաքացիները կազատվեն «Դատական ակտերի հարկադիր կատարման մասին» ՀՀ օրենքի 67-րդ հոդվածով նախատեսված կատա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րողական գործողությունների կատարման ծախսերը վճարելու պարտա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կանու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թյունից: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Նախագծով առանձնացվել են մի քանի իրավախախտումներ, որոնց դեպքում արտոնության հնարավորությունն առավել է և տալիս է կիսով չափ վճարման ենթակա գումարը նվազեցնելու հնարավորություն, ինչը պայմանավորված է այդ իրավա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խախտումների առանձնահատկություններով և տեսակով: Մյուս իրավախախտու</w:t>
      </w:r>
      <w:r w:rsidR="00924D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="00924DD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 համար առաջարկվում է տուգանքի 30 տոկոսի չափով պակաս վճարելու արտոնության սահմանում: Տվյալ արտոնություններից օգտվելու պայման է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ախագծով առաջարկվող ժամկետում սահմանված տուգանքների վճարումը: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Հարկ է նշել նաև, որ ոչ սթափ վիճակում կատարված իրավախախտումների նկատմամբ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ախագծով նախատեսվող արտոնությունները չեն տարածվելու: 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Նախագծի վերաբերյալ առկա են հետևյալ դիտարկումները</w:t>
      </w:r>
      <w:r w:rsidR="00582C4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spacing w:val="-6"/>
          <w:sz w:val="24"/>
          <w:szCs w:val="24"/>
          <w:lang w:val="hy-AM"/>
        </w:rPr>
        <w:t xml:space="preserve">Նախագծի 1-ին հոդվածով նոր խմբագրությամբ շարադրվող 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305-րդ հոդվածի 8-րդ մասի համաձայն՝ </w:t>
      </w:r>
      <w:r w:rsidRPr="00A66D72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 xml:space="preserve">սույն օրենսգրքով նախատեսված վարչական իրավախախտում կատարելու համար նշանակված տուգանքի չափի յոթանասուն տոկոսը տուգանք նշանակելու որոշումը վարչական իրավախախտում կատարած անձին հանձնելու օրվանից ոչ ուշ, քան տասն օրվա ընթացքում վճարելու դեպքում տուգանքը </w:t>
      </w:r>
      <w:r w:rsidRPr="00A66D72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lastRenderedPageBreak/>
        <w:t>համարվում է ամբողջությամբ մուծված</w:t>
      </w:r>
      <w:r w:rsidR="00582C45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՝</w:t>
      </w:r>
      <w:r w:rsidRPr="00A66D72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 xml:space="preserve"> բացառությամբ սույն հոդվածի 9-րդ և 10-րդ մասով նախատեսված դեպքերի: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Այս առումով հարկ ենք համարում նշել, որ օրենսգրքով նախատեսված վարչական իրավախախտումները միմյանցից էականորեն տարբերվող բովանդա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կություն ունեցող արարքներ են և ունեն վտանգավորության տարբեր աստիճաններ, ուստի օրենսգրքով նախատեսված բոլոր վարչական իրավախախտումների համար նույն՝ տուգանքի չափի յոթանասուն տոկոս դրույքաչափ նախատեսելը խնդրահարույց է: Այս համատեքստում անհրաժեշտ է նկատի ունենալ նաև այն հանգամանքը, որ </w:t>
      </w:r>
      <w:r>
        <w:rPr>
          <w:rFonts w:ascii="GHEA Mariam" w:hAnsi="GHEA Mariam"/>
          <w:spacing w:val="-6"/>
          <w:sz w:val="24"/>
          <w:szCs w:val="24"/>
          <w:lang w:val="hy-AM"/>
        </w:rPr>
        <w:t>ն</w:t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 xml:space="preserve">ախագծի 1-ին հոդվածով նոր խմբագրությամբ շարադրվող 305-րդ հոդվածի 9-րդ մասով նախատեսվող որոշ վարչական իրավախախտումներ կապված են 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առավել վտանգի աղբյուրի՝ տրանսպորտային միջոցների շահագործման արդյունքում իրավախախ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տումների կատարման հետ, որոնց համար նախատեսված են առավել խիստ սանկցիաներ, որն իրավաչափ է և բխում է վարչական պատասխանատվության տրամաբանությունից: </w:t>
      </w:r>
    </w:p>
    <w:p w:rsidR="00A66D72" w:rsidRPr="00A66D72" w:rsidRDefault="00A66D72" w:rsidP="00A66D72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Ներկայացված տեքստով նախագծի ընդունումը կարող է հանգեցնել ճանա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պարհային երթևեկության անվտանգության ապահովման ոլորտի իրավախախ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թվի ավելացմանը, ինչպես նաև կանխարգելիչ և դաստիարակչական գործա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ռույթի բովանդակազրկմանը կամ անհիմն թուլացմանը:</w:t>
      </w:r>
    </w:p>
    <w:p w:rsidR="00A66D72" w:rsidRPr="00A66D72" w:rsidRDefault="00A66D72" w:rsidP="00A66D72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Միաժամանակ</w:t>
      </w:r>
      <w:r w:rsidRPr="00A66D72">
        <w:rPr>
          <w:rFonts w:ascii="GHEA Mariam" w:hAnsi="GHEA Mariam"/>
          <w:color w:val="000000"/>
          <w:sz w:val="24"/>
          <w:szCs w:val="24"/>
          <w:lang w:val="hy-AM"/>
        </w:rPr>
        <w:t xml:space="preserve"> անհրաժեշտ է նկատի ունենալ, որ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ախագծով նախատեսված իրավական կարգավորումների իրացման համար հստակ կառուցակարգեր սահման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 չեն, որոնք հնարավոր կդարձնեն դրանց արդյունավետ և նպատակային կիրառումը: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Անդրադառնալով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ախագծի հիմնավորվածությանը՝ հարկ է նշել, որ այն </w:t>
      </w:r>
      <w:r w:rsidRPr="00A66D72">
        <w:rPr>
          <w:rFonts w:ascii="GHEA Mariam" w:hAnsi="GHEA Mariam" w:cs="Sylfaen"/>
          <w:sz w:val="24"/>
          <w:szCs w:val="24"/>
          <w:lang w:val="hy-AM"/>
        </w:rPr>
        <w:t>հնարավորություն չի տալիս գնահատել</w:t>
      </w:r>
      <w:r w:rsidR="00694D87">
        <w:rPr>
          <w:rFonts w:ascii="GHEA Mariam" w:hAnsi="GHEA Mariam" w:cs="Sylfaen"/>
          <w:sz w:val="24"/>
          <w:szCs w:val="24"/>
          <w:lang w:val="hy-AM"/>
        </w:rPr>
        <w:t>ու</w:t>
      </w:r>
      <w:r w:rsidRPr="00A66D7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A66D72">
        <w:rPr>
          <w:rFonts w:ascii="GHEA Mariam" w:hAnsi="GHEA Mariam" w:cs="Sylfaen"/>
          <w:sz w:val="24"/>
          <w:szCs w:val="24"/>
          <w:lang w:val="hy-AM"/>
        </w:rPr>
        <w:t xml:space="preserve">ախագծով նախատեսվող իրավական կարգավորումների </w:t>
      </w:r>
      <w:r w:rsidRPr="00A66D72">
        <w:rPr>
          <w:rFonts w:ascii="GHEA Mariam" w:hAnsi="GHEA Mariam"/>
          <w:sz w:val="24"/>
          <w:szCs w:val="24"/>
          <w:shd w:val="clear" w:color="auto" w:fill="FFFFFF"/>
          <w:lang w:val="hy-AM"/>
        </w:rPr>
        <w:t>գործնական անհրաժեշտությունը, քանի որ</w:t>
      </w:r>
      <w:r w:rsidRPr="00A66D72">
        <w:rPr>
          <w:rFonts w:ascii="GHEA Mariam" w:hAnsi="GHEA Mariam" w:cs="Sylfaen"/>
          <w:sz w:val="24"/>
          <w:szCs w:val="24"/>
          <w:lang w:val="hy-AM"/>
        </w:rPr>
        <w:t xml:space="preserve"> պարզ չէ, թե ինչ ուսումնասիրությունների կամ վերլուծությունների հիման վրա է 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A66D72">
        <w:rPr>
          <w:rFonts w:ascii="GHEA Mariam" w:hAnsi="GHEA Mariam" w:cs="Sylfaen"/>
          <w:sz w:val="24"/>
          <w:szCs w:val="24"/>
          <w:lang w:val="hy-AM"/>
        </w:rPr>
        <w:t xml:space="preserve">ախագծի հեղինակը եկել այն եզրահանգման, որ նման կարգավորումների առկայության պարագայում 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էականորեն  կբեռնաթափվեն վարչական մարմինները, կնվազեն նրանց կողմից օգտագործվող միջոցները, կբարձրանա քաղաքացիների կողմից տուգանքները ժամանակին վճարելու պատրաստակամությունը, ինչպես նաև չի ներկայացվել որևէ 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տեղեկատվություն, որը հավաստում է, որ իրականացվել են վիճակագրական վերլուծություններ վարչական վարույթների ավելացման, ինչպես նաև տուգանքների չվճարման պատճառների վերաբերյալ: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lang w:val="hy-AM"/>
        </w:rPr>
        <w:t>Հարկ է նշել, որ ՀՀ ոստիկանության կողմից տրամադրված տեղեկատվության համաձայն՝ գանձված գումարների տոկոսների համեմատական արտահայտությամբ 2021 թվականին գանձման ենթակա գումարներից չի գանձվել 30, 2020 թվականին գանձման ենթակա գումարներից չի գանձվել 25, իսկ 2019 թվականին` 26 գումար կամ միջինացված ցուցանիշով յուրաքանչյուր տարի գանձվել է ընդհանուր գումարի 70-75-ը։</w:t>
      </w:r>
    </w:p>
    <w:p w:rsidR="00A66D72" w:rsidRPr="00A66D72" w:rsidRDefault="00A66D72" w:rsidP="00A66D72">
      <w:pPr>
        <w:spacing w:line="360" w:lineRule="auto"/>
        <w:ind w:firstLine="720"/>
        <w:jc w:val="both"/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Այս առումով հարկ է նշել, որ </w:t>
      </w:r>
      <w:r w:rsidRPr="00A66D72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 Հանրապետության սահմա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sz w:val="24"/>
          <w:szCs w:val="24"/>
          <w:shd w:val="clear" w:color="auto" w:fill="FFFFFF"/>
          <w:lang w:val="hy-AM"/>
        </w:rPr>
        <w:t>նա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դրական դատարանը, 2014 թվականի դեկտեմբերի 2-ի ՍԴՈ–1176 որոշմամբ անդրադառնալով օրենքների հիմնավորվածությանը, արձանագրել է. </w:t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</w:t>
      </w:r>
      <w:r w:rsidR="00160995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թյունների վերափոխմանն ու մի շարք այլ գործոններին համահունչ։ (…) Միևնույն ժամանակ, սահմանադրական դատարանը կարևորում է օրենսդրական փոփոխու</w:t>
      </w:r>
      <w:r w:rsidR="00160995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թյունների գործընթացի կայունությունն ու ներդաշնակությունը, օրենքների փոփոխ</w:t>
      </w:r>
      <w:r w:rsidR="00160995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ման հիմնավորվածությունն ու օբյեկտիվ անհրաժեշտությունը, ինչը հնարա</w:t>
      </w:r>
      <w:r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վորություն է ընձեռում իրավունքի սուբյեկտին իր վարքագիծը համապա</w:t>
      </w:r>
      <w:r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տաս</w:t>
      </w:r>
      <w:r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խանեցնել փոփոխ</w:t>
      </w:r>
      <w:r w:rsidR="00160995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i/>
          <w:sz w:val="24"/>
          <w:szCs w:val="24"/>
          <w:shd w:val="clear" w:color="auto" w:fill="FFFFFF"/>
          <w:lang w:val="hy-AM"/>
        </w:rPr>
        <w:t>վող օրենսդրական նորմերին` թույլ չտալով իրավակիրառ մարմինների կողմից ցուցաբերված սուբյեկտիվիզմի դրսևորում և հայեցողության ընդլայնում։»:</w:t>
      </w:r>
    </w:p>
    <w:p w:rsidR="00A66D72" w:rsidRPr="00A66D72" w:rsidRDefault="00A66D72" w:rsidP="00A66D72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վերոգրյալը՝ գտնում ենք, որ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ախագիծը և դրան կից ներ</w:t>
      </w:r>
      <w:r w:rsidR="00160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կայացված հիմնավորումը հնարավորություն չեն տալիս գնահատելու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ախագծով կատարվող փոփոխությունների ընդունման անհրաժեշտությունը և նպատակահար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մարությունը:</w:t>
      </w:r>
    </w:p>
    <w:p w:rsidR="00A66D72" w:rsidRPr="00A66D72" w:rsidRDefault="00A66D72" w:rsidP="00A66D72">
      <w:pPr>
        <w:spacing w:line="360" w:lineRule="auto"/>
        <w:ind w:right="126" w:firstLine="708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A66D72">
        <w:rPr>
          <w:rFonts w:ascii="GHEA Mariam" w:hAnsi="GHEA Mariam"/>
          <w:spacing w:val="-6"/>
          <w:sz w:val="24"/>
          <w:szCs w:val="24"/>
          <w:lang w:val="hy-AM"/>
        </w:rPr>
        <w:t>Ամփոփելով վերոշարադրյալը՝ Հայաստանի Հանրապետության կառավարու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A66D72">
        <w:rPr>
          <w:rFonts w:ascii="GHEA Mariam" w:hAnsi="GHEA Mariam"/>
          <w:spacing w:val="-6"/>
          <w:sz w:val="24"/>
          <w:szCs w:val="24"/>
          <w:lang w:val="hy-AM"/>
        </w:rPr>
        <w:t>թյունն առաջարկում է նախագծով քննարկվող օրենսգրքի գործող հոդվածը թողնել անփոփոխ:</w:t>
      </w:r>
    </w:p>
    <w:p w:rsidR="00A66D72" w:rsidRPr="00A66D72" w:rsidRDefault="00A66D72" w:rsidP="00A66D72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Միաժամանակ հայտնում ենք, որ ՀՀ կառավարությունը կնախաձեռնի համա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պարփակ ուսումնասիրություն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վ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արչական իրավախախտումների վերաբերյալ օրենս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գրքում անձի նկատմամբ նշանակված տուգանքի առավել սեղմ ժամկետում վճարման հետ կապված խրախուսական նորմեր նախատեսելու հարցի վերաբերյալ՝ վերլուծելով նաև վիճակագրական տվյալները և որից հետո</w:t>
      </w:r>
      <w:r w:rsidR="00160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ըստ անհրաժեշտության՝ կախված ուսում</w:t>
      </w:r>
      <w:r w:rsidR="001609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A66D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ասիրության արդյունքներից, հանդես կգա համապատասխան օրենսդրական նախաձեռնությամբ։</w:t>
      </w:r>
    </w:p>
    <w:p w:rsidR="009D0599" w:rsidRPr="00A66D72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A66D72" w:rsidSect="00A66D72">
      <w:pgSz w:w="11909" w:h="16834" w:code="9"/>
      <w:pgMar w:top="1276" w:right="1136" w:bottom="85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D16" w:rsidRDefault="00485D16">
      <w:r>
        <w:separator/>
      </w:r>
    </w:p>
  </w:endnote>
  <w:endnote w:type="continuationSeparator" w:id="0">
    <w:p w:rsidR="00485D16" w:rsidRDefault="0048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D16" w:rsidRDefault="00485D16">
      <w:r>
        <w:separator/>
      </w:r>
    </w:p>
  </w:footnote>
  <w:footnote w:type="continuationSeparator" w:id="0">
    <w:p w:rsidR="00485D16" w:rsidRDefault="00485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1F9A">
      <w:rPr>
        <w:rStyle w:val="PageNumber"/>
        <w:noProof/>
      </w:rPr>
      <w:t>5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0995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45B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1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C45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0BC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4D87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1F5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23C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122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271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680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D8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1F9A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D72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1E8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6795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0BF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145</cp:revision>
  <cp:lastPrinted>2021-07-09T08:40:00Z</cp:lastPrinted>
  <dcterms:created xsi:type="dcterms:W3CDTF">2021-03-09T05:28:00Z</dcterms:created>
  <dcterms:modified xsi:type="dcterms:W3CDTF">2022-03-17T06:39:00Z</dcterms:modified>
</cp:coreProperties>
</file>