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847E" w14:textId="77777777" w:rsidR="00D31597" w:rsidRPr="003D08E6" w:rsidRDefault="00D31597" w:rsidP="003D08E6">
      <w:pPr>
        <w:shd w:val="clear" w:color="auto" w:fill="FFFFFF"/>
        <w:spacing w:line="360" w:lineRule="auto"/>
        <w:ind w:firstLine="720"/>
        <w:contextualSpacing/>
        <w:jc w:val="both"/>
        <w:rPr>
          <w:rFonts w:ascii="GHEA Grapalat" w:eastAsia="GHEA Grapalat" w:hAnsi="GHEA Grapalat" w:cs="GHEA Grapalat"/>
          <w:lang w:val="en-US"/>
        </w:rPr>
      </w:pPr>
    </w:p>
    <w:p w14:paraId="0479D8FA" w14:textId="77777777" w:rsidR="00D31597" w:rsidRPr="003D08E6" w:rsidRDefault="001D7791" w:rsidP="003D08E6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</w:rPr>
      </w:pPr>
      <w:r w:rsidRPr="003D08E6">
        <w:rPr>
          <w:rFonts w:ascii="GHEA Grapalat" w:hAnsi="GHEA Grapalat"/>
          <w:b/>
        </w:rPr>
        <w:t>ՀԻՄՆԱՎՈՐՈՒՄ</w:t>
      </w:r>
    </w:p>
    <w:p w14:paraId="5185A465" w14:textId="77777777" w:rsidR="00D31597" w:rsidRPr="003D08E6" w:rsidRDefault="005644E3" w:rsidP="003D08E6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</w:rPr>
      </w:pPr>
      <w:r w:rsidRPr="003D08E6">
        <w:rPr>
          <w:rFonts w:ascii="GHEA Grapalat" w:hAnsi="GHEA Grapalat"/>
          <w:b/>
          <w:bCs/>
          <w:color w:val="000000"/>
        </w:rPr>
        <w:t>«</w:t>
      </w:r>
      <w:r w:rsidRPr="003D08E6">
        <w:rPr>
          <w:rFonts w:ascii="GHEA Grapalat" w:hAnsi="GHEA Grapalat"/>
          <w:b/>
        </w:rPr>
        <w:t>ԱՊՕՐԻՆԻ ԾԱԳՈՒՄ ՈՒՆԵՑՈՂ ԳՈՒՅՔԻ ԲՌՆԱԳԱՆՁՄԱՆ ՄԱՍԻՆ</w:t>
      </w:r>
      <w:r w:rsidR="008C1F89" w:rsidRPr="003D08E6">
        <w:rPr>
          <w:rFonts w:ascii="GHEA Grapalat" w:hAnsi="GHEA Grapalat"/>
          <w:b/>
        </w:rPr>
        <w:t>»</w:t>
      </w:r>
      <w:r w:rsidRPr="003D08E6">
        <w:rPr>
          <w:rFonts w:ascii="GHEA Grapalat" w:hAnsi="GHEA Grapalat"/>
          <w:b/>
        </w:rPr>
        <w:t xml:space="preserve"> ՕՐԵՆՔՈՒՄ ՓՈՓՈԽՈՒԹՅՈՒՆՆԵՐ ԵՎ ԼՐԱՑՈՒՄՆԵՐ ԿԱՏԱՐԵԼՈՒ</w:t>
      </w:r>
      <w:r w:rsidRPr="003D08E6">
        <w:rPr>
          <w:rFonts w:ascii="GHEA Grapalat" w:hAnsi="GHEA Grapalat"/>
        </w:rPr>
        <w:t xml:space="preserve"> </w:t>
      </w:r>
      <w:r w:rsidRPr="003D08E6">
        <w:rPr>
          <w:rFonts w:ascii="GHEA Grapalat" w:hAnsi="GHEA Grapalat"/>
          <w:b/>
        </w:rPr>
        <w:t>ՄԱՍԻՆ</w:t>
      </w:r>
      <w:r w:rsidRPr="003D08E6">
        <w:rPr>
          <w:rFonts w:ascii="GHEA Grapalat" w:hAnsi="GHEA Grapalat"/>
          <w:b/>
          <w:bCs/>
          <w:color w:val="000000"/>
        </w:rPr>
        <w:t xml:space="preserve">» ՕՐԵՆՔԻ ՆԱԽԱԳԾԻ </w:t>
      </w:r>
      <w:r w:rsidR="001D7791" w:rsidRPr="003D08E6">
        <w:rPr>
          <w:rFonts w:ascii="GHEA Grapalat" w:eastAsia="GHEA Grapalat" w:hAnsi="GHEA Grapalat" w:cs="GHEA Grapalat"/>
          <w:b/>
        </w:rPr>
        <w:t>ԸՆԴՈՒՆՄԱՆ ԱՆՀՐԱԺԵՇՏՈՒԹՅԱՆ</w:t>
      </w:r>
    </w:p>
    <w:p w14:paraId="0F008BAA" w14:textId="77777777" w:rsidR="00D31597" w:rsidRPr="003D08E6" w:rsidRDefault="00D31597" w:rsidP="003D08E6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</w:rPr>
      </w:pPr>
    </w:p>
    <w:p w14:paraId="22FAAB7D" w14:textId="77777777" w:rsidR="00D31597" w:rsidRPr="003D08E6" w:rsidRDefault="00D31597" w:rsidP="003D08E6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</w:rPr>
      </w:pPr>
    </w:p>
    <w:p w14:paraId="05918CC4" w14:textId="77777777" w:rsidR="00D31597" w:rsidRPr="003D08E6" w:rsidRDefault="001D7791" w:rsidP="003D08E6">
      <w:pPr>
        <w:numPr>
          <w:ilvl w:val="0"/>
          <w:numId w:val="2"/>
        </w:numPr>
        <w:shd w:val="clear" w:color="auto" w:fill="FFFFFF"/>
        <w:spacing w:line="360" w:lineRule="auto"/>
        <w:ind w:left="0" w:firstLine="720"/>
        <w:contextualSpacing/>
        <w:jc w:val="center"/>
        <w:rPr>
          <w:rFonts w:ascii="GHEA Grapalat" w:eastAsia="GHEA Grapalat" w:hAnsi="GHEA Grapalat" w:cs="GHEA Grapalat"/>
          <w:b/>
        </w:rPr>
      </w:pPr>
      <w:r w:rsidRPr="003D08E6">
        <w:rPr>
          <w:rFonts w:ascii="GHEA Grapalat" w:eastAsia="GHEA Grapalat" w:hAnsi="GHEA Grapalat" w:cs="GHEA Grapalat"/>
          <w:b/>
        </w:rPr>
        <w:t>ԸՆԹԱՑԻԿ ԻՐԱՎԻՃԱԿԸ ԵՎ ԻՐԱՎԱԿԱՆ ԱԿՏԻ ԸՆԴՈՒՆՄԱՆ ԱՆՀՐԱԺԵՇՏՈՒԹՅՈՒՆԸ</w:t>
      </w:r>
    </w:p>
    <w:p w14:paraId="3BD1F114" w14:textId="77777777" w:rsidR="00D31597" w:rsidRPr="003D08E6" w:rsidRDefault="00D31597" w:rsidP="003D08E6">
      <w:pPr>
        <w:shd w:val="clear" w:color="auto" w:fill="FFFFFF"/>
        <w:spacing w:line="360" w:lineRule="auto"/>
        <w:ind w:left="927" w:firstLine="720"/>
        <w:contextualSpacing/>
        <w:rPr>
          <w:rFonts w:ascii="GHEA Grapalat" w:eastAsia="GHEA Grapalat" w:hAnsi="GHEA Grapalat" w:cs="GHEA Grapalat"/>
          <w:b/>
        </w:rPr>
      </w:pPr>
    </w:p>
    <w:p w14:paraId="001A56C0" w14:textId="77777777" w:rsidR="00D31597" w:rsidRPr="003D08E6" w:rsidRDefault="001D7791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Օրենքի նախագծի ընդունումը </w:t>
      </w:r>
      <w:r w:rsidR="00E73F58" w:rsidRPr="003D08E6">
        <w:rPr>
          <w:rFonts w:ascii="GHEA Grapalat" w:eastAsia="GHEA Grapalat" w:hAnsi="GHEA Grapalat" w:cs="GHEA Grapalat"/>
          <w:color w:val="000000"/>
        </w:rPr>
        <w:t xml:space="preserve">գլխավորապես </w:t>
      </w:r>
      <w:r w:rsidRPr="003D08E6">
        <w:rPr>
          <w:rFonts w:ascii="GHEA Grapalat" w:eastAsia="GHEA Grapalat" w:hAnsi="GHEA Grapalat" w:cs="GHEA Grapalat"/>
          <w:color w:val="000000"/>
        </w:rPr>
        <w:t xml:space="preserve">պայմանավորված է ապօրինի ծագում ունեցող գույքի բռնագանձման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վարույթ</w:t>
      </w:r>
      <w:r w:rsidR="00E73F58" w:rsidRPr="003D08E6">
        <w:rPr>
          <w:rFonts w:ascii="GHEA Grapalat" w:eastAsia="GHEA Grapalat" w:hAnsi="GHEA Grapalat" w:cs="GHEA Grapalat"/>
          <w:color w:val="000000"/>
        </w:rPr>
        <w:t>ների</w:t>
      </w:r>
      <w:proofErr w:type="spellEnd"/>
      <w:r w:rsidR="00E73F58" w:rsidRPr="003D08E6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E73F58" w:rsidRPr="003D08E6">
        <w:rPr>
          <w:rFonts w:ascii="GHEA Grapalat" w:eastAsia="GHEA Grapalat" w:hAnsi="GHEA Grapalat" w:cs="GHEA Grapalat"/>
          <w:color w:val="000000"/>
        </w:rPr>
        <w:t>նախաձեռնման</w:t>
      </w:r>
      <w:proofErr w:type="spellEnd"/>
      <w:r w:rsidR="00E73F58" w:rsidRPr="003D08E6">
        <w:rPr>
          <w:rFonts w:ascii="GHEA Grapalat" w:eastAsia="GHEA Grapalat" w:hAnsi="GHEA Grapalat" w:cs="GHEA Grapalat"/>
          <w:color w:val="000000"/>
        </w:rPr>
        <w:t xml:space="preserve"> հիմքերի, ուսումնասիրության ժամկետի և գույքի բռնագանձման հնարավորությունների վերանայման </w:t>
      </w:r>
      <w:r w:rsidRPr="003D08E6">
        <w:rPr>
          <w:rFonts w:ascii="GHEA Grapalat" w:eastAsia="GHEA Grapalat" w:hAnsi="GHEA Grapalat" w:cs="GHEA Grapalat"/>
          <w:color w:val="000000"/>
        </w:rPr>
        <w:t>անհրաժեշտությամբ։</w:t>
      </w:r>
    </w:p>
    <w:p w14:paraId="0D7EA5FF" w14:textId="77777777" w:rsidR="00E73F58" w:rsidRPr="003D08E6" w:rsidRDefault="00E73F58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Ապօրինի ծագում ունեցող գույքի բռնագանձման գործընթացն ուղղված է գույքի դեմ, որի ձեռքբերումն էական ծավալներով չի հիմնավորվում օրինական եկամտի աղբյուրներով։ Այս ինստիտուտը կարող է դառնալ ֆինանսական հանցագործությունների կանխարգելման և հանցավոր եկամուտների շրջանառության դեմ պայքարի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կարևոր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գործիք։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Միևնույն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ժամանակ, օրենքի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կիրարկման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նախնական փուլում արձանագրվել են որոշ գործնական խնդիրներ, որոնք կարող են խոչընդոտել օրենքի նպատակների իրացմանը։</w:t>
      </w:r>
    </w:p>
    <w:p w14:paraId="4EB2DB7D" w14:textId="77777777" w:rsidR="00D31597" w:rsidRPr="003D08E6" w:rsidRDefault="001D7791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Այսպիսով, սույն նախագիծը նպատակ է հետապնդում </w:t>
      </w:r>
      <w:r w:rsidR="00E73F58" w:rsidRPr="003D08E6">
        <w:rPr>
          <w:rFonts w:ascii="GHEA Grapalat" w:eastAsia="GHEA Grapalat" w:hAnsi="GHEA Grapalat" w:cs="GHEA Grapalat"/>
          <w:color w:val="000000"/>
        </w:rPr>
        <w:t>վերանայելու «Ապօրինի ծագում ունեցող գույքի բռնագանձման մասին» օրենքի</w:t>
      </w:r>
      <w:r w:rsidR="006F5B2F" w:rsidRPr="003D08E6">
        <w:rPr>
          <w:rFonts w:ascii="GHEA Grapalat" w:eastAsia="GHEA Grapalat" w:hAnsi="GHEA Grapalat" w:cs="GHEA Grapalat"/>
          <w:color w:val="000000"/>
        </w:rPr>
        <w:t xml:space="preserve"> (այսուհետ՝ Օրենք)</w:t>
      </w:r>
      <w:r w:rsidR="00E73F58" w:rsidRPr="003D08E6">
        <w:rPr>
          <w:rFonts w:ascii="GHEA Grapalat" w:eastAsia="GHEA Grapalat" w:hAnsi="GHEA Grapalat" w:cs="GHEA Grapalat"/>
          <w:color w:val="000000"/>
        </w:rPr>
        <w:t xml:space="preserve"> որոշ </w:t>
      </w:r>
      <w:proofErr w:type="spellStart"/>
      <w:r w:rsidR="00E73F58" w:rsidRPr="003D08E6">
        <w:rPr>
          <w:rFonts w:ascii="GHEA Grapalat" w:eastAsia="GHEA Grapalat" w:hAnsi="GHEA Grapalat" w:cs="GHEA Grapalat"/>
          <w:color w:val="000000"/>
        </w:rPr>
        <w:t>կառուցակարգեր</w:t>
      </w:r>
      <w:proofErr w:type="spellEnd"/>
      <w:r w:rsidR="00E73F58" w:rsidRPr="003D08E6">
        <w:rPr>
          <w:rFonts w:ascii="GHEA Grapalat" w:eastAsia="GHEA Grapalat" w:hAnsi="GHEA Grapalat" w:cs="GHEA Grapalat"/>
          <w:color w:val="000000"/>
        </w:rPr>
        <w:t>՝ միաժամանակ իրականացնելով որոշ տեխնիկական շտկումներ։</w:t>
      </w:r>
    </w:p>
    <w:p w14:paraId="3E9B26EE" w14:textId="77777777" w:rsidR="00D31597" w:rsidRPr="003D08E6" w:rsidRDefault="00D31597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61314051" w14:textId="77777777" w:rsidR="00D31597" w:rsidRPr="003D08E6" w:rsidRDefault="001D7791" w:rsidP="003D08E6">
      <w:pPr>
        <w:numPr>
          <w:ilvl w:val="0"/>
          <w:numId w:val="2"/>
        </w:numP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</w:rPr>
      </w:pPr>
      <w:r w:rsidRPr="003D08E6">
        <w:rPr>
          <w:rFonts w:ascii="GHEA Grapalat" w:eastAsia="GHEA Grapalat" w:hAnsi="GHEA Grapalat" w:cs="GHEA Grapalat"/>
          <w:b/>
        </w:rPr>
        <w:t>ԱՌԱՋԱՐԿՎՈՂ ԿԱՐԳԱՎՈՐՄԱՆ ԲՆՈՒՅԹԸ</w:t>
      </w:r>
    </w:p>
    <w:p w14:paraId="397D44AF" w14:textId="77777777" w:rsidR="00D31597" w:rsidRPr="003D08E6" w:rsidRDefault="00D31597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15C0BE93" w14:textId="77777777" w:rsidR="00D31597" w:rsidRPr="003D08E6" w:rsidRDefault="006F5B2F" w:rsidP="003D0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i/>
          <w:color w:val="000000"/>
        </w:rPr>
      </w:pPr>
      <w:r w:rsidRPr="003D08E6">
        <w:rPr>
          <w:rFonts w:ascii="GHEA Grapalat" w:eastAsia="GHEA Grapalat" w:hAnsi="GHEA Grapalat" w:cs="GHEA Grapalat"/>
          <w:b/>
          <w:i/>
          <w:color w:val="000000"/>
        </w:rPr>
        <w:t>Պաշտոնատար անձանց շրջանակը</w:t>
      </w:r>
    </w:p>
    <w:p w14:paraId="1E5BCE71" w14:textId="77777777" w:rsidR="006F5B2F" w:rsidRPr="003D08E6" w:rsidRDefault="006F5B2F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b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Օրենքի 3-րդ հոդվածի 1-ին մասի 11-րդ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կետում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բացահայտված է «պաշտոնատար անձ» հասկացության բովանդակությունը, որի համաձայն՝ պաշտոնատար անձ է համարվում ուսումնասիրություն</w:t>
      </w:r>
      <w:r w:rsidR="00170F8A" w:rsidRPr="003D08E6">
        <w:rPr>
          <w:rFonts w:ascii="GHEA Grapalat" w:eastAsia="GHEA Grapalat" w:hAnsi="GHEA Grapalat" w:cs="GHEA Grapalat"/>
          <w:color w:val="000000"/>
        </w:rPr>
        <w:t>ը</w:t>
      </w:r>
      <w:r w:rsidRPr="003D08E6">
        <w:rPr>
          <w:rFonts w:ascii="GHEA Grapalat" w:eastAsia="GHEA Grapalat" w:hAnsi="GHEA Grapalat" w:cs="GHEA Grapalat"/>
          <w:color w:val="000000"/>
        </w:rPr>
        <w:t xml:space="preserve"> սկսելու պահին «Հանրային ծառայության մասին» օրենքի գործող խմբագրության իմաստով հանրային պաշտոն զբաղեցնող կամ զբաղեցրած անձը կամ այդպիսի պաշտոնին համարժեք պաշտոն զբաղեցրած անձը։ Անձը համարվում է համարժեք պաշտոն զբաղեցրած, եթե իր իրականացրած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գործառույթներին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նույնական կամ նմանատիպ գործառույթներ իրականացնող անձն ուսումնասիրություն</w:t>
      </w:r>
      <w:r w:rsidR="00170F8A" w:rsidRPr="003D08E6">
        <w:rPr>
          <w:rFonts w:ascii="GHEA Grapalat" w:eastAsia="GHEA Grapalat" w:hAnsi="GHEA Grapalat" w:cs="GHEA Grapalat"/>
          <w:color w:val="000000"/>
        </w:rPr>
        <w:t>ը</w:t>
      </w:r>
      <w:r w:rsidRPr="003D08E6">
        <w:rPr>
          <w:rFonts w:ascii="GHEA Grapalat" w:eastAsia="GHEA Grapalat" w:hAnsi="GHEA Grapalat" w:cs="GHEA Grapalat"/>
          <w:color w:val="000000"/>
        </w:rPr>
        <w:t xml:space="preserve"> սկսելու պահին «Հանրային ծառայության մասին» օրենքի գործող խմբագրության իմաստով համարվում է հանրային պաշտոն զբաղեցնող անձ:</w:t>
      </w:r>
    </w:p>
    <w:p w14:paraId="430B9201" w14:textId="77777777" w:rsidR="006F5B2F" w:rsidRPr="003D08E6" w:rsidRDefault="006F5B2F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b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«Հանրային ծառայության մասին» օրենքի </w:t>
      </w:r>
      <w:r w:rsidR="00051856" w:rsidRPr="003D08E6">
        <w:rPr>
          <w:rFonts w:ascii="GHEA Grapalat" w:eastAsia="GHEA Grapalat" w:hAnsi="GHEA Grapalat" w:cs="GHEA Grapalat"/>
          <w:color w:val="000000"/>
        </w:rPr>
        <w:t>34</w:t>
      </w:r>
      <w:r w:rsidRPr="003D08E6">
        <w:rPr>
          <w:rFonts w:ascii="GHEA Grapalat" w:eastAsia="GHEA Grapalat" w:hAnsi="GHEA Grapalat" w:cs="GHEA Grapalat"/>
          <w:color w:val="000000"/>
        </w:rPr>
        <w:t xml:space="preserve">-րդ հոդվածի 1-ին մասի համաձայն՝ </w:t>
      </w:r>
      <w:r w:rsidR="00051856" w:rsidRPr="003D08E6">
        <w:rPr>
          <w:rFonts w:ascii="GHEA Grapalat" w:eastAsia="GHEA Grapalat" w:hAnsi="GHEA Grapalat" w:cs="GHEA Grapalat"/>
          <w:color w:val="000000"/>
        </w:rPr>
        <w:t xml:space="preserve">այդ օրենքի իմաստով՝ հայտարարատու պաշտոնատար անձինք են պետական պաշտոն զբաղեցնող անձինք, համայնքների ղեկավարների, նրանց տեղակալների, համայնքապետարանի աշխատակազմի քարտուղարների, 15 000 և ավելի բնակչություն ունեցող համայնքների ավագանու անդամների, Երևան համայնքի վարչական շրջանների ղեկավարների, նրանց տեղակալների պաշտոն զբաղեցնող անձինք, </w:t>
      </w:r>
      <w:proofErr w:type="spellStart"/>
      <w:r w:rsidR="00051856" w:rsidRPr="003D08E6">
        <w:rPr>
          <w:rFonts w:ascii="GHEA Grapalat" w:eastAsia="GHEA Grapalat" w:hAnsi="GHEA Grapalat" w:cs="GHEA Grapalat"/>
          <w:color w:val="000000"/>
        </w:rPr>
        <w:t>Երևանի</w:t>
      </w:r>
      <w:proofErr w:type="spellEnd"/>
      <w:r w:rsidR="00051856" w:rsidRPr="003D08E6">
        <w:rPr>
          <w:rFonts w:ascii="GHEA Grapalat" w:eastAsia="GHEA Grapalat" w:hAnsi="GHEA Grapalat" w:cs="GHEA Grapalat"/>
          <w:color w:val="000000"/>
        </w:rPr>
        <w:t xml:space="preserve"> քաղաքապետարանի աշխատակազմի քարտուղարի, Երևան համայնքի ավագանու անդամների, քաղաքացիական ծառայության ղեկավար պաշտոնների 1-ին և 2-րդ ենթախմբերի պաշտոն զբաղեցնող անձինք, արտաքին գործերի նախարարության գլխավոր քարտուղարը, զինվորական ծառայության բարձրագույն հրամանատարական և բարձրագույն սպայական պաշտոններ զբաղեցնող անձինք, հարկային, մաքսային ծառայությունների բարձրագույն և գլխավոր պաշտոններ զբաղեցնող անձինք, ոստիկանության, քրեակատարողական և դատական ակտերի հարկադիր կատարումն ապահովող ծառայությունների գլխավոր պաշտոն զբաղեցնող անձինք, Ազգային ժողովի աշխատակազմում պետական </w:t>
      </w:r>
      <w:r w:rsidR="00051856" w:rsidRPr="003D08E6">
        <w:rPr>
          <w:rFonts w:ascii="GHEA Grapalat" w:eastAsia="GHEA Grapalat" w:hAnsi="GHEA Grapalat" w:cs="GHEA Grapalat"/>
          <w:color w:val="000000"/>
        </w:rPr>
        <w:lastRenderedPageBreak/>
        <w:t>ծառայության և դատական կարգադրիչների ծառայության բարձրագույն պաշտոններ զբաղեցնող անձինք:</w:t>
      </w:r>
    </w:p>
    <w:p w14:paraId="2DECF8BF" w14:textId="77777777" w:rsidR="00DD07D3" w:rsidRPr="003D08E6" w:rsidRDefault="006F5B2F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b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>Այսպիսով, ակնհայտ է, որ</w:t>
      </w:r>
      <w:r w:rsidR="00051856" w:rsidRPr="003D08E6">
        <w:rPr>
          <w:rFonts w:ascii="GHEA Grapalat" w:eastAsia="GHEA Grapalat" w:hAnsi="GHEA Grapalat" w:cs="GHEA Grapalat"/>
          <w:color w:val="000000"/>
        </w:rPr>
        <w:t xml:space="preserve"> </w:t>
      </w:r>
      <w:r w:rsidRPr="003D08E6">
        <w:rPr>
          <w:rFonts w:ascii="GHEA Grapalat" w:eastAsia="GHEA Grapalat" w:hAnsi="GHEA Grapalat" w:cs="GHEA Grapalat"/>
          <w:color w:val="000000"/>
        </w:rPr>
        <w:t xml:space="preserve">Օրենքի գործող խմբագրությամբ «պաշտոնատար անձ» հասկացությունը չի ներառում </w:t>
      </w:r>
      <w:r w:rsidR="00051856" w:rsidRPr="003D08E6">
        <w:rPr>
          <w:rFonts w:ascii="GHEA Grapalat" w:eastAsia="GHEA Grapalat" w:hAnsi="GHEA Grapalat" w:cs="GHEA Grapalat"/>
          <w:color w:val="000000"/>
        </w:rPr>
        <w:t>«Հանրային ծառայության մասին» օրենքով նախատեսված հայտարարագիր ներկայացնելու պարտականություն ունեցող պաշտոնատար անձանց մի մասին</w:t>
      </w:r>
      <w:r w:rsidRPr="003D08E6">
        <w:rPr>
          <w:rFonts w:ascii="GHEA Grapalat" w:eastAsia="GHEA Grapalat" w:hAnsi="GHEA Grapalat" w:cs="GHEA Grapalat"/>
          <w:color w:val="000000"/>
        </w:rPr>
        <w:t xml:space="preserve">: Արդյունքում, օրինակ՝ պետական եկամուտների կոմիտեի վարչության պետը կամ </w:t>
      </w:r>
      <w:r w:rsidR="00DD07D3" w:rsidRPr="003D08E6">
        <w:rPr>
          <w:rFonts w:ascii="GHEA Grapalat" w:eastAsia="GHEA Grapalat" w:hAnsi="GHEA Grapalat" w:cs="GHEA Grapalat"/>
          <w:color w:val="000000"/>
        </w:rPr>
        <w:t xml:space="preserve">ոստիկանության տարածքային </w:t>
      </w:r>
      <w:proofErr w:type="spellStart"/>
      <w:r w:rsidR="00DD07D3" w:rsidRPr="003D08E6">
        <w:rPr>
          <w:rFonts w:ascii="GHEA Grapalat" w:eastAsia="GHEA Grapalat" w:hAnsi="GHEA Grapalat" w:cs="GHEA Grapalat"/>
          <w:color w:val="000000"/>
        </w:rPr>
        <w:t>ստորբաժանման</w:t>
      </w:r>
      <w:proofErr w:type="spellEnd"/>
      <w:r w:rsidR="00DD07D3" w:rsidRPr="003D08E6">
        <w:rPr>
          <w:rFonts w:ascii="GHEA Grapalat" w:eastAsia="GHEA Grapalat" w:hAnsi="GHEA Grapalat" w:cs="GHEA Grapalat"/>
          <w:color w:val="000000"/>
        </w:rPr>
        <w:t xml:space="preserve"> ղեկավարը</w:t>
      </w:r>
      <w:r w:rsidRPr="003D08E6">
        <w:rPr>
          <w:rFonts w:ascii="GHEA Grapalat" w:eastAsia="GHEA Grapalat" w:hAnsi="GHEA Grapalat" w:cs="GHEA Grapalat"/>
          <w:color w:val="000000"/>
        </w:rPr>
        <w:t xml:space="preserve"> հանդիսանում են </w:t>
      </w:r>
      <w:r w:rsidR="00DD07D3" w:rsidRPr="003D08E6">
        <w:rPr>
          <w:rFonts w:ascii="GHEA Grapalat" w:eastAsia="GHEA Grapalat" w:hAnsi="GHEA Grapalat" w:cs="GHEA Grapalat"/>
          <w:color w:val="000000"/>
        </w:rPr>
        <w:t>հայտարարագիր ներկայացնելու պարտականություն ունեցող պաշտոնատար</w:t>
      </w:r>
      <w:r w:rsidRPr="003D08E6">
        <w:rPr>
          <w:rFonts w:ascii="GHEA Grapalat" w:eastAsia="GHEA Grapalat" w:hAnsi="GHEA Grapalat" w:cs="GHEA Grapalat"/>
          <w:color w:val="000000"/>
        </w:rPr>
        <w:t xml:space="preserve"> անձինք</w:t>
      </w:r>
      <w:r w:rsidR="00DD07D3" w:rsidRPr="003D08E6">
        <w:rPr>
          <w:rFonts w:ascii="GHEA Grapalat" w:eastAsia="GHEA Grapalat" w:hAnsi="GHEA Grapalat" w:cs="GHEA Grapalat"/>
          <w:color w:val="000000"/>
        </w:rPr>
        <w:t xml:space="preserve">, սակայն </w:t>
      </w:r>
      <w:r w:rsidRPr="003D08E6">
        <w:rPr>
          <w:rFonts w:ascii="GHEA Grapalat" w:eastAsia="GHEA Grapalat" w:hAnsi="GHEA Grapalat" w:cs="GHEA Grapalat"/>
          <w:color w:val="000000"/>
        </w:rPr>
        <w:t xml:space="preserve">վերջիններիս </w:t>
      </w:r>
      <w:r w:rsidR="00DD07D3" w:rsidRPr="003D08E6">
        <w:rPr>
          <w:rFonts w:ascii="GHEA Grapalat" w:eastAsia="GHEA Grapalat" w:hAnsi="GHEA Grapalat" w:cs="GHEA Grapalat"/>
          <w:color w:val="000000"/>
        </w:rPr>
        <w:t>նկատմամբ Օրենքի 5-րդ հոդվածի 1-ին մասի 5-րդ կետով նախատեսված հիմքով չի կարող սկսվել ուսումնասիրություն:</w:t>
      </w:r>
    </w:p>
    <w:p w14:paraId="770F7CB1" w14:textId="77777777" w:rsidR="00DD07D3" w:rsidRPr="003D08E6" w:rsidRDefault="006F5B2F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b/>
          <w:color w:val="000000"/>
        </w:rPr>
      </w:pPr>
      <w:proofErr w:type="spellStart"/>
      <w:r w:rsidRPr="003D08E6">
        <w:rPr>
          <w:rFonts w:ascii="GHEA Grapalat" w:eastAsia="GHEA Grapalat" w:hAnsi="GHEA Grapalat" w:cs="GHEA Grapalat"/>
          <w:color w:val="000000"/>
        </w:rPr>
        <w:t>Միևնույն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ժամանակ, </w:t>
      </w:r>
      <w:r w:rsidR="00C4624F" w:rsidRPr="003D08E6">
        <w:rPr>
          <w:rFonts w:ascii="GHEA Grapalat" w:eastAsia="GHEA Grapalat" w:hAnsi="GHEA Grapalat" w:cs="GHEA Grapalat"/>
          <w:color w:val="000000"/>
        </w:rPr>
        <w:t>«Հ</w:t>
      </w:r>
      <w:r w:rsidRPr="003D08E6">
        <w:rPr>
          <w:rFonts w:ascii="GHEA Grapalat" w:eastAsia="GHEA Grapalat" w:hAnsi="GHEA Grapalat" w:cs="GHEA Grapalat"/>
          <w:color w:val="000000"/>
        </w:rPr>
        <w:t>անրային ծառայության մասին</w:t>
      </w:r>
      <w:r w:rsidR="00C4624F" w:rsidRPr="003D08E6">
        <w:rPr>
          <w:rFonts w:ascii="GHEA Grapalat" w:eastAsia="GHEA Grapalat" w:hAnsi="GHEA Grapalat" w:cs="GHEA Grapalat"/>
          <w:color w:val="000000"/>
        </w:rPr>
        <w:t>»</w:t>
      </w:r>
      <w:r w:rsidRPr="003D08E6">
        <w:rPr>
          <w:rFonts w:ascii="GHEA Grapalat" w:eastAsia="GHEA Grapalat" w:hAnsi="GHEA Grapalat" w:cs="GHEA Grapalat"/>
          <w:color w:val="000000"/>
        </w:rPr>
        <w:t xml:space="preserve"> օրենք</w:t>
      </w:r>
      <w:r w:rsidR="00310CB6" w:rsidRPr="003D08E6">
        <w:rPr>
          <w:rFonts w:ascii="GHEA Grapalat" w:eastAsia="GHEA Grapalat" w:hAnsi="GHEA Grapalat" w:cs="GHEA Grapalat"/>
          <w:color w:val="000000"/>
        </w:rPr>
        <w:t>ը որոշակի շրջանակի պաշտոնատար անձանց համար վերջիններիս զբաղեցրած պաշտոններից բխող լրացուցիչ պարտավորություն է նախատեսել՝ սահմանելով հայտարարագիր ներկայացնելու պարտավորություն: Ելնելով վերը նշված պաշտոնատար անձանց կարգավիճակից, Նախագիծը մշակվել է այն տրամաբանությամբ, որ հայտարարագիր ներկայացնելու պարտավորություն ունեցող պաշտոնատար անձինք պետք է ներառվեն Օրենքով սահմանված «պաշտոնատար անձի» հասկացության մեջ:</w:t>
      </w:r>
      <w:r w:rsidRPr="003D08E6">
        <w:rPr>
          <w:rFonts w:ascii="GHEA Grapalat" w:eastAsia="GHEA Grapalat" w:hAnsi="GHEA Grapalat" w:cs="GHEA Grapalat"/>
          <w:color w:val="000000"/>
        </w:rPr>
        <w:t xml:space="preserve"> </w:t>
      </w:r>
      <w:r w:rsidR="00310CB6" w:rsidRPr="003D08E6">
        <w:rPr>
          <w:rFonts w:ascii="GHEA Grapalat" w:eastAsia="GHEA Grapalat" w:hAnsi="GHEA Grapalat" w:cs="GHEA Grapalat"/>
          <w:color w:val="000000"/>
        </w:rPr>
        <w:t>Վերոգրյալի հաշվառմամբ</w:t>
      </w:r>
      <w:r w:rsidR="00C4624F" w:rsidRPr="003D08E6">
        <w:rPr>
          <w:rFonts w:ascii="GHEA Grapalat" w:eastAsia="GHEA Grapalat" w:hAnsi="GHEA Grapalat" w:cs="GHEA Grapalat"/>
          <w:color w:val="000000"/>
        </w:rPr>
        <w:t>՝</w:t>
      </w:r>
      <w:r w:rsidRPr="003D08E6">
        <w:rPr>
          <w:rFonts w:ascii="GHEA Grapalat" w:eastAsia="GHEA Grapalat" w:hAnsi="GHEA Grapalat" w:cs="GHEA Grapalat"/>
          <w:color w:val="000000"/>
        </w:rPr>
        <w:t xml:space="preserve"> Նախագծով առաջարկվում է Օրենքի իմաստով «պաշտոնատար անձ» հասկացությ</w:t>
      </w:r>
      <w:r w:rsidR="00DD07D3" w:rsidRPr="003D08E6">
        <w:rPr>
          <w:rFonts w:ascii="GHEA Grapalat" w:eastAsia="GHEA Grapalat" w:hAnsi="GHEA Grapalat" w:cs="GHEA Grapalat"/>
          <w:color w:val="000000"/>
        </w:rPr>
        <w:t xml:space="preserve">ունը փոփոխել, </w:t>
      </w:r>
      <w:r w:rsidR="008C646C" w:rsidRPr="003D08E6">
        <w:rPr>
          <w:rFonts w:ascii="GHEA Grapalat" w:eastAsia="GHEA Grapalat" w:hAnsi="GHEA Grapalat" w:cs="GHEA Grapalat"/>
          <w:color w:val="000000"/>
        </w:rPr>
        <w:t xml:space="preserve">և </w:t>
      </w:r>
      <w:r w:rsidR="008C646C" w:rsidRPr="003D08E6">
        <w:rPr>
          <w:rFonts w:ascii="GHEA Grapalat" w:hAnsi="GHEA Grapalat"/>
          <w:color w:val="000000"/>
        </w:rPr>
        <w:t xml:space="preserve">«պաշտոնատար անձ» հասկացության շրջանակում ներառել այն </w:t>
      </w:r>
      <w:r w:rsidR="008C646C" w:rsidRPr="003D08E6">
        <w:rPr>
          <w:rFonts w:ascii="GHEA Grapalat" w:eastAsia="Arial" w:hAnsi="GHEA Grapalat" w:cs="Arial"/>
        </w:rPr>
        <w:t>անձանց, ովքեր իրենց զբաղեցրած պաշտոնի ուժով ուսումնասիրություն սկսելու պահին «Հանրային ծառայության մասին» օրենքի գործող խմբագրության իմաստով հանդիսանում են հայտարարագիր ներկայացնելու պարտականություն ունեցող անձ կամ անձ, որը զբաղեցրել է այդպիսի պաշտոն կամ անձ, որը զբաղեցրել է այդպիսի պաշտոնին համարժեք պաշտոն:</w:t>
      </w:r>
    </w:p>
    <w:p w14:paraId="282F932E" w14:textId="77777777" w:rsidR="004B057E" w:rsidRPr="003D08E6" w:rsidRDefault="004B057E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color w:val="000000"/>
        </w:rPr>
      </w:pPr>
    </w:p>
    <w:p w14:paraId="442E0F5F" w14:textId="77777777" w:rsidR="00D31597" w:rsidRPr="003D08E6" w:rsidRDefault="006F5B2F" w:rsidP="003D0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i/>
          <w:color w:val="000000"/>
        </w:rPr>
      </w:pPr>
      <w:r w:rsidRPr="003D08E6">
        <w:rPr>
          <w:rFonts w:ascii="GHEA Grapalat" w:eastAsia="GHEA Grapalat" w:hAnsi="GHEA Grapalat" w:cs="GHEA Grapalat"/>
          <w:b/>
          <w:i/>
          <w:color w:val="000000"/>
        </w:rPr>
        <w:t>Ուսումնասիրության ժամկետը</w:t>
      </w:r>
    </w:p>
    <w:p w14:paraId="36108A2D" w14:textId="77777777" w:rsidR="006D648E" w:rsidRPr="003D08E6" w:rsidRDefault="006F5B2F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lastRenderedPageBreak/>
        <w:t xml:space="preserve">Իրավասու մարմնի կողմից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նախաձեռնվող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ուսումնասիրության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տևողությունը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, պայմանավորված գործի բարդությամբ (կախված ուսումնասիրության շրջանակներում ներգրավված անձանց և ուսումնասիրվող գույքերի քանակից, միջազգային փոխօգնության շրջանակներում այլ պետություններից աջակցություն ստանալու անհրաժեշտությունից, գործով բազմադրվագ ֆինանսական գործառնությունների, «քողարկված» գործարքների առկայությունից և ուսումնասիրության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տևողության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վրա ազդեցություն ունեցող այլ էական հանգամանքներից), գործնականում կարող է գերազանցել Օրենքի 8-րդ հոդվածով սահմանված երկամյա ժամկետը: </w:t>
      </w:r>
      <w:r w:rsidR="00222D0A" w:rsidRPr="003D08E6">
        <w:rPr>
          <w:rFonts w:ascii="GHEA Grapalat" w:eastAsia="GHEA Grapalat" w:hAnsi="GHEA Grapalat" w:cs="GHEA Grapalat"/>
          <w:color w:val="000000"/>
        </w:rPr>
        <w:t>Օրինակ միայն</w:t>
      </w:r>
      <w:r w:rsidRPr="003D08E6">
        <w:rPr>
          <w:rFonts w:ascii="GHEA Grapalat" w:eastAsia="GHEA Grapalat" w:hAnsi="GHEA Grapalat" w:cs="GHEA Grapalat"/>
          <w:color w:val="000000"/>
        </w:rPr>
        <w:t xml:space="preserve"> մասնագետ կամ փորձագետ ներգրավելու դեպքում, պայմանավորված ներկայումս փորձագիտական հիմնարկների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գերծանրաբեռնվածությամբ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, նշանակված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փորձաքննությունները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կարող են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տևել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ամիսներ։ Հիմք ընդունելով նշված օբյեկտիվ բարդությունները</w:t>
      </w:r>
      <w:r w:rsidR="00222D0A" w:rsidRPr="003D08E6">
        <w:rPr>
          <w:rFonts w:ascii="GHEA Grapalat" w:eastAsia="GHEA Grapalat" w:hAnsi="GHEA Grapalat" w:cs="GHEA Grapalat"/>
          <w:color w:val="000000"/>
        </w:rPr>
        <w:t xml:space="preserve">՝ </w:t>
      </w:r>
      <w:r w:rsidR="006D648E" w:rsidRPr="003D08E6">
        <w:rPr>
          <w:rFonts w:ascii="GHEA Grapalat" w:eastAsia="GHEA Grapalat" w:hAnsi="GHEA Grapalat" w:cs="GHEA Grapalat"/>
          <w:color w:val="000000"/>
        </w:rPr>
        <w:t>Ն</w:t>
      </w:r>
      <w:r w:rsidRPr="003D08E6">
        <w:rPr>
          <w:rFonts w:ascii="GHEA Grapalat" w:eastAsia="GHEA Grapalat" w:hAnsi="GHEA Grapalat" w:cs="GHEA Grapalat"/>
          <w:color w:val="000000"/>
        </w:rPr>
        <w:t>ախագծով առաջարկվում է գործող երկու տարվա ժամկետի փոխարեն, որպես ուսումնասիրության առավելագույն ժամկետ սահմանել երեք տարին:</w:t>
      </w:r>
    </w:p>
    <w:p w14:paraId="3391B1F2" w14:textId="77777777" w:rsidR="006D648E" w:rsidRPr="003D08E6" w:rsidRDefault="006D648E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 w:rsidRPr="003D08E6">
        <w:rPr>
          <w:rFonts w:ascii="GHEA Grapalat" w:eastAsia="GHEA Grapalat" w:hAnsi="GHEA Grapalat" w:cs="GHEA Grapalat"/>
          <w:color w:val="000000"/>
        </w:rPr>
        <w:t>Վերոնշյալի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առնչությամբ Նախագծի անցումային դրույթներով նախատեսված է, որ Օրենքի 8-րդ հոդվածով նախատեսված կարգավորումները տարածվում են սույն օրենքի ուժի մեջ մտնելու պահին չավարտված կամ դրանից հետո նախաձեռնված ապօրինի ծագում ունեցող գույքի բռնագանձման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վարույթների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վրա։ Այս կապակցությամբ հարկ է քննարկել օրենքի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հետադարձության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կանոնների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կիրառելիության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հարցը: </w:t>
      </w:r>
    </w:p>
    <w:p w14:paraId="77646355" w14:textId="77777777" w:rsidR="006D648E" w:rsidRPr="003D08E6" w:rsidRDefault="00DA161E" w:rsidP="003D0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>Նախագծով</w:t>
      </w:r>
      <w:r w:rsidR="006D648E" w:rsidRPr="003D08E6">
        <w:rPr>
          <w:rFonts w:ascii="GHEA Grapalat" w:eastAsia="GHEA Grapalat" w:hAnsi="GHEA Grapalat" w:cs="GHEA Grapalat"/>
          <w:color w:val="000000"/>
        </w:rPr>
        <w:t xml:space="preserve"> նախատեսվում է իրականացնել ուսումնասիրության ժամկետի երկարաձգում և ժամկետը համարել երկարաձգված նաև այն ուսումնասիրությունների համար, որոնք սկսվել են </w:t>
      </w:r>
      <w:proofErr w:type="spellStart"/>
      <w:r w:rsidR="006D648E" w:rsidRPr="003D08E6">
        <w:rPr>
          <w:rFonts w:ascii="GHEA Grapalat" w:eastAsia="GHEA Grapalat" w:hAnsi="GHEA Grapalat" w:cs="GHEA Grapalat"/>
          <w:color w:val="000000"/>
        </w:rPr>
        <w:t>մինչև</w:t>
      </w:r>
      <w:proofErr w:type="spellEnd"/>
      <w:r w:rsidR="006D648E" w:rsidRPr="003D08E6">
        <w:rPr>
          <w:rFonts w:ascii="GHEA Grapalat" w:eastAsia="GHEA Grapalat" w:hAnsi="GHEA Grapalat" w:cs="GHEA Grapalat"/>
          <w:color w:val="000000"/>
        </w:rPr>
        <w:t xml:space="preserve"> օրենքի ուժի մեջ մտնելը և շարունակվում են օրենքի ուժի մեջ մտնելու դրությամբ։ Այսինքն, բովանդակային առումով նախատեսվում է օրենսդրական ակտով երկարաձգել սկսված, բայց չավարտված հայցային վաղեմության ժամկետները։</w:t>
      </w:r>
    </w:p>
    <w:p w14:paraId="6143AC96" w14:textId="77777777" w:rsidR="006D648E" w:rsidRPr="003D08E6" w:rsidRDefault="006D648E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lastRenderedPageBreak/>
        <w:t xml:space="preserve">2.8. Հայցային վաղեմության ժամկետները ՀՀ քաղաքացիական դատավարության օրենսդրության տրամաբանության մեջ բացառապես ընթացակարգային նորմեր են, քանի որ վաղեմության ժամկետի ավարտը ինքն իրենով չի հանգեցնում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որևէ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նյութական իրավունքի ծագման կամ դադարման։ Հայցային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ժաղեմության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ժամկետի լրանալու հանգամանքը վկայակոչելը կազմում է անձի դատավարական իրավունքների մաս, այսինքն՝ ծագում է միայն պահից սկսած, երբ անձը ստանում է որոշակի դատավարական կարգավիճակ։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Հետևաբար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, դատարանում քննվող քաղաքացիական գործի բացակայության պայմաններում անձը օժտված չէ հայցային վաղեմության ժամկետներին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առնչող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որևէ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իրավունքով և օրենսդրական փոփոխությունները այս պարագայում չունեն հետադարձ ազդեցություն, այլ ուղղված են բացառապես ապագայում դատարանի կողմից քննվելիք քաղաքացիական գործերին։ </w:t>
      </w:r>
    </w:p>
    <w:p w14:paraId="7C40E84E" w14:textId="77777777" w:rsidR="006D648E" w:rsidRPr="003D08E6" w:rsidRDefault="006D648E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2.9. Իրավախախտում կատարած անձը չունի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որևէ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նյութական իրավունք, այն է՝ «իրավական վիճակ», որը փոփոխվում է (վատթարանում է) հայցի ներկայացման համար նախատեսված վաղեմության ժամկետների փոփոխության արդյունքում, հատկապես, եթե այդպիսի ժամկետը ավարտված չէ օրենսդրական փոփոխության իրականացման պահին։ Սահմանադրությունը չի կարող մեկնաբանվել այնքան լայն, որ առանց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որևէ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շոշափելի իրավունքի առկայության պաշտպանի անձանց՝ ապագային ուղղված ակնկալիքները։</w:t>
      </w:r>
    </w:p>
    <w:p w14:paraId="611CF52A" w14:textId="77777777" w:rsidR="006D648E" w:rsidRPr="003D08E6" w:rsidRDefault="006D648E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2.10. Միջազգային փորձը նույնպես ցույց է տալիս, որ վաղեմության ժամկետների երկարաձգումը համատեղելի է մարդու իրավունքների պաշտպանության երաշխիքների հետ։ Նույնիսկ քրեական իրավունքի ոլորտում չավարտված վաղեմության ժամկետների երկարաձգումը ընդունելի է ինչպես ՄԻԵԴ, այնպես էլ Վենետիկի հանձնաժողովի կողմից։ </w:t>
      </w:r>
    </w:p>
    <w:p w14:paraId="2EF63DC7" w14:textId="7912FAD0" w:rsidR="00D31597" w:rsidRPr="003D08E6" w:rsidRDefault="006D648E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2.11.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Հետևաբար</w:t>
      </w:r>
      <w:proofErr w:type="spellEnd"/>
      <w:r w:rsidR="009724CB" w:rsidRPr="003D08E6">
        <w:rPr>
          <w:rFonts w:ascii="GHEA Grapalat" w:eastAsia="GHEA Grapalat" w:hAnsi="GHEA Grapalat" w:cs="GHEA Grapalat"/>
          <w:color w:val="000000"/>
        </w:rPr>
        <w:t xml:space="preserve"> </w:t>
      </w:r>
      <w:r w:rsidRPr="003D08E6">
        <w:rPr>
          <w:rFonts w:ascii="GHEA Grapalat" w:eastAsia="GHEA Grapalat" w:hAnsi="GHEA Grapalat" w:cs="GHEA Grapalat"/>
          <w:color w:val="000000"/>
        </w:rPr>
        <w:t xml:space="preserve">ուսումնասիրության ժամկետների երկարաձգումը, ինչը բովանդակային առումով չավարտված հայցային վաղեմության ժամկետների երկարաձգում է, համատեղելի է Սահմանադրությամբ նախատեսված երաշխիքների </w:t>
      </w:r>
      <w:r w:rsidRPr="003D08E6">
        <w:rPr>
          <w:rFonts w:ascii="GHEA Grapalat" w:eastAsia="GHEA Grapalat" w:hAnsi="GHEA Grapalat" w:cs="GHEA Grapalat"/>
          <w:color w:val="000000"/>
        </w:rPr>
        <w:lastRenderedPageBreak/>
        <w:t xml:space="preserve">հետ, քանի որ նախ տվյալ ակտը օժտված չէ 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հետադարձությամբ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այնքանով, որքանով չի վերականգնում ավարտված վաղեմության ժամկետներ և, բացի այդ,  չի հանգեցնում անձի իրավական վիճակի վատթարացման։</w:t>
      </w:r>
    </w:p>
    <w:p w14:paraId="37ACB5E3" w14:textId="77777777" w:rsidR="00DA161E" w:rsidRPr="003D08E6" w:rsidRDefault="00DA161E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77CAA0F3" w14:textId="77777777" w:rsidR="006D648E" w:rsidRPr="003D08E6" w:rsidRDefault="006D648E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338D822A" w14:textId="77777777" w:rsidR="00D31597" w:rsidRPr="003D08E6" w:rsidRDefault="006D5C53" w:rsidP="003D0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i/>
          <w:color w:val="000000"/>
        </w:rPr>
      </w:pPr>
      <w:r w:rsidRPr="003D08E6">
        <w:rPr>
          <w:rFonts w:ascii="GHEA Grapalat" w:eastAsia="GHEA Grapalat" w:hAnsi="GHEA Grapalat" w:cs="GHEA Grapalat"/>
          <w:b/>
          <w:i/>
          <w:color w:val="000000"/>
        </w:rPr>
        <w:t>Ուսումնասիրություն սկսելու հիմքերը</w:t>
      </w:r>
    </w:p>
    <w:p w14:paraId="56C750B6" w14:textId="77777777" w:rsidR="00D31597" w:rsidRPr="003D08E6" w:rsidRDefault="006D648E" w:rsidP="003D08E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 </w:t>
      </w:r>
      <w:r w:rsidR="006D5C53" w:rsidRPr="003D08E6">
        <w:rPr>
          <w:rFonts w:ascii="GHEA Grapalat" w:eastAsia="GHEA Grapalat" w:hAnsi="GHEA Grapalat" w:cs="GHEA Grapalat"/>
          <w:color w:val="000000"/>
        </w:rPr>
        <w:t xml:space="preserve">Գործնականում հնարավոր են դեպքեր, երբ իրավասու մարմնի կողմից իրականացվող ուսումնասիրության շրջանակներում տվյալներ ձեռք բերվեն առ այն, որ այլ անձի պատկանում է ապօրինի ծագում ունեցող գույք: Մինչդեռ, Օրենքի առկա </w:t>
      </w:r>
      <w:proofErr w:type="spellStart"/>
      <w:r w:rsidR="006D5C53" w:rsidRPr="003D08E6">
        <w:rPr>
          <w:rFonts w:ascii="GHEA Grapalat" w:eastAsia="GHEA Grapalat" w:hAnsi="GHEA Grapalat" w:cs="GHEA Grapalat"/>
          <w:color w:val="000000"/>
        </w:rPr>
        <w:t>կարգավորումներով</w:t>
      </w:r>
      <w:proofErr w:type="spellEnd"/>
      <w:r w:rsidR="006D5C53" w:rsidRPr="003D08E6">
        <w:rPr>
          <w:rFonts w:ascii="GHEA Grapalat" w:eastAsia="GHEA Grapalat" w:hAnsi="GHEA Grapalat" w:cs="GHEA Grapalat"/>
          <w:color w:val="000000"/>
        </w:rPr>
        <w:t xml:space="preserve"> իրավասու մարմինը չունի լիազորություն սեփական նախաձեռնությամբ այդ անձի գույքի նկատմամբ սկսելու ապօրինի ծագում ունեցող գույքի բռնագանձման վարույթ: Հաշվի առնելով, որ օպերատիվ-հետախուզական միջոցառումների արդյունքներով հայտնաբերված տվյալների հիման վրա հնարավոր է սկսել ուսումնասիրություն պաշտոնատար անձին կամ իր հետ փոխկապակցված անձին պատկանող գույքի առնչությամբ՝ նախագծով առաջարկվում է համարժեք հնարավորություն ստեղծել նաև այն դեպքերի համար, երբ նշված անձանց վերաբերյալ տվյալները հայտնաբերվել են ուսումնասիրության շրջանակներում։</w:t>
      </w:r>
    </w:p>
    <w:p w14:paraId="37702C96" w14:textId="77777777" w:rsidR="006D5C53" w:rsidRPr="003D08E6" w:rsidRDefault="006D5C53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656B417E" w14:textId="77777777" w:rsidR="00D31597" w:rsidRPr="003D08E6" w:rsidRDefault="006D5C53" w:rsidP="003D0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i/>
          <w:color w:val="000000"/>
        </w:rPr>
      </w:pPr>
      <w:r w:rsidRPr="003D08E6">
        <w:rPr>
          <w:rFonts w:ascii="GHEA Grapalat" w:eastAsia="GHEA Grapalat" w:hAnsi="GHEA Grapalat" w:cs="GHEA Grapalat"/>
          <w:b/>
          <w:i/>
          <w:color w:val="000000"/>
        </w:rPr>
        <w:t>Համարժեք գույքի բռնագանձման հնարավորությունը</w:t>
      </w:r>
    </w:p>
    <w:p w14:paraId="5EBC7828" w14:textId="77777777" w:rsidR="00310CB6" w:rsidRPr="003D08E6" w:rsidRDefault="00310CB6" w:rsidP="003D08E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 Օրենքի 20-րդ հոդվածի 4-րդ և 5-րդ մասերում նշված դեպքերի համար նախատեսված է բռնագանձման ենթակա գույքի շուկայական արժեքի չափով գումարի բռնագանձման հնարավորություն: Սակայն գործնականում հնարավոր են դեպքեր, երբ գույքի շուկայական արժեքի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պարզումն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անհնար է: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Մասնավարապես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, գույքի շուկայական արժեքը պարզելը հնարավոր չէ, եթե այդ գույքը Հայաստանի Հանրապետությունում եզակի է, չի գտնվում ազատ շրջանառության մեջ կամ դատախազությունը չի կարողացել բավարար ելակետային տվյալներ ձեռք բերել </w:t>
      </w:r>
      <w:r w:rsidRPr="003D08E6">
        <w:rPr>
          <w:rFonts w:ascii="GHEA Grapalat" w:eastAsia="GHEA Grapalat" w:hAnsi="GHEA Grapalat" w:cs="GHEA Grapalat"/>
          <w:color w:val="000000"/>
        </w:rPr>
        <w:lastRenderedPageBreak/>
        <w:t xml:space="preserve">գույքի շուկայական արժեքը պարզելու նպատակով ապրանքագիտական փորձաքննություն նշանակելու և դրա կատարման արդյունքում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շաուկայական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արժեքը պարզելու համար (օրինակ իրավաբանական անձը դատախազության պահանջով տվյալներ չի ներկայացրել ակտիվների, պարտավորությունների և եկամտաբերության վերաբերյալ)։ </w:t>
      </w:r>
    </w:p>
    <w:p w14:paraId="7F5A7A42" w14:textId="77777777" w:rsidR="00310CB6" w:rsidRPr="003D08E6" w:rsidRDefault="00310CB6" w:rsidP="003D08E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>Այդպիսի իրավիճակների համար Նախագծով առաջարկվում է Օրենքի 20-րդ հոդվածի 4-րդ և 5-րդ մասերում նախատեսել այլընտրանքային՝ գույքի ձեռքբերման արժեքի չափով գումարի բռնագանձման հնարավորություն: Այսինքն՝ բոլոր դեպքերում իրավասու մարմինը պարտավոր է ողջամիտ ջանքեր գործադրել այդպիսի գույքի շուկայական արժեքը պարզելու համար և միայն անհնարինության դեպքում կարող է ներկայացվել գույքի ձեռքբերման արժեքի չափով գումարի բռնագանձման պահանջ:</w:t>
      </w:r>
    </w:p>
    <w:p w14:paraId="4D112D1D" w14:textId="77777777" w:rsidR="00DD07D3" w:rsidRPr="003D08E6" w:rsidRDefault="00310CB6" w:rsidP="003D08E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ՀՀ սահմաններից դուրս գտնվող գույքի շուկայական արժեքի որոշումը գործնականում միշտ էական դժվարություններ է ենթադրում: Նման դեպքերի համար, նպատակահարմարությունից ելնելով, առաջարկվում է 20-րդ հոդվածը լրացնել 4.1-րդ մասով՝ նախատեսելով ՀՀ սահմաններից դուրս գտնվող գույքի ձեռքբերման արժեքի չափով գումարի բռնագանձման հնարավորություն, եթե առկա չեն այդ գույքի շուկայական արժեքի վերաբերյալ տեղեկություններ: Այսինքն՝ սույն մասում նշված դեպքերում իրավասու մարմինը, ի տարբերություն նույն հոդվածի 4-րդ և 5-րդ մասերում նշված դեպքերի, պարտավոր չէ միջոցներ ձեռնարկել գույքի շուկայական արժեքը պարզելու համար և կարող է կոնկրետ գործի և գույքի առանձնահատկություններից ելնելով, միանգամից պահանջել այդ գույքի ձեռքբերման արժեքը, եթե առկա չեն տվյալ գույքի շուկայական արժեքի վերաբերյալ տեղեկություններ: Հարկ է նշել, որ այս կարգավորումը ոչ միայն չի խախտում անձանց իրավունքները,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այլև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հնարավորություն է տալիս գույքի սեփականատիրոջը գույքի շուկայական արժեքի վերաբերյալ տեղեկություններ ներկայացնել իրավասու մարմին:</w:t>
      </w:r>
    </w:p>
    <w:p w14:paraId="26FC842F" w14:textId="77777777" w:rsidR="00310CB6" w:rsidRPr="003D08E6" w:rsidRDefault="00310CB6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4067BFF6" w14:textId="77777777" w:rsidR="0057007D" w:rsidRPr="003D08E6" w:rsidRDefault="0057007D" w:rsidP="003D08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i/>
          <w:color w:val="000000"/>
        </w:rPr>
      </w:pPr>
      <w:r w:rsidRPr="003D08E6">
        <w:rPr>
          <w:rFonts w:ascii="GHEA Grapalat" w:eastAsia="GHEA Grapalat" w:hAnsi="GHEA Grapalat" w:cs="GHEA Grapalat"/>
          <w:b/>
          <w:i/>
          <w:color w:val="000000"/>
        </w:rPr>
        <w:lastRenderedPageBreak/>
        <w:t>Տեխնիկական շտկումներ</w:t>
      </w:r>
    </w:p>
    <w:p w14:paraId="673C25BE" w14:textId="77777777" w:rsidR="0057007D" w:rsidRPr="003D08E6" w:rsidRDefault="00F5257A" w:rsidP="003D08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20"/>
        <w:jc w:val="both"/>
        <w:rPr>
          <w:rFonts w:ascii="GHEA Grapalat" w:eastAsia="GHEA Grapalat" w:hAnsi="GHEA Grapalat" w:cs="GHEA Grapalat"/>
        </w:rPr>
      </w:pPr>
      <w:r w:rsidRPr="003D08E6">
        <w:rPr>
          <w:rFonts w:ascii="GHEA Grapalat" w:eastAsia="GHEA Grapalat" w:hAnsi="GHEA Grapalat" w:cs="GHEA Grapalat"/>
        </w:rPr>
        <w:t xml:space="preserve"> </w:t>
      </w:r>
      <w:r w:rsidR="0057007D" w:rsidRPr="003D08E6">
        <w:rPr>
          <w:rFonts w:ascii="GHEA Grapalat" w:eastAsia="GHEA Grapalat" w:hAnsi="GHEA Grapalat" w:cs="GHEA Grapalat"/>
        </w:rPr>
        <w:t xml:space="preserve">Օրենքում առաջարկվում է կատարել նաև որոշ տեխնիկական բնույթի շտկումներ, որոնք նպատակ ունեն նվազեցնելու օրենքի որոշ դրույթների առնչությամբ հնարավոր </w:t>
      </w:r>
      <w:proofErr w:type="spellStart"/>
      <w:r w:rsidR="0057007D" w:rsidRPr="003D08E6">
        <w:rPr>
          <w:rFonts w:ascii="GHEA Grapalat" w:eastAsia="GHEA Grapalat" w:hAnsi="GHEA Grapalat" w:cs="GHEA Grapalat"/>
        </w:rPr>
        <w:t>տարընկալումները</w:t>
      </w:r>
      <w:proofErr w:type="spellEnd"/>
      <w:r w:rsidR="0057007D" w:rsidRPr="003D08E6">
        <w:rPr>
          <w:rFonts w:ascii="GHEA Grapalat" w:eastAsia="GHEA Grapalat" w:hAnsi="GHEA Grapalat" w:cs="GHEA Grapalat"/>
        </w:rPr>
        <w:t>։</w:t>
      </w:r>
    </w:p>
    <w:p w14:paraId="0980E103" w14:textId="77777777" w:rsidR="002B42BB" w:rsidRPr="003D08E6" w:rsidRDefault="002B42BB" w:rsidP="003D08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GHEA Grapalat" w:eastAsia="GHEA Grapalat" w:hAnsi="GHEA Grapalat" w:cs="GHEA Grapalat"/>
        </w:rPr>
      </w:pPr>
    </w:p>
    <w:p w14:paraId="3044F4A7" w14:textId="77777777" w:rsidR="00D31597" w:rsidRPr="003D08E6" w:rsidRDefault="001D7791" w:rsidP="003D0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  <w:color w:val="000000"/>
        </w:rPr>
      </w:pPr>
      <w:r w:rsidRPr="003D08E6">
        <w:rPr>
          <w:rFonts w:ascii="GHEA Grapalat" w:eastAsia="GHEA Grapalat" w:hAnsi="GHEA Grapalat" w:cs="GHEA Grapalat"/>
          <w:b/>
          <w:color w:val="000000"/>
        </w:rPr>
        <w:t xml:space="preserve">ՆԱԽԱԳԾԻ ՄՇԱԿՄԱՆ ԳՈՐԾԸՆԹԱՑՈՒՄ ՆԵՐԳՐԱՎՎԱԾ ԻՆՍՏԻՏՈՒՏՆԵՐԸ </w:t>
      </w:r>
      <w:r w:rsidR="00170F8A" w:rsidRPr="003D08E6">
        <w:rPr>
          <w:rFonts w:ascii="GHEA Grapalat" w:eastAsia="GHEA Grapalat" w:hAnsi="GHEA Grapalat" w:cs="GHEA Grapalat"/>
          <w:b/>
          <w:color w:val="000000"/>
        </w:rPr>
        <w:t>ԵՎ</w:t>
      </w:r>
      <w:r w:rsidRPr="003D08E6">
        <w:rPr>
          <w:rFonts w:ascii="GHEA Grapalat" w:eastAsia="GHEA Grapalat" w:hAnsi="GHEA Grapalat" w:cs="GHEA Grapalat"/>
          <w:b/>
          <w:color w:val="000000"/>
        </w:rPr>
        <w:t xml:space="preserve"> ԱՆՁԻՆՔ</w:t>
      </w:r>
    </w:p>
    <w:p w14:paraId="606A65DC" w14:textId="77777777" w:rsidR="00D31597" w:rsidRPr="003D08E6" w:rsidRDefault="00D31597" w:rsidP="003D08E6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</w:rPr>
      </w:pPr>
    </w:p>
    <w:p w14:paraId="6CD295CA" w14:textId="77777777" w:rsidR="00D31597" w:rsidRPr="003D08E6" w:rsidRDefault="001D7791" w:rsidP="003D08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Նախագիծը մշակվել է ՀՀ </w:t>
      </w:r>
      <w:r w:rsidR="000E6E1F" w:rsidRPr="003D08E6">
        <w:rPr>
          <w:rFonts w:ascii="GHEA Grapalat" w:eastAsia="GHEA Grapalat" w:hAnsi="GHEA Grapalat" w:cs="GHEA Grapalat"/>
          <w:color w:val="000000"/>
        </w:rPr>
        <w:t>գլխավոր դատախազության</w:t>
      </w:r>
      <w:r w:rsidRPr="003D08E6">
        <w:rPr>
          <w:rFonts w:ascii="GHEA Grapalat" w:eastAsia="GHEA Grapalat" w:hAnsi="GHEA Grapalat" w:cs="GHEA Grapalat"/>
          <w:color w:val="000000"/>
        </w:rPr>
        <w:t xml:space="preserve"> կողմից:</w:t>
      </w:r>
    </w:p>
    <w:p w14:paraId="65C963A9" w14:textId="77777777" w:rsidR="00D31597" w:rsidRPr="003D08E6" w:rsidRDefault="00D31597" w:rsidP="003D08E6">
      <w:pPr>
        <w:shd w:val="clear" w:color="auto" w:fill="FFFFFF"/>
        <w:spacing w:line="360" w:lineRule="auto"/>
        <w:ind w:firstLine="720"/>
        <w:contextualSpacing/>
        <w:jc w:val="both"/>
        <w:rPr>
          <w:rFonts w:ascii="GHEA Grapalat" w:eastAsia="GHEA Grapalat" w:hAnsi="GHEA Grapalat" w:cs="GHEA Grapalat"/>
        </w:rPr>
      </w:pPr>
    </w:p>
    <w:p w14:paraId="7A013F34" w14:textId="77777777" w:rsidR="00D31597" w:rsidRPr="003D08E6" w:rsidRDefault="001D7791" w:rsidP="003D0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  <w:color w:val="000000"/>
        </w:rPr>
      </w:pPr>
      <w:r w:rsidRPr="003D08E6">
        <w:rPr>
          <w:rFonts w:ascii="GHEA Grapalat" w:eastAsia="GHEA Grapalat" w:hAnsi="GHEA Grapalat" w:cs="GHEA Grapalat"/>
          <w:b/>
          <w:color w:val="000000"/>
        </w:rPr>
        <w:t>ԱԿՆԿԱԼՎՈՂ ԱՐԴՅՈՒՆՔԸ</w:t>
      </w:r>
    </w:p>
    <w:p w14:paraId="1CE2B4EA" w14:textId="77777777" w:rsidR="00D31597" w:rsidRPr="003D08E6" w:rsidRDefault="00D31597" w:rsidP="003D08E6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</w:rPr>
      </w:pPr>
    </w:p>
    <w:p w14:paraId="404334C6" w14:textId="77777777" w:rsidR="00D31597" w:rsidRPr="003D08E6" w:rsidRDefault="001D7791" w:rsidP="003D08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b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 Նախագծի ընդունման արդյունքում ակնկալվում է </w:t>
      </w:r>
      <w:r w:rsidR="000E6E1F" w:rsidRPr="003D08E6">
        <w:rPr>
          <w:rFonts w:ascii="GHEA Grapalat" w:eastAsia="GHEA Grapalat" w:hAnsi="GHEA Grapalat" w:cs="GHEA Grapalat"/>
          <w:color w:val="000000"/>
        </w:rPr>
        <w:t xml:space="preserve">բարձրացնել </w:t>
      </w:r>
      <w:r w:rsidRPr="003D08E6">
        <w:rPr>
          <w:rFonts w:ascii="GHEA Grapalat" w:eastAsia="GHEA Grapalat" w:hAnsi="GHEA Grapalat" w:cs="GHEA Grapalat"/>
          <w:color w:val="000000"/>
        </w:rPr>
        <w:t xml:space="preserve">ապօրինի ծագում ունեցող գույքի բռնագանձման </w:t>
      </w:r>
      <w:r w:rsidR="000E6E1F" w:rsidRPr="003D08E6">
        <w:rPr>
          <w:rFonts w:ascii="GHEA Grapalat" w:eastAsia="GHEA Grapalat" w:hAnsi="GHEA Grapalat" w:cs="GHEA Grapalat"/>
          <w:color w:val="000000"/>
        </w:rPr>
        <w:t>նպատակով իրականացվող ուսումնասիրությունների արդյունավետությունը</w:t>
      </w:r>
      <w:r w:rsidRPr="003D08E6">
        <w:rPr>
          <w:rFonts w:ascii="GHEA Grapalat" w:eastAsia="GHEA Grapalat" w:hAnsi="GHEA Grapalat" w:cs="GHEA Grapalat"/>
          <w:color w:val="000000"/>
        </w:rPr>
        <w:t>։</w:t>
      </w:r>
    </w:p>
    <w:p w14:paraId="6D4C5982" w14:textId="77777777" w:rsidR="00CB08AA" w:rsidRPr="003D08E6" w:rsidRDefault="00CB08AA" w:rsidP="003D0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color w:val="000000"/>
        </w:rPr>
      </w:pPr>
    </w:p>
    <w:p w14:paraId="2512B84E" w14:textId="77777777" w:rsidR="002B42BB" w:rsidRPr="003D08E6" w:rsidRDefault="002B42BB" w:rsidP="003D0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5A354759" w14:textId="77777777" w:rsidR="002B42BB" w:rsidRPr="003D08E6" w:rsidRDefault="002B42BB" w:rsidP="003D0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  <w:color w:val="000000"/>
        </w:rPr>
      </w:pPr>
      <w:r w:rsidRPr="003D08E6">
        <w:rPr>
          <w:rFonts w:ascii="GHEA Grapalat" w:eastAsia="GHEA Grapalat" w:hAnsi="GHEA Grapalat" w:cs="GHEA Grapalat"/>
          <w:b/>
          <w:color w:val="000000"/>
        </w:rPr>
        <w:t>ԿԱՊԸ ՌԱԶՄԱՎԱՐԱԿԱՆ ՓԱՍՏԱԹՂԹԵՐԻ ՀԵՏ</w:t>
      </w:r>
    </w:p>
    <w:p w14:paraId="48FF1851" w14:textId="77777777" w:rsidR="002B42BB" w:rsidRPr="003D08E6" w:rsidRDefault="002B42BB" w:rsidP="003D0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567" w:firstLine="720"/>
        <w:contextualSpacing/>
        <w:rPr>
          <w:rFonts w:ascii="GHEA Grapalat" w:eastAsia="GHEA Grapalat" w:hAnsi="GHEA Grapalat" w:cs="GHEA Grapalat"/>
          <w:b/>
          <w:color w:val="000000"/>
        </w:rPr>
      </w:pPr>
    </w:p>
    <w:p w14:paraId="7D54C658" w14:textId="77777777" w:rsidR="002B42BB" w:rsidRPr="003D08E6" w:rsidRDefault="002B42BB" w:rsidP="003D08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 xml:space="preserve">Նախագծի ընդունումը պայմանավորված է նաև 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միջոցառումների ծրագրի 39-րդ կետի կարգավորմամբ, որով նախատեսվում է ապօրինի ծագում ունեցող գույքի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բռնագանձմանն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ուղղված </w:t>
      </w:r>
      <w:proofErr w:type="spellStart"/>
      <w:r w:rsidRPr="003D08E6">
        <w:rPr>
          <w:rFonts w:ascii="GHEA Grapalat" w:eastAsia="GHEA Grapalat" w:hAnsi="GHEA Grapalat" w:cs="GHEA Grapalat"/>
          <w:color w:val="000000"/>
        </w:rPr>
        <w:t>կառուցակարգերի</w:t>
      </w:r>
      <w:proofErr w:type="spellEnd"/>
      <w:r w:rsidRPr="003D08E6">
        <w:rPr>
          <w:rFonts w:ascii="GHEA Grapalat" w:eastAsia="GHEA Grapalat" w:hAnsi="GHEA Grapalat" w:cs="GHEA Grapalat"/>
          <w:color w:val="000000"/>
        </w:rPr>
        <w:t xml:space="preserve"> ստեղծում:</w:t>
      </w:r>
    </w:p>
    <w:p w14:paraId="384A25E4" w14:textId="77777777" w:rsidR="000E6E1F" w:rsidRPr="003D08E6" w:rsidRDefault="000E6E1F" w:rsidP="003D0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7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</w:p>
    <w:p w14:paraId="0F9C627D" w14:textId="77777777" w:rsidR="000E6E1F" w:rsidRPr="003D08E6" w:rsidRDefault="000E6E1F" w:rsidP="003D0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contextualSpacing/>
        <w:jc w:val="center"/>
        <w:rPr>
          <w:rFonts w:ascii="GHEA Grapalat" w:eastAsia="GHEA Grapalat" w:hAnsi="GHEA Grapalat" w:cs="GHEA Grapalat"/>
          <w:b/>
          <w:bCs/>
          <w:color w:val="000000"/>
        </w:rPr>
      </w:pPr>
      <w:r w:rsidRPr="003D08E6">
        <w:rPr>
          <w:rFonts w:ascii="GHEA Grapalat" w:eastAsia="GHEA Grapalat" w:hAnsi="GHEA Grapalat" w:cs="GHEA Grapalat"/>
          <w:b/>
          <w:bCs/>
          <w:color w:val="000000"/>
        </w:rPr>
        <w:lastRenderedPageBreak/>
        <w:t>ԼՐԱՑՈՒՑԻՉ ՖԻՆԱՆՍԱԿԱՆ ՄԻՋՈՑՆԵՐԻ ԱՆՀՐԱԺԵՇՏՈՒԹՅԱՆ ԵՎ ՊԵՏԱԿԱՆ ԲՅՈՒՋԵԻ ԵԿԱՄՈՒՏՆԵՐՈՒՄ և ԾԱԽՍԵՐՈՒՄ ՍՊԱՍՎԵԼԻՔ ՓՈՓՈԽՈՒԹՅՈՒՆՆԵՐԻ ՎԵՐԱԲԵՐՅԱԼ</w:t>
      </w:r>
    </w:p>
    <w:p w14:paraId="7D7B13E6" w14:textId="77777777" w:rsidR="000E6E1F" w:rsidRPr="003D08E6" w:rsidRDefault="000E6E1F" w:rsidP="003D0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7" w:firstLine="720"/>
        <w:contextualSpacing/>
        <w:rPr>
          <w:rFonts w:ascii="GHEA Grapalat" w:eastAsia="GHEA Grapalat" w:hAnsi="GHEA Grapalat" w:cs="GHEA Grapalat"/>
          <w:b/>
          <w:bCs/>
          <w:color w:val="000000"/>
        </w:rPr>
      </w:pPr>
    </w:p>
    <w:p w14:paraId="75B74B1F" w14:textId="77777777" w:rsidR="00D31597" w:rsidRPr="003D08E6" w:rsidRDefault="000E6E1F" w:rsidP="003D08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eastAsia="GHEA Grapalat" w:hAnsi="GHEA Grapalat" w:cs="GHEA Grapalat"/>
          <w:color w:val="000000"/>
        </w:rPr>
      </w:pPr>
      <w:r w:rsidRPr="003D08E6">
        <w:rPr>
          <w:rFonts w:ascii="GHEA Grapalat" w:eastAsia="GHEA Grapalat" w:hAnsi="GHEA Grapalat" w:cs="GHEA Grapalat"/>
          <w:color w:val="000000"/>
        </w:rPr>
        <w:t>Օրենքի ընդունման արդյունքում պետական եկամուտների և ծախսերի ուղղակի ավելացում կամ նվազեցում չի նախատեսվում:</w:t>
      </w:r>
    </w:p>
    <w:sectPr w:rsidR="00D31597" w:rsidRPr="003D08E6" w:rsidSect="00A9517A">
      <w:headerReference w:type="default" r:id="rId8"/>
      <w:footerReference w:type="default" r:id="rId9"/>
      <w:pgSz w:w="12240" w:h="15840"/>
      <w:pgMar w:top="1361" w:right="1361" w:bottom="1361" w:left="136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EC35" w14:textId="77777777" w:rsidR="000C7048" w:rsidRDefault="000C7048">
      <w:r>
        <w:separator/>
      </w:r>
    </w:p>
  </w:endnote>
  <w:endnote w:type="continuationSeparator" w:id="0">
    <w:p w14:paraId="3903B481" w14:textId="77777777" w:rsidR="000C7048" w:rsidRDefault="000C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8183" w14:textId="77777777" w:rsidR="00D31597" w:rsidRDefault="00A951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1D7791">
      <w:rPr>
        <w:color w:val="000000"/>
      </w:rPr>
      <w:instrText>PAGE</w:instrText>
    </w:r>
    <w:r>
      <w:rPr>
        <w:color w:val="000000"/>
      </w:rPr>
      <w:fldChar w:fldCharType="separate"/>
    </w:r>
    <w:r w:rsidR="000D4B16">
      <w:rPr>
        <w:noProof/>
        <w:color w:val="000000"/>
      </w:rPr>
      <w:t>1</w:t>
    </w:r>
    <w:r>
      <w:rPr>
        <w:color w:val="000000"/>
      </w:rPr>
      <w:fldChar w:fldCharType="end"/>
    </w:r>
  </w:p>
  <w:p w14:paraId="17223703" w14:textId="77777777" w:rsidR="00D31597" w:rsidRDefault="00D315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D155" w14:textId="77777777" w:rsidR="000C7048" w:rsidRDefault="000C7048">
      <w:r>
        <w:separator/>
      </w:r>
    </w:p>
  </w:footnote>
  <w:footnote w:type="continuationSeparator" w:id="0">
    <w:p w14:paraId="21776861" w14:textId="77777777" w:rsidR="000C7048" w:rsidRDefault="000C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17A5" w14:textId="77777777" w:rsidR="00D31597" w:rsidRDefault="00D315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Merriweather" w:eastAsia="Merriweather" w:hAnsi="Merriweather" w:cs="Merriweathe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017B"/>
    <w:multiLevelType w:val="multilevel"/>
    <w:tmpl w:val="E38E3C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0D677B"/>
    <w:multiLevelType w:val="multilevel"/>
    <w:tmpl w:val="654C72EE"/>
    <w:lvl w:ilvl="0">
      <w:start w:val="1"/>
      <w:numFmt w:val="lowerRoman"/>
      <w:lvlText w:val="%1."/>
      <w:lvlJc w:val="right"/>
      <w:pPr>
        <w:ind w:left="144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4286E"/>
    <w:multiLevelType w:val="multilevel"/>
    <w:tmpl w:val="F432D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74789A"/>
    <w:multiLevelType w:val="multilevel"/>
    <w:tmpl w:val="E2101D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GHEA Grapalat" w:eastAsia="GHEA Grapalat" w:hAnsi="GHEA Grapalat" w:cs="GHEA Grapala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6B420060"/>
    <w:multiLevelType w:val="multilevel"/>
    <w:tmpl w:val="E2101D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GHEA Grapalat" w:eastAsia="GHEA Grapalat" w:hAnsi="GHEA Grapalat" w:cs="GHEA Grapala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 w16cid:durableId="1047141252">
    <w:abstractNumId w:val="1"/>
  </w:num>
  <w:num w:numId="2" w16cid:durableId="49817052">
    <w:abstractNumId w:val="3"/>
  </w:num>
  <w:num w:numId="3" w16cid:durableId="1393770693">
    <w:abstractNumId w:val="4"/>
  </w:num>
  <w:num w:numId="4" w16cid:durableId="42340150">
    <w:abstractNumId w:val="0"/>
  </w:num>
  <w:num w:numId="5" w16cid:durableId="93116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597"/>
    <w:rsid w:val="00051856"/>
    <w:rsid w:val="000C7048"/>
    <w:rsid w:val="000D4B16"/>
    <w:rsid w:val="000E6E1F"/>
    <w:rsid w:val="00170F8A"/>
    <w:rsid w:val="001D7791"/>
    <w:rsid w:val="00222D0A"/>
    <w:rsid w:val="002654C0"/>
    <w:rsid w:val="00292B54"/>
    <w:rsid w:val="002B42BB"/>
    <w:rsid w:val="00304F77"/>
    <w:rsid w:val="00310CB6"/>
    <w:rsid w:val="003D08E6"/>
    <w:rsid w:val="004465FC"/>
    <w:rsid w:val="004B057E"/>
    <w:rsid w:val="004E701D"/>
    <w:rsid w:val="0052689B"/>
    <w:rsid w:val="005351E0"/>
    <w:rsid w:val="005644E3"/>
    <w:rsid w:val="0057007D"/>
    <w:rsid w:val="006D5C53"/>
    <w:rsid w:val="006D648E"/>
    <w:rsid w:val="006F5B2F"/>
    <w:rsid w:val="007614A2"/>
    <w:rsid w:val="008C1F89"/>
    <w:rsid w:val="008C646C"/>
    <w:rsid w:val="009724CB"/>
    <w:rsid w:val="00A515A4"/>
    <w:rsid w:val="00A9517A"/>
    <w:rsid w:val="00B06CDD"/>
    <w:rsid w:val="00C4200E"/>
    <w:rsid w:val="00C42A14"/>
    <w:rsid w:val="00C4624F"/>
    <w:rsid w:val="00C91861"/>
    <w:rsid w:val="00CB08AA"/>
    <w:rsid w:val="00D01314"/>
    <w:rsid w:val="00D31597"/>
    <w:rsid w:val="00DA161E"/>
    <w:rsid w:val="00DD07D3"/>
    <w:rsid w:val="00E45D6E"/>
    <w:rsid w:val="00E73F58"/>
    <w:rsid w:val="00F321C0"/>
    <w:rsid w:val="00F5257A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8BEE"/>
  <w15:docId w15:val="{4703B175-9F30-44EE-8892-81642783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y-AM" w:eastAsia="hy-A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7D"/>
  </w:style>
  <w:style w:type="paragraph" w:styleId="Heading1">
    <w:name w:val="heading 1"/>
    <w:basedOn w:val="Normal"/>
    <w:next w:val="Normal"/>
    <w:uiPriority w:val="9"/>
    <w:qFormat/>
    <w:rsid w:val="00A951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951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951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951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951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951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9517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60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7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F6D1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D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6D1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2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B0781"/>
    <w:rPr>
      <w:rFonts w:ascii="Calibri" w:hAnsi="Calibri"/>
    </w:rPr>
  </w:style>
  <w:style w:type="paragraph" w:styleId="Revision">
    <w:name w:val="Revision"/>
    <w:hidden/>
    <w:uiPriority w:val="99"/>
    <w:semiHidden/>
    <w:rsid w:val="00B725C7"/>
  </w:style>
  <w:style w:type="paragraph" w:styleId="Quote">
    <w:name w:val="Quote"/>
    <w:basedOn w:val="ListParagraph"/>
    <w:next w:val="Normal"/>
    <w:link w:val="QuoteChar"/>
    <w:uiPriority w:val="29"/>
    <w:qFormat/>
    <w:rsid w:val="00013A64"/>
    <w:pPr>
      <w:spacing w:before="120" w:after="120" w:line="276" w:lineRule="auto"/>
      <w:contextualSpacing w:val="0"/>
      <w:jc w:val="both"/>
    </w:pPr>
    <w:rPr>
      <w:rFonts w:ascii="GHEA Grapalat" w:hAnsi="GHEA Grapalat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3A64"/>
    <w:rPr>
      <w:rFonts w:ascii="GHEA Grapalat" w:eastAsia="Times New Roman" w:hAnsi="GHEA Grapalat" w:cs="Times New Roman"/>
      <w:i/>
      <w:iCs/>
      <w:sz w:val="24"/>
      <w:szCs w:val="24"/>
      <w:lang w:val="hy-AM"/>
    </w:rPr>
  </w:style>
  <w:style w:type="paragraph" w:customStyle="1" w:styleId="Default">
    <w:name w:val="Default"/>
    <w:rsid w:val="00D52B18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rsid w:val="00A951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DzbKKrTPbYDYZzyUvJAGJL1nQ==">AMUW2mXIqmnszMagQnRr8w7ogKpDlywx1NJoTXAH5J/DVPJxWZMCMQsnkGOA0+dPg63mbZq6BZqd9LKox2aaKjuEC1F3HlAVEjhk9+l4kXQr4vPH/skEUBA=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https://mul2-moj.gov.am/tasks/391511/oneclick/220224_Reasoning.docx?token=2a22c3444a663c2a227743e5fe511a1c</cp:keywords>
  <cp:lastModifiedBy>varchutyun hakakorupcion</cp:lastModifiedBy>
  <cp:revision>22</cp:revision>
  <dcterms:created xsi:type="dcterms:W3CDTF">2020-09-29T13:48:00Z</dcterms:created>
  <dcterms:modified xsi:type="dcterms:W3CDTF">2022-04-25T13:24:00Z</dcterms:modified>
</cp:coreProperties>
</file>