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CAB" w:rsidRPr="00B76C5C" w:rsidRDefault="00924CAB" w:rsidP="00924CAB">
      <w:pPr>
        <w:spacing w:after="0" w:line="336" w:lineRule="auto"/>
        <w:ind w:right="-284"/>
        <w:jc w:val="center"/>
        <w:rPr>
          <w:rFonts w:ascii="GHEA Grapalat" w:hAnsi="GHEA Grapalat"/>
          <w:b/>
          <w:sz w:val="24"/>
          <w:szCs w:val="24"/>
          <w:lang w:val="ru-RU"/>
        </w:rPr>
      </w:pPr>
      <w:r w:rsidRPr="00B76C5C">
        <w:rPr>
          <w:rFonts w:ascii="GHEA Grapalat" w:hAnsi="GHEA Grapalat" w:cs="Arial"/>
          <w:sz w:val="24"/>
          <w:szCs w:val="24"/>
        </w:rPr>
        <w:t>ՀԻՄՆԱՎՈՐՈՒՄ</w:t>
      </w:r>
    </w:p>
    <w:p w:rsidR="00924CAB" w:rsidRPr="00B76C5C" w:rsidRDefault="00924CAB" w:rsidP="00924CAB">
      <w:pPr>
        <w:spacing w:after="0" w:line="336" w:lineRule="auto"/>
        <w:ind w:right="-284"/>
        <w:jc w:val="center"/>
        <w:rPr>
          <w:rFonts w:ascii="GHEA Grapalat" w:hAnsi="GHEA Grapalat" w:cs="Arial"/>
          <w:sz w:val="24"/>
          <w:szCs w:val="24"/>
          <w:lang w:val="ru-RU"/>
        </w:rPr>
      </w:pP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ՀԱՅԱՍՏԱՆԻ ՀԱՆՐԱՊԵՏՈՒԹՅԱՆ ԿՈՏԱՅՔԻ ՄԱՐԶԻ ԲՅՈՒՐԵՂԱՎԱՆ ՀԱՄԱՅՆՔԻ ՆՈՒՌՆՈՒՍ  ԲՆԱԿԱՎԱՅՐԻ «ԱՐՁԱԳԱՆՔ» ՔԱՆԴԱԿԻ ՀԱՐԱԿԻՑ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ՏԱՐԱԾՔԻ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ՆԿԱՏՄԱՄԲ </w:t>
      </w:r>
      <w:r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ՀԱՆՐՈՒԹՅԱՆ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ԳԵՐԱԿԱ ՇԱՀ ՃԱՆԱՉԵԼՈՒ ՄԱՍԻՆ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 xml:space="preserve"> </w:t>
      </w:r>
      <w:r w:rsidRPr="00B76C5C">
        <w:rPr>
          <w:rFonts w:ascii="GHEA Grapalat" w:eastAsia="Times New Roman" w:hAnsi="GHEA Grapalat" w:cs="Times New Roman"/>
          <w:bCs/>
          <w:sz w:val="24"/>
          <w:szCs w:val="24"/>
        </w:rPr>
        <w:t xml:space="preserve">ՀԱՅԱՍՏԱՆԻ ՀԱՆՐԱՊԵՏՈՒԹՅԱՆ </w:t>
      </w:r>
      <w:r w:rsidRPr="00B76C5C">
        <w:rPr>
          <w:rFonts w:ascii="GHEA Grapalat" w:eastAsia="MS Mincho" w:hAnsi="GHEA Grapalat" w:cs="Arial"/>
          <w:sz w:val="24"/>
          <w:szCs w:val="24"/>
        </w:rPr>
        <w:t>ԿԱՌԱՎԱՐՈՒԹՅԱՆ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ՈՐՈՇՄԱՆ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ՆԱԽԱԳԾԻ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ԸՆԴՈՒՆՄԱՆ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ԱՆՀՐԱԺԵՇՏՈՒԹՅԱՆ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ՎԵՐԱԲԵՐՅԱԼ</w:t>
      </w:r>
    </w:p>
    <w:p w:rsidR="00924CAB" w:rsidRPr="00B76C5C" w:rsidRDefault="00924CAB" w:rsidP="00924CAB">
      <w:pPr>
        <w:spacing w:after="0" w:line="336" w:lineRule="auto"/>
        <w:ind w:right="-284"/>
        <w:jc w:val="center"/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</w:pPr>
    </w:p>
    <w:p w:rsidR="00924CAB" w:rsidRPr="00B76C5C" w:rsidRDefault="00924CAB" w:rsidP="00924CAB">
      <w:pPr>
        <w:pStyle w:val="mechtex"/>
        <w:numPr>
          <w:ilvl w:val="0"/>
          <w:numId w:val="1"/>
        </w:numPr>
        <w:tabs>
          <w:tab w:val="left" w:pos="1134"/>
          <w:tab w:val="left" w:pos="1560"/>
        </w:tabs>
        <w:spacing w:line="336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անհրաժեշտությունը</w:t>
      </w:r>
      <w:r w:rsidRPr="00B76C5C">
        <w:rPr>
          <w:rFonts w:ascii="GHEA Grapalat" w:hAnsi="GHEA Grapalat" w:cs="GHEA Grapalat"/>
          <w:b/>
          <w:sz w:val="24"/>
          <w:szCs w:val="24"/>
          <w:lang w:val="hy-AM"/>
        </w:rPr>
        <w:t xml:space="preserve"> (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)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FF48B7" w:rsidRDefault="00924CAB" w:rsidP="00924CAB">
      <w:pPr>
        <w:spacing w:after="0" w:line="336" w:lineRule="auto"/>
        <w:jc w:val="both"/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</w:pPr>
      <w:r w:rsidRPr="00B76C5C">
        <w:rPr>
          <w:rFonts w:ascii="GHEA Grapalat" w:hAnsi="GHEA Grapalat" w:cs="Arial"/>
          <w:sz w:val="24"/>
          <w:szCs w:val="24"/>
          <w:lang w:eastAsia="hy-AM"/>
        </w:rPr>
        <w:t xml:space="preserve">         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Հայաստանի Հանրապետության Կոտայքի մարզի Բյուրեղավան համայնքի Նուռնուս  բնակավայրի «Արձագանք» քանդակի հարակից տարածքի նկատմամբ </w:t>
      </w:r>
      <w:r w:rsidRPr="0048572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հանրության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գերակա շահ ճանաչելու մասին Հայաստանի Հանրապետության կառավարության որոշման ընդունումը պայմանավորված է պատմության և մշակ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ույթի անշարժ </w:t>
      </w:r>
      <w:r w:rsidR="007D5D44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հանրապետական նշանակության </w:t>
      </w:r>
      <w:r w:rsidR="003D421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նորահայտ հուշարձանի</w:t>
      </w:r>
      <w:r w:rsidR="007D5D44" w:rsidRPr="0049069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հարակի</w:t>
      </w:r>
      <w:r w:rsidR="003D421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ց հողամասեր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ի նպ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ատակային և գործառնական նշանությ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ունը փոփոխելու և իրավական կարգավիճակը հստակեցնելու, հուշարձանի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հետագա պահպանությունն ապահովելու, անխոչընդոտ նորոգման և վերականգնման աշխատանքներն իրականացնելու, </w:t>
      </w:r>
      <w:r w:rsidRPr="00B76C5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պատմագեղարվեստական արժեքի բացահայտման, պահպանական գոտում օգտագործման պայմանակարգերի (ռեժիմի) պահպանման, շրջակա տարածքի կառուցապատման կանոնակարգման ու բարեկարգման.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հուշարձանը մշակութային, ճանաչողողական և զբոսաշրջային նպատակներով առավել արդյունավետ օգտագործման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անհրաժեշտությամբ: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</w:t>
      </w:r>
    </w:p>
    <w:p w:rsidR="00924CAB" w:rsidRPr="00FF48B7" w:rsidRDefault="00924CAB" w:rsidP="00924CAB">
      <w:pPr>
        <w:pStyle w:val="ListParagraph"/>
        <w:numPr>
          <w:ilvl w:val="0"/>
          <w:numId w:val="1"/>
        </w:numPr>
        <w:spacing w:after="0" w:line="336" w:lineRule="auto"/>
        <w:jc w:val="both"/>
        <w:rPr>
          <w:rFonts w:ascii="GHEA Grapalat" w:hAnsi="GHEA Grapalat"/>
          <w:b/>
          <w:sz w:val="24"/>
          <w:szCs w:val="24"/>
        </w:rPr>
      </w:pPr>
      <w:r w:rsidRPr="00FF48B7">
        <w:rPr>
          <w:rFonts w:ascii="GHEA Grapalat" w:hAnsi="GHEA Grapalat" w:cs="Arial"/>
          <w:b/>
          <w:sz w:val="24"/>
          <w:szCs w:val="24"/>
        </w:rPr>
        <w:t>Ընթացիկ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իրավիճակը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և</w:t>
      </w:r>
      <w:r w:rsidRPr="00FF48B7">
        <w:rPr>
          <w:rFonts w:ascii="GHEA Grapalat" w:hAnsi="GHEA Grapalat"/>
          <w:b/>
          <w:sz w:val="24"/>
          <w:szCs w:val="24"/>
        </w:rPr>
        <w:t xml:space="preserve"> </w:t>
      </w:r>
      <w:r w:rsidRPr="00FF48B7">
        <w:rPr>
          <w:rFonts w:ascii="GHEA Grapalat" w:hAnsi="GHEA Grapalat" w:cs="Arial"/>
          <w:b/>
          <w:sz w:val="24"/>
          <w:szCs w:val="24"/>
        </w:rPr>
        <w:t>խնդիրները</w:t>
      </w:r>
      <w:r w:rsidRPr="00FF48B7">
        <w:rPr>
          <w:rFonts w:ascii="GHEA Grapalat" w:hAnsi="GHEA Grapalat"/>
          <w:b/>
          <w:sz w:val="24"/>
          <w:szCs w:val="24"/>
        </w:rPr>
        <w:t>.</w:t>
      </w:r>
    </w:p>
    <w:p w:rsidR="00924CAB" w:rsidRPr="00896D22" w:rsidRDefault="00924CAB" w:rsidP="00924CAB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Կոտայքի մարզի Բյուրեղավան համայնքի Նուռնուս  բնակավայրի «Արձագանք» քանդակի 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վերականգնման աշխատանքների ընթացքում պարզվել է, որ հուշարձանի և դրան հարակից տարածք</w:t>
      </w: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="003D42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3D42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շուրջ 5000 քմ մակերեսով, 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հանդիսանում են քաղաքացու սեփականություն: Կոտայքի մարզպետարանում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ամայն</w:t>
      </w: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ի ղեկավարի, </w:t>
      </w: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ՀՀ կադաստրի կոմիտեի հետ քննարկումների արդյունքում և ներկայացված տեղեկատվությամբ ճշտվել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հիշյալ հող</w:t>
      </w: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 կադաստրային ծածկագիրը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Pr="00AC4D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նպատակային նշանակությունը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</w:t>
      </w:r>
      <w:r w:rsidRPr="00896D2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հստակցվել է 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սեփականատերը: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Հողամասի օտարման խնդիրը քննարկ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վել է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 w:rsidRPr="00896D2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ւ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շարձա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նի պահպանության հետ առնչվող վեր</w:t>
      </w:r>
      <w:r w:rsidRPr="00896D2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նշյալ անձանց հետ: Հարցի կարգավորման համար սեփականաշնորված հողամասը 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մեկ 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այլ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համայնքի սահմաններ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ում 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գտնվող 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հողակտորով փոխանակելու (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Ծաղկաձոր համայնք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) փորձ է կատարվել</w:t>
      </w:r>
      <w:r w:rsidRPr="00AF6C7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,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AF6C7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ակայն հետագա քննարկումների արդյունքում պարզվել է, որ իրավական հիմքերը բավարար չեն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նման փոխանակում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ի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րականաց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նելու 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համար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  <w:r w:rsidRPr="0025152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</w:p>
    <w:p w:rsidR="00924CAB" w:rsidRPr="00DB1953" w:rsidRDefault="00924CAB" w:rsidP="00924CAB">
      <w:pPr>
        <w:pStyle w:val="mechtex"/>
        <w:spacing w:line="336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047C9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Ներկայում, ք</w:t>
      </w:r>
      <w:r w:rsidRPr="00DB195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անի որ հ</w:t>
      </w:r>
      <w:r w:rsidRPr="00B76C5C">
        <w:rPr>
          <w:rFonts w:ascii="GHEA Grapalat" w:hAnsi="GHEA Grapalat" w:cs="Arial"/>
          <w:sz w:val="24"/>
          <w:szCs w:val="24"/>
          <w:lang w:val="hy-AM"/>
        </w:rPr>
        <w:t>ուշարձանը գտնվում է քաղաքացուն սեփականաշնորհված հողամասում</w:t>
      </w:r>
      <w:r w:rsidRPr="00047C94">
        <w:rPr>
          <w:rFonts w:ascii="GHEA Grapalat" w:hAnsi="GHEA Grapalat" w:cs="Arial"/>
          <w:sz w:val="24"/>
          <w:szCs w:val="24"/>
          <w:lang w:val="hy-AM"/>
        </w:rPr>
        <w:t>՝</w:t>
      </w:r>
      <w:r w:rsidRPr="00B76C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47C94">
        <w:rPr>
          <w:rFonts w:ascii="GHEA Grapalat" w:hAnsi="GHEA Grapalat" w:cs="Arial"/>
          <w:sz w:val="24"/>
          <w:szCs w:val="24"/>
          <w:lang w:val="hy-AM"/>
        </w:rPr>
        <w:t>հնարավոր է դառնում ցանկացած պահի վերջինիս կողմից լրացուցիչ խոչընդոտների հարուցումը</w:t>
      </w:r>
      <w:r w:rsidRPr="00DB1953">
        <w:rPr>
          <w:rFonts w:ascii="GHEA Grapalat" w:hAnsi="GHEA Grapalat" w:cs="Arial"/>
          <w:sz w:val="24"/>
          <w:szCs w:val="24"/>
          <w:lang w:val="hy-AM"/>
        </w:rPr>
        <w:t xml:space="preserve"> դրա</w:t>
      </w:r>
      <w:r w:rsidRPr="00B76C5C">
        <w:rPr>
          <w:rFonts w:ascii="GHEA Grapalat" w:hAnsi="GHEA Grapalat" w:cs="Arial"/>
          <w:sz w:val="24"/>
          <w:szCs w:val="24"/>
          <w:lang w:val="hy-AM"/>
        </w:rPr>
        <w:t xml:space="preserve"> պահպանության, նորոգման ու վերականգնման, տարածքի բարեկարգման </w:t>
      </w:r>
      <w:r>
        <w:rPr>
          <w:rFonts w:ascii="GHEA Grapalat" w:hAnsi="GHEA Grapalat" w:cs="Arial"/>
          <w:sz w:val="24"/>
          <w:szCs w:val="24"/>
          <w:lang w:val="hy-AM"/>
        </w:rPr>
        <w:t>աշխատանքներ</w:t>
      </w:r>
      <w:r w:rsidRPr="00047C94">
        <w:rPr>
          <w:rFonts w:ascii="GHEA Grapalat" w:hAnsi="GHEA Grapalat" w:cs="Arial"/>
          <w:sz w:val="24"/>
          <w:szCs w:val="24"/>
          <w:lang w:val="hy-AM"/>
        </w:rPr>
        <w:t>ի</w:t>
      </w:r>
      <w:r w:rsidRPr="00B76C5C">
        <w:rPr>
          <w:rFonts w:ascii="GHEA Grapalat" w:hAnsi="GHEA Grapalat" w:cs="Arial"/>
          <w:sz w:val="24"/>
          <w:szCs w:val="24"/>
          <w:lang w:val="hy-AM"/>
        </w:rPr>
        <w:t xml:space="preserve">, նպատակային օգտագործման գործընթացների </w:t>
      </w:r>
      <w:r>
        <w:rPr>
          <w:rFonts w:ascii="GHEA Grapalat" w:hAnsi="GHEA Grapalat" w:cs="Arial"/>
          <w:sz w:val="24"/>
          <w:szCs w:val="24"/>
          <w:lang w:val="hy-AM"/>
        </w:rPr>
        <w:t>կազմակերպ</w:t>
      </w:r>
      <w:r w:rsidRPr="00047C94">
        <w:rPr>
          <w:rFonts w:ascii="GHEA Grapalat" w:hAnsi="GHEA Grapalat" w:cs="Arial"/>
          <w:sz w:val="24"/>
          <w:szCs w:val="24"/>
          <w:lang w:val="hy-AM"/>
        </w:rPr>
        <w:t xml:space="preserve">ումն </w:t>
      </w:r>
      <w:r w:rsidRPr="00B76C5C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ապահով</w:t>
      </w:r>
      <w:r w:rsidRPr="00047C94">
        <w:rPr>
          <w:rFonts w:ascii="GHEA Grapalat" w:hAnsi="GHEA Grapalat" w:cs="Arial"/>
          <w:sz w:val="24"/>
          <w:szCs w:val="24"/>
          <w:lang w:val="hy-AM"/>
        </w:rPr>
        <w:t>ելու հարցում</w:t>
      </w:r>
      <w:r w:rsidRPr="00B76C5C">
        <w:rPr>
          <w:rFonts w:ascii="GHEA Grapalat" w:hAnsi="GHEA Grapalat" w:cs="Arial"/>
          <w:sz w:val="24"/>
          <w:szCs w:val="24"/>
          <w:lang w:val="hy-AM"/>
        </w:rPr>
        <w:t>: Միաժամանակ, հուշարձանի զբաղեցրած և հարակից տարածքները գտնվում են Երևան-Սևան միջպետական ճանապարհի միջնահատվածում, որտեղ սեփականատիրոջ կողմից հուշարձանի բնույթին հակասող աշխատանքների իրականացումը պատճառ կարող է հանդիսանալ հուշարձանի և դրա միջավայրի, պատմագեղարվեստական տեսքի և արժեքի աղճատման, մշակութային և զբոսաշրջային նպատակներով օգտագործման բացառմանը</w:t>
      </w:r>
      <w:r w:rsidRPr="00047C94">
        <w:rPr>
          <w:rFonts w:ascii="GHEA Grapalat" w:hAnsi="GHEA Grapalat" w:cs="Arial"/>
          <w:sz w:val="24"/>
          <w:szCs w:val="24"/>
          <w:lang w:val="hy-AM"/>
        </w:rPr>
        <w:t>:</w:t>
      </w:r>
      <w:r w:rsidR="003D421A">
        <w:rPr>
          <w:rFonts w:ascii="GHEA Grapalat" w:hAnsi="GHEA Grapalat" w:cs="Arial"/>
          <w:sz w:val="24"/>
          <w:szCs w:val="24"/>
          <w:lang w:val="hy-AM"/>
        </w:rPr>
        <w:t xml:space="preserve"> Այս իրավիճակի փոփոխության համար՝ կատարված ուսումնասիրություններով և քննարկումների արդյունքում առավել նպատակահարմկար է համարվել հիշյալ հողամասից 1600 քմ հողի ն</w:t>
      </w:r>
      <w:r w:rsidR="00171266">
        <w:rPr>
          <w:rFonts w:ascii="GHEA Grapalat" w:hAnsi="GHEA Grapalat" w:cs="Arial"/>
          <w:sz w:val="24"/>
          <w:szCs w:val="24"/>
          <w:lang w:val="hy-AM"/>
        </w:rPr>
        <w:t>կ</w:t>
      </w:r>
      <w:r w:rsidR="003D421A">
        <w:rPr>
          <w:rFonts w:ascii="GHEA Grapalat" w:hAnsi="GHEA Grapalat" w:cs="Arial"/>
          <w:sz w:val="24"/>
          <w:szCs w:val="24"/>
          <w:lang w:val="hy-AM"/>
        </w:rPr>
        <w:t>ատմամբ հանրության գերակա շահի ճանաչումը, ինչը թույլ կտա ապահովել հուշարձանի և դրա պատմական միջավայրի պահպանության խնդիրը</w:t>
      </w:r>
      <w:r w:rsidR="00171266">
        <w:rPr>
          <w:rFonts w:ascii="GHEA Grapalat" w:hAnsi="GHEA Grapalat" w:cs="Arial"/>
          <w:sz w:val="24"/>
          <w:szCs w:val="24"/>
          <w:lang w:val="hy-AM"/>
        </w:rPr>
        <w:t>:</w:t>
      </w:r>
      <w:r w:rsidRPr="0049069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="003D42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Հողի սեփականատերը համաձայնություն է տվել գործընթացի իրականացմանը և արդյունքում </w:t>
      </w:r>
      <w:r w:rsidR="007B526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2022 թվականին ձեռք է բերել նշյալ</w:t>
      </w:r>
      <w:r w:rsidR="003D421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հողակտորի </w:t>
      </w:r>
      <w:r w:rsidR="007B526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նկատմամբ գույքային իրավունքի գրանցման վկայականը: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 w:eastAsia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նպատակը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  <w:r w:rsidRPr="00B76C5C">
        <w:rPr>
          <w:rFonts w:ascii="GHEA Grapalat" w:hAnsi="GHEA Grapalat"/>
          <w:b/>
          <w:sz w:val="24"/>
          <w:szCs w:val="24"/>
          <w:lang w:val="pt-PT"/>
        </w:rPr>
        <w:t xml:space="preserve"> 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B76C5C">
        <w:rPr>
          <w:rFonts w:ascii="GHEA Grapalat" w:hAnsi="GHEA Grapalat" w:cs="Arial"/>
          <w:sz w:val="24"/>
          <w:szCs w:val="24"/>
          <w:lang w:val="pt-PT"/>
        </w:rPr>
        <w:t>Սույն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pt-PT"/>
        </w:rPr>
        <w:t>մշակված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pt-PT"/>
        </w:rPr>
        <w:t>որոշման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 w:cs="Arial"/>
          <w:sz w:val="24"/>
          <w:szCs w:val="24"/>
          <w:lang w:val="pt-PT"/>
        </w:rPr>
        <w:t xml:space="preserve">ընդունմամբ </w:t>
      </w:r>
      <w:r w:rsidRPr="00B76C5C">
        <w:rPr>
          <w:rFonts w:ascii="GHEA Grapalat" w:hAnsi="GHEA Grapalat" w:cs="Arial"/>
          <w:sz w:val="24"/>
          <w:szCs w:val="24"/>
          <w:lang w:val="pt-PT"/>
        </w:rPr>
        <w:t>կ</w:t>
      </w:r>
      <w:r w:rsidRPr="00B76C5C">
        <w:rPr>
          <w:rFonts w:ascii="GHEA Grapalat" w:hAnsi="GHEA Grapalat" w:cs="Arial"/>
          <w:sz w:val="24"/>
          <w:szCs w:val="24"/>
          <w:lang w:val="hy-AM"/>
        </w:rPr>
        <w:t>կ</w:t>
      </w:r>
      <w:r w:rsidRPr="00B76C5C">
        <w:rPr>
          <w:rFonts w:ascii="GHEA Grapalat" w:hAnsi="GHEA Grapalat" w:cs="Arial"/>
          <w:sz w:val="24"/>
          <w:szCs w:val="24"/>
          <w:lang w:val="pt-PT"/>
        </w:rPr>
        <w:t>արգավորվ</w:t>
      </w:r>
      <w:r w:rsidRPr="00B76C5C">
        <w:rPr>
          <w:rFonts w:ascii="GHEA Grapalat" w:hAnsi="GHEA Grapalat" w:cs="Arial"/>
          <w:sz w:val="24"/>
          <w:szCs w:val="24"/>
          <w:lang w:val="hy-AM"/>
        </w:rPr>
        <w:t>են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pt-PT"/>
        </w:rPr>
        <w:t>և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կ</w:t>
      </w:r>
      <w:r w:rsidRPr="00B76C5C">
        <w:rPr>
          <w:rFonts w:ascii="GHEA Grapalat" w:hAnsi="GHEA Grapalat" w:cs="Arial"/>
          <w:sz w:val="24"/>
          <w:szCs w:val="24"/>
          <w:lang w:val="pt-PT"/>
        </w:rPr>
        <w:t>հ</w:t>
      </w:r>
      <w:r w:rsidRPr="00B76C5C">
        <w:rPr>
          <w:rFonts w:ascii="GHEA Grapalat" w:hAnsi="GHEA Grapalat" w:cs="Arial"/>
          <w:sz w:val="24"/>
          <w:szCs w:val="24"/>
          <w:lang w:val="hy-AM"/>
        </w:rPr>
        <w:t>ա</w:t>
      </w:r>
      <w:r w:rsidRPr="00B76C5C">
        <w:rPr>
          <w:rFonts w:ascii="GHEA Grapalat" w:hAnsi="GHEA Grapalat" w:cs="Arial"/>
          <w:sz w:val="24"/>
          <w:szCs w:val="24"/>
          <w:lang w:val="pt-PT"/>
        </w:rPr>
        <w:t>ստա</w:t>
      </w:r>
      <w:r w:rsidRPr="00B76C5C">
        <w:rPr>
          <w:rFonts w:ascii="GHEA Grapalat" w:hAnsi="GHEA Grapalat" w:cs="Arial"/>
          <w:sz w:val="24"/>
          <w:szCs w:val="24"/>
          <w:lang w:val="hy-AM"/>
        </w:rPr>
        <w:t>տ</w:t>
      </w:r>
      <w:r w:rsidRPr="00B76C5C">
        <w:rPr>
          <w:rFonts w:ascii="GHEA Grapalat" w:hAnsi="GHEA Grapalat" w:cs="Arial"/>
          <w:sz w:val="24"/>
          <w:szCs w:val="24"/>
          <w:lang w:val="pt-PT"/>
        </w:rPr>
        <w:t>վեն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հուշարձանի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նկատմամբ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պետության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B76C5C">
        <w:rPr>
          <w:rFonts w:ascii="GHEA Grapalat" w:hAnsi="GHEA Grapalat"/>
          <w:sz w:val="24"/>
          <w:szCs w:val="24"/>
          <w:lang w:val="hy-AM"/>
        </w:rPr>
        <w:t>պետական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լիազոր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մարմնի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իրավասությունները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B76C5C">
        <w:rPr>
          <w:rFonts w:ascii="GHEA Grapalat" w:hAnsi="GHEA Grapalat"/>
          <w:sz w:val="24"/>
          <w:szCs w:val="24"/>
          <w:lang w:val="hy-AM"/>
        </w:rPr>
        <w:t>կհստակեցվի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պետական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մարմինների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գործառույթների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շրջանակը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, </w:t>
      </w:r>
      <w:r w:rsidRPr="00B76C5C">
        <w:rPr>
          <w:rFonts w:ascii="GHEA Grapalat" w:hAnsi="GHEA Grapalat"/>
          <w:sz w:val="24"/>
          <w:szCs w:val="24"/>
          <w:lang w:val="hy-AM"/>
        </w:rPr>
        <w:t>ծրագրվող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և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իրականացվող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ու </w:t>
      </w:r>
      <w:r w:rsidRPr="00B76C5C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կազմակերպման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անխոչընդոտ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ապահովումը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, </w:t>
      </w:r>
      <w:r w:rsidRPr="00B76C5C">
        <w:rPr>
          <w:rFonts w:ascii="GHEA Grapalat" w:hAnsi="GHEA Grapalat" w:cs="Arial"/>
          <w:sz w:val="24"/>
          <w:szCs w:val="24"/>
          <w:lang w:val="hy-AM"/>
        </w:rPr>
        <w:t>հուշարձանի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և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ՀՀ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օրենսդրությամբ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B76C5C">
        <w:rPr>
          <w:rFonts w:ascii="GHEA Grapalat" w:hAnsi="GHEA Grapalat" w:cs="Arial"/>
          <w:sz w:val="24"/>
          <w:szCs w:val="24"/>
          <w:lang w:val="pt-PT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իրականացումը</w:t>
      </w:r>
      <w:r>
        <w:rPr>
          <w:rFonts w:ascii="GHEA Grapalat" w:hAnsi="GHEA Grapalat" w:cs="Arial"/>
          <w:sz w:val="24"/>
          <w:szCs w:val="24"/>
          <w:lang w:val="pt-PT"/>
        </w:rPr>
        <w:t>,</w:t>
      </w:r>
      <w:r w:rsidRPr="00B76C5C">
        <w:rPr>
          <w:rFonts w:ascii="GHEA Grapalat" w:hAnsi="GHEA Grapalat"/>
          <w:sz w:val="24"/>
          <w:szCs w:val="24"/>
          <w:lang w:val="pt-PT"/>
        </w:rPr>
        <w:t xml:space="preserve"> </w:t>
      </w:r>
      <w:r>
        <w:rPr>
          <w:rFonts w:ascii="GHEA Grapalat" w:hAnsi="GHEA Grapalat"/>
          <w:sz w:val="24"/>
          <w:szCs w:val="24"/>
          <w:lang w:val="pt-PT"/>
        </w:rPr>
        <w:t>կլուծվի հուշարձանի տարածքի նպատակային և գործառնական նշանակության փոփոխության և ՀՀ Կոտայքի մարզի պատմության և մշակույթի անշարժ հուշարձանների պետական ցուցակում նորահայտ հուշարձանը ընդգրկելու օրենսդրությամբ սահմանված հարցերը: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մշակման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անձինք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B76C5C" w:rsidRDefault="00924CAB" w:rsidP="00924CAB">
      <w:pPr>
        <w:pStyle w:val="mechtex"/>
        <w:spacing w:line="33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76C5C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B76C5C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է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ՀՀ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կրթության, գիտության, մշակույթի և սպորտի </w:t>
      </w:r>
      <w:r w:rsidRPr="00B76C5C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B76C5C">
        <w:rPr>
          <w:rFonts w:ascii="GHEA Grapalat" w:hAnsi="GHEA Grapalat"/>
          <w:sz w:val="24"/>
          <w:szCs w:val="24"/>
          <w:lang w:val="hy-AM"/>
        </w:rPr>
        <w:t>: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C5C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B76C5C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B76C5C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924CAB" w:rsidRPr="00924CAB" w:rsidRDefault="00924CAB" w:rsidP="00924CAB">
      <w:pPr>
        <w:pStyle w:val="mechtex"/>
        <w:spacing w:line="336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B76C5C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        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Որոշման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ընդունման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արդյունքում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կապահովվեն հուշարձանների պահպանության և օգտագործման գործընթացները,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բարենպաստ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պայմաններ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կ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ստեղծվեն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հուշարձանների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պահպանության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օգտագործման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բնագավառում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լիազոր մարմնի,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պետական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կառավարման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lastRenderedPageBreak/>
        <w:t>մարմնի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հանրության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իրավաբանական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ու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ֆիզիկական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անձանց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կողմից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քանդակի պահպանության և օգտագործման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խնդիրների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924CA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լուծման համար</w:t>
      </w:r>
      <w:r w:rsidRPr="00924CA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: </w:t>
      </w:r>
    </w:p>
    <w:p w:rsidR="00924CAB" w:rsidRPr="00B76C5C" w:rsidRDefault="00924CAB" w:rsidP="00924CAB">
      <w:pPr>
        <w:pStyle w:val="mechtex"/>
        <w:spacing w:line="33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76C5C">
        <w:rPr>
          <w:rFonts w:ascii="GHEA Grapalat" w:hAnsi="GHEA Grapalat" w:cs="Arial"/>
          <w:b/>
          <w:sz w:val="24"/>
          <w:szCs w:val="24"/>
          <w:lang w:val="hy-AM"/>
        </w:rPr>
        <w:t>6.</w:t>
      </w:r>
      <w:r w:rsidRPr="00B76C5C">
        <w:rPr>
          <w:rFonts w:ascii="GHEA Grapalat" w:hAnsi="GHEA Grapalat" w:cs="Arial"/>
          <w:sz w:val="24"/>
          <w:szCs w:val="24"/>
          <w:lang w:val="hy-AM" w:eastAsia="hy-AM"/>
        </w:rPr>
        <w:t xml:space="preserve"> </w:t>
      </w:r>
      <w:r w:rsidRPr="00B76C5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Հայաստանի Հանրապետության Կոտայքի մարզի Բյուրեղավան համայնքի Նուռնուս բնակավայրի «Արձագանք» քանդակի հարակից տարածքի նկատմամբ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հանրության</w:t>
      </w:r>
      <w:r w:rsidRPr="00B76C5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գերակա շահ ճանաչելու մասին Հայաստանի Հանրապետության կառավարության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6C5C">
        <w:rPr>
          <w:rFonts w:ascii="GHEA Grapalat" w:hAnsi="GHEA Grapalat" w:cs="Sylfaen"/>
          <w:b/>
          <w:iCs/>
          <w:sz w:val="24"/>
          <w:szCs w:val="24"/>
          <w:lang w:val="hy-AM"/>
        </w:rPr>
        <w:t>որոշման նախագծի ընդունման կապը  ռազմավարական փաստաթղթերի հետ.</w:t>
      </w:r>
      <w:r w:rsidRPr="00B76C5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24CAB" w:rsidRPr="00B76C5C" w:rsidRDefault="00924CAB" w:rsidP="00924CAB">
      <w:pPr>
        <w:spacing w:after="0" w:line="336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  <w:r w:rsidRPr="00B76C5C">
        <w:rPr>
          <w:rFonts w:ascii="GHEA Grapalat" w:hAnsi="GHEA Grapalat"/>
        </w:rPr>
        <w:t xml:space="preserve">  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Հայաստանի Հանրապետության Կոտայքի մարզի Բյուրեղավան համայնքի Նուռնուս  բնակավայրի «Արձագանք» քանդակի հարակից տարածքի նկատմամբ բացառիկ` գերակա հանրային շահ ճանաչելու մասին Հայաստանի Հանրապետության կառավարության որոշման նախագծի ընդունումը</w:t>
      </w:r>
      <w:r w:rsidRPr="00B76C5C">
        <w:rPr>
          <w:rFonts w:ascii="GHEA Grapalat" w:hAnsi="GHEA Grapalat" w:cs="Sylfaen"/>
          <w:sz w:val="24"/>
          <w:szCs w:val="24"/>
        </w:rPr>
        <w:t xml:space="preserve"> բխում է Պատմության և մշակույթի անշարժ հուշարձանների ու պատմական միջավայրի պահպանության և օգտագործման մասին ՀՀ օրենքի 4-րդ հոդվածի, </w:t>
      </w:r>
      <w:r w:rsidRPr="00B76C5C">
        <w:rPr>
          <w:rFonts w:ascii="GHEA Grapalat" w:eastAsia="Times New Roman" w:hAnsi="GHEA Grapalat" w:cs="Times New Roman"/>
          <w:sz w:val="24"/>
          <w:szCs w:val="24"/>
        </w:rPr>
        <w:t xml:space="preserve">«Հայաստանի վերափոխման ռազմավարության» 2050 ցուցանիշների Մեր ազգային արժեքները մասի 7-րդ կետի, </w:t>
      </w:r>
      <w:r w:rsidRPr="00B76C5C">
        <w:rPr>
          <w:rFonts w:ascii="GHEA Grapalat" w:hAnsi="GHEA Grapalat" w:cs="Sylfaen"/>
          <w:sz w:val="24"/>
          <w:szCs w:val="24"/>
        </w:rPr>
        <w:t>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մասին N 1902-Լ որոշմամբ հաստատված N 1 հավելվածի «Կրթության, գիտության, մշակույթի և սպորտի նախարարություն բաժնի «Մշակույթ  մասի 33-րդ կետով սահմանված պահանջներից:</w:t>
      </w:r>
    </w:p>
    <w:p w:rsidR="00924CAB" w:rsidRPr="00B76C5C" w:rsidRDefault="00924CAB" w:rsidP="00924CAB">
      <w:pPr>
        <w:tabs>
          <w:tab w:val="left" w:pos="709"/>
        </w:tabs>
        <w:spacing w:after="0" w:line="336" w:lineRule="auto"/>
        <w:ind w:firstLine="448"/>
        <w:jc w:val="both"/>
        <w:rPr>
          <w:rFonts w:ascii="GHEA Grapalat" w:hAnsi="GHEA Grapalat"/>
          <w:b/>
          <w:shd w:val="clear" w:color="auto" w:fill="FFFFFF"/>
        </w:rPr>
      </w:pPr>
      <w:r w:rsidRPr="00B76C5C">
        <w:rPr>
          <w:rFonts w:ascii="GHEA Grapalat" w:hAnsi="GHEA Grapalat" w:cs="Sylfaen"/>
          <w:b/>
          <w:sz w:val="24"/>
          <w:szCs w:val="24"/>
        </w:rPr>
        <w:t xml:space="preserve">   7. Լրացուցիչ ֆինանսական միջոցների անհրաժեշտությունը և պետական բյուջեի եկամուտներում և ծախսերում սպսասվելիք փոփոխությունները.</w:t>
      </w:r>
    </w:p>
    <w:p w:rsidR="00924CAB" w:rsidRPr="00B76C5C" w:rsidRDefault="00924CAB" w:rsidP="00924CAB">
      <w:pPr>
        <w:tabs>
          <w:tab w:val="left" w:pos="709"/>
        </w:tabs>
        <w:spacing w:after="0" w:line="336" w:lineRule="auto"/>
        <w:ind w:firstLine="450"/>
        <w:jc w:val="both"/>
        <w:rPr>
          <w:rFonts w:ascii="GHEA Grapalat" w:hAnsi="GHEA Grapalat"/>
          <w:b/>
          <w:shd w:val="clear" w:color="auto" w:fill="FFFFFF"/>
        </w:rPr>
      </w:pPr>
      <w:r w:rsidRPr="00B76C5C">
        <w:rPr>
          <w:rFonts w:ascii="GHEA Grapalat" w:hAnsi="GHEA Grapalat"/>
          <w:sz w:val="24"/>
          <w:szCs w:val="24"/>
        </w:rPr>
        <w:t xml:space="preserve">   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Հայաստանի Հանրապետության Կոտայքի մարզի Բյուրեղավան համայնքի Նուռնուս բնակավայրի «Արձագանք» քանդակի հարակից տարածքի նկատմամբ </w:t>
      </w:r>
      <w:r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>հանրության</w:t>
      </w:r>
      <w:r w:rsidRPr="00B76C5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գերակա շահ ճանաչելու մասին </w:t>
      </w:r>
      <w:r w:rsidRPr="00B76C5C">
        <w:rPr>
          <w:rFonts w:ascii="GHEA Grapalat" w:eastAsia="Times New Roman" w:hAnsi="GHEA Grapalat" w:cs="Times New Roman"/>
          <w:bCs/>
          <w:sz w:val="24"/>
          <w:szCs w:val="24"/>
        </w:rPr>
        <w:t xml:space="preserve">Հայաստանի Հանրապետության </w:t>
      </w:r>
      <w:r w:rsidRPr="00B76C5C">
        <w:rPr>
          <w:rFonts w:ascii="GHEA Grapalat" w:eastAsia="MS Mincho" w:hAnsi="GHEA Grapalat" w:cs="Arial"/>
          <w:sz w:val="24"/>
          <w:szCs w:val="24"/>
        </w:rPr>
        <w:t>կառավարության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որոշման</w:t>
      </w:r>
      <w:r w:rsidRPr="00B76C5C"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B76C5C">
        <w:rPr>
          <w:rFonts w:ascii="GHEA Grapalat" w:hAnsi="GHEA Grapalat" w:cs="Arial"/>
          <w:sz w:val="24"/>
          <w:szCs w:val="24"/>
          <w:lang w:eastAsia="hy-AM"/>
        </w:rPr>
        <w:t>նախագծի</w:t>
      </w:r>
      <w:r w:rsidRPr="00B76C5C">
        <w:rPr>
          <w:rFonts w:ascii="GHEA Grapalat" w:hAnsi="GHEA Grapalat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ընդունումը Հայաստանի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Հանրապետության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պետական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բյուջեում</w:t>
      </w:r>
      <w:r w:rsidRPr="00B76C5C">
        <w:rPr>
          <w:rFonts w:ascii="GHEA Grapalat" w:hAnsi="GHEA Grapalat" w:cs="Times Armenian"/>
          <w:sz w:val="24"/>
          <w:szCs w:val="24"/>
        </w:rPr>
        <w:t xml:space="preserve"> </w:t>
      </w:r>
      <w:r w:rsidRPr="00B76C5C">
        <w:rPr>
          <w:rFonts w:ascii="GHEA Grapalat" w:hAnsi="GHEA Grapalat" w:cs="Arial"/>
          <w:sz w:val="24"/>
          <w:szCs w:val="24"/>
        </w:rPr>
        <w:t>առաջացնում է</w:t>
      </w:r>
      <w:r w:rsidRPr="00B76C5C">
        <w:rPr>
          <w:rFonts w:ascii="GHEA Grapalat" w:hAnsi="GHEA Grapalat" w:cs="Times Armenian"/>
          <w:sz w:val="24"/>
          <w:szCs w:val="24"/>
        </w:rPr>
        <w:t xml:space="preserve"> լրացուցիչ </w:t>
      </w:r>
      <w:r w:rsidRPr="00B76C5C">
        <w:rPr>
          <w:rFonts w:ascii="GHEA Grapalat" w:hAnsi="GHEA Grapalat" w:cs="Arial"/>
          <w:sz w:val="24"/>
          <w:szCs w:val="24"/>
        </w:rPr>
        <w:t xml:space="preserve">ծախս սեփականատիրոջ գույքի նկատմամբ հանրային գերակա շահ ճանաչելու պահանջով՝ օտարվող գույքի գնահատման արդյունքում հաշվարկված շուկայական արժեքի չափով: </w:t>
      </w:r>
    </w:p>
    <w:p w:rsidR="00924CAB" w:rsidRPr="00B76C5C" w:rsidRDefault="00924CAB" w:rsidP="00924CAB">
      <w:pPr>
        <w:pStyle w:val="mechtex"/>
        <w:spacing w:line="33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24CAB" w:rsidRPr="00B76C5C" w:rsidRDefault="00924CAB" w:rsidP="00924CAB">
      <w:pPr>
        <w:spacing w:after="0" w:line="336" w:lineRule="auto"/>
        <w:ind w:firstLine="375"/>
        <w:jc w:val="both"/>
        <w:rPr>
          <w:rFonts w:ascii="GHEA Grapalat" w:hAnsi="GHEA Grapalat"/>
          <w:bCs/>
          <w:sz w:val="24"/>
          <w:szCs w:val="24"/>
        </w:rPr>
      </w:pPr>
    </w:p>
    <w:p w:rsidR="007D17E7" w:rsidRDefault="007D17E7"/>
    <w:sectPr w:rsidR="007D17E7" w:rsidSect="00C95A5D">
      <w:pgSz w:w="11906" w:h="16838"/>
      <w:pgMar w:top="540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77884"/>
    <w:multiLevelType w:val="hybridMultilevel"/>
    <w:tmpl w:val="E36E70F4"/>
    <w:lvl w:ilvl="0" w:tplc="3A729BA8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AB"/>
    <w:rsid w:val="00131DC0"/>
    <w:rsid w:val="00171266"/>
    <w:rsid w:val="003D421A"/>
    <w:rsid w:val="007B5263"/>
    <w:rsid w:val="007D17E7"/>
    <w:rsid w:val="007D5D44"/>
    <w:rsid w:val="00924CAB"/>
    <w:rsid w:val="00DA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36143"/>
  <w15:chartTrackingRefBased/>
  <w15:docId w15:val="{DBC044B2-CCC4-45B2-B24A-6FCBB87EC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CAB"/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924CAB"/>
    <w:rPr>
      <w:b/>
      <w:bCs/>
    </w:rPr>
  </w:style>
  <w:style w:type="character" w:customStyle="1" w:styleId="mechtexChar">
    <w:name w:val="mechtex Char"/>
    <w:link w:val="mechtex"/>
    <w:locked/>
    <w:rsid w:val="00924CAB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924CAB"/>
    <w:pPr>
      <w:spacing w:after="0" w:line="240" w:lineRule="auto"/>
      <w:jc w:val="center"/>
    </w:pPr>
    <w:rPr>
      <w:rFonts w:ascii="Arial Armenian" w:eastAsiaTheme="minorHAnsi" w:hAnsi="Arial Armenian" w:cs="Arial Armenian"/>
      <w:lang w:val="en-US" w:eastAsia="ru-RU"/>
    </w:rPr>
  </w:style>
  <w:style w:type="paragraph" w:styleId="ListParagraph">
    <w:name w:val="List Paragraph"/>
    <w:basedOn w:val="Normal"/>
    <w:uiPriority w:val="34"/>
    <w:qFormat/>
    <w:rsid w:val="00924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Sargsyan1</dc:creator>
  <cp:keywords>https://mul2.gov.am/tasks/618020/oneclick/Himnavorum.docx?token=b57a824762b81e539e9963ccfaba88d6</cp:keywords>
  <dc:description/>
  <cp:lastModifiedBy>Lilit Sargsyan1</cp:lastModifiedBy>
  <cp:revision>7</cp:revision>
  <dcterms:created xsi:type="dcterms:W3CDTF">2022-05-20T05:36:00Z</dcterms:created>
  <dcterms:modified xsi:type="dcterms:W3CDTF">2022-05-26T11:37:00Z</dcterms:modified>
</cp:coreProperties>
</file>