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96A" w:rsidRDefault="001C496A" w:rsidP="001C496A">
      <w:pPr>
        <w:pStyle w:val="NormalWeb"/>
        <w:tabs>
          <w:tab w:val="left" w:pos="851"/>
        </w:tabs>
        <w:spacing w:after="0" w:line="276" w:lineRule="auto"/>
        <w:ind w:firstLine="567"/>
        <w:jc w:val="center"/>
        <w:rPr>
          <w:rFonts w:ascii="GHEA Grapalat" w:hAnsi="GHEA Grapalat"/>
          <w:b/>
        </w:rPr>
      </w:pPr>
      <w:r>
        <w:rPr>
          <w:rFonts w:ascii="GHEA Grapalat" w:hAnsi="GHEA Grapalat"/>
          <w:b/>
        </w:rPr>
        <w:t>ՏԵՂԵԿԱՆՔ</w:t>
      </w:r>
    </w:p>
    <w:p w:rsidR="001C496A" w:rsidRDefault="001C496A" w:rsidP="001C496A">
      <w:pPr>
        <w:pStyle w:val="NormalWeb"/>
        <w:tabs>
          <w:tab w:val="left" w:pos="851"/>
        </w:tabs>
        <w:spacing w:after="0" w:line="276" w:lineRule="auto"/>
        <w:ind w:firstLine="567"/>
        <w:jc w:val="center"/>
        <w:rPr>
          <w:rFonts w:ascii="GHEA Grapalat" w:hAnsi="GHEA Grapalat"/>
          <w:b/>
        </w:rPr>
      </w:pPr>
      <w:r>
        <w:rPr>
          <w:rFonts w:ascii="GHEA Grapalat" w:hAnsi="GHEA Grapalat"/>
          <w:b/>
        </w:rPr>
        <w:t>«ԴԱՏԱԿԱՆ ԱԿՏԵՐԻ ՀԱՐԿԱԴԻՐ ԿԱՏԱՐՄԱՆ ՄԱՍԻՆ» ՕՐԵՆՔՈՒՄ ԿԱՏԱՐՎՈՂ ՓՈՓՈԽՈՒԹՅՈՒՆՆԵՐԻ ԵՎ ԼՐԱՑՈՒՄՆԵՐԻ ՎԵՐԱԲԵՐՅԱԼ</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1C496A" w:rsidTr="001C496A">
        <w:trPr>
          <w:tblCellSpacing w:w="0" w:type="dxa"/>
        </w:trPr>
        <w:tc>
          <w:tcPr>
            <w:tcW w:w="2025" w:type="dxa"/>
            <w:shd w:val="clear" w:color="auto" w:fill="FFFFFF"/>
          </w:tcPr>
          <w:p w:rsidR="001C496A" w:rsidRDefault="001C496A">
            <w:pPr>
              <w:spacing w:after="0" w:line="276" w:lineRule="auto"/>
              <w:jc w:val="center"/>
              <w:rPr>
                <w:rFonts w:ascii="GHEA Grapalat" w:eastAsia="Times New Roman" w:hAnsi="GHEA Grapalat" w:cs="Times New Roman"/>
                <w:b/>
                <w:bCs/>
                <w:color w:val="000000"/>
                <w:lang w:eastAsia="hy-AM"/>
              </w:rPr>
            </w:pPr>
          </w:p>
          <w:p w:rsidR="001C496A" w:rsidRDefault="001C496A">
            <w:pPr>
              <w:spacing w:after="0" w:line="276" w:lineRule="auto"/>
              <w:jc w:val="center"/>
              <w:rPr>
                <w:rFonts w:ascii="GHEA Grapalat" w:eastAsia="Times New Roman" w:hAnsi="GHEA Grapalat" w:cs="Times New Roman"/>
                <w:color w:val="000000"/>
                <w:lang w:eastAsia="hy-AM"/>
              </w:rPr>
            </w:pPr>
            <w:r>
              <w:rPr>
                <w:rFonts w:ascii="GHEA Grapalat" w:eastAsia="Times New Roman" w:hAnsi="GHEA Grapalat" w:cs="Times New Roman"/>
                <w:b/>
                <w:bCs/>
                <w:color w:val="000000"/>
                <w:lang w:eastAsia="hy-AM"/>
              </w:rPr>
              <w:t>Հոդված 52.</w:t>
            </w:r>
          </w:p>
        </w:tc>
        <w:tc>
          <w:tcPr>
            <w:tcW w:w="0" w:type="auto"/>
            <w:shd w:val="clear" w:color="auto" w:fill="FFFFFF"/>
            <w:vAlign w:val="center"/>
          </w:tcPr>
          <w:p w:rsidR="001C496A" w:rsidRDefault="001C496A">
            <w:pPr>
              <w:spacing w:after="0" w:line="276" w:lineRule="auto"/>
              <w:rPr>
                <w:rFonts w:ascii="GHEA Grapalat" w:eastAsia="Times New Roman" w:hAnsi="GHEA Grapalat" w:cs="Times New Roman"/>
                <w:b/>
                <w:bCs/>
                <w:color w:val="000000"/>
                <w:lang w:eastAsia="hy-AM"/>
              </w:rPr>
            </w:pPr>
          </w:p>
          <w:p w:rsidR="001C496A" w:rsidRDefault="001C496A">
            <w:pPr>
              <w:spacing w:after="0" w:line="276" w:lineRule="auto"/>
              <w:rPr>
                <w:rFonts w:ascii="GHEA Grapalat" w:eastAsia="Times New Roman" w:hAnsi="GHEA Grapalat" w:cs="Times New Roman"/>
                <w:color w:val="000000"/>
                <w:lang w:eastAsia="hy-AM"/>
              </w:rPr>
            </w:pPr>
            <w:r>
              <w:rPr>
                <w:rFonts w:ascii="GHEA Grapalat" w:eastAsia="Times New Roman" w:hAnsi="GHEA Grapalat" w:cs="Times New Roman"/>
                <w:b/>
                <w:bCs/>
                <w:color w:val="000000"/>
                <w:lang w:eastAsia="hy-AM"/>
              </w:rPr>
              <w:t>Պարտապանի գույքի պահատվությունը</w:t>
            </w:r>
          </w:p>
        </w:tc>
      </w:tr>
    </w:tbl>
    <w:p w:rsidR="001C496A" w:rsidRDefault="001C496A" w:rsidP="001C496A">
      <w:pPr>
        <w:shd w:val="clear" w:color="auto" w:fill="FFFFFF"/>
        <w:spacing w:after="0" w:line="276" w:lineRule="auto"/>
        <w:ind w:firstLine="375"/>
        <w:rPr>
          <w:rFonts w:ascii="GHEA Grapalat" w:eastAsia="Times New Roman" w:hAnsi="GHEA Grapalat" w:cs="Times New Roman"/>
          <w:strike/>
          <w:color w:val="000000"/>
          <w:lang w:eastAsia="hy-AM"/>
        </w:rPr>
      </w:pPr>
      <w:r>
        <w:rPr>
          <w:rFonts w:ascii="GHEA Grapalat" w:eastAsia="Times New Roman" w:hAnsi="GHEA Grapalat" w:cs="Times New Roman"/>
          <w:strike/>
          <w:color w:val="000000"/>
          <w:lang w:eastAsia="hy-AM"/>
        </w:rPr>
        <w:t>Հարկադիր կատարողն արգելանքի տակ դրված գույքն ի պահ է հանձնում պարտապանին, պահանջատիրոջը կամ այլ անձանց` համապատասխան ստացականի հիման վրա:</w:t>
      </w:r>
    </w:p>
    <w:p w:rsidR="001721FC" w:rsidRPr="001721FC" w:rsidRDefault="001C496A" w:rsidP="001721FC">
      <w:pPr>
        <w:pStyle w:val="NormalWeb"/>
        <w:numPr>
          <w:ilvl w:val="0"/>
          <w:numId w:val="2"/>
        </w:numPr>
        <w:tabs>
          <w:tab w:val="left" w:pos="851"/>
        </w:tabs>
        <w:spacing w:before="0" w:beforeAutospacing="0" w:after="0" w:afterAutospacing="0" w:line="276" w:lineRule="auto"/>
        <w:ind w:left="0" w:firstLine="567"/>
        <w:contextualSpacing/>
        <w:jc w:val="both"/>
        <w:rPr>
          <w:rFonts w:ascii="GHEA Grapalat" w:eastAsiaTheme="minorHAnsi" w:hAnsi="GHEA Grapalat" w:cstheme="minorBidi"/>
          <w:color w:val="FF0000"/>
          <w:lang w:eastAsia="en-US"/>
        </w:rPr>
      </w:pPr>
      <w:r>
        <w:rPr>
          <w:rFonts w:ascii="GHEA Grapalat" w:hAnsi="GHEA Grapalat"/>
          <w:color w:val="FF0000"/>
        </w:rPr>
        <w:t xml:space="preserve">Կատարողական գործողությունների իրականացման ժամանակ պարտապանի գույքի պահպանությունն ապահովելու անհրաժեշտության դեպքում հարկադիր կատարողը գույքագրման և կատարողական այլ գործողությունների ընթացքում հայտնաբերված գույքն ի պահ է հանձնում պարտապանին, պահանջատիրոջը կամ այլ անձանց` համապատասխան ստացականի հիման վրա՝ գույքն ի պահ հանձնելիս պահառուին գրավոր նախազգուշացնելով արգելանքի տակ գտնվող գույքի նկատմամբ ապօրինի արարքների համար սահմանված քրեական պատասխանատվության մասին։ </w:t>
      </w:r>
      <w:r w:rsidR="001721FC" w:rsidRPr="001721FC">
        <w:rPr>
          <w:rFonts w:ascii="GHEA Grapalat" w:hAnsi="GHEA Grapalat" w:cs="Sylfaen"/>
          <w:color w:val="FF0000"/>
        </w:rPr>
        <w:t>Կատարողական</w:t>
      </w:r>
      <w:r w:rsidR="001721FC" w:rsidRPr="001721FC">
        <w:rPr>
          <w:rFonts w:ascii="GHEA Grapalat" w:hAnsi="GHEA Grapalat"/>
          <w:color w:val="FF0000"/>
        </w:rPr>
        <w:t xml:space="preserve"> գործողությանը պարտապանի ներկա լինելու դեպքում հայտնաբերված գույքն ի պահ հանձնելիս նախապատվությունը տրվում է պարտապանին։</w:t>
      </w:r>
    </w:p>
    <w:p w:rsidR="001721FC" w:rsidRDefault="001721FC" w:rsidP="001721FC">
      <w:pPr>
        <w:pStyle w:val="NormalWeb"/>
        <w:tabs>
          <w:tab w:val="left" w:pos="851"/>
        </w:tabs>
        <w:spacing w:before="0" w:beforeAutospacing="0" w:after="0" w:afterAutospacing="0" w:line="276" w:lineRule="auto"/>
        <w:ind w:left="567"/>
        <w:contextualSpacing/>
        <w:jc w:val="both"/>
        <w:rPr>
          <w:rFonts w:ascii="GHEA Grapalat" w:eastAsiaTheme="minorHAnsi" w:hAnsi="GHEA Grapalat" w:cstheme="minorBidi"/>
          <w:color w:val="FF0000"/>
          <w:lang w:eastAsia="en-US"/>
        </w:rPr>
      </w:pPr>
    </w:p>
    <w:p w:rsidR="001C496A" w:rsidRDefault="001C496A" w:rsidP="001C496A">
      <w:pPr>
        <w:pStyle w:val="NormalWeb"/>
        <w:numPr>
          <w:ilvl w:val="0"/>
          <w:numId w:val="2"/>
        </w:numPr>
        <w:tabs>
          <w:tab w:val="left" w:pos="851"/>
        </w:tabs>
        <w:spacing w:before="0" w:beforeAutospacing="0" w:after="0" w:afterAutospacing="0" w:line="276" w:lineRule="auto"/>
        <w:ind w:left="0" w:firstLine="567"/>
        <w:contextualSpacing/>
        <w:jc w:val="both"/>
        <w:rPr>
          <w:rFonts w:ascii="GHEA Grapalat" w:hAnsi="GHEA Grapalat"/>
          <w:color w:val="FF0000"/>
        </w:rPr>
      </w:pPr>
      <w:r>
        <w:rPr>
          <w:rFonts w:ascii="GHEA Grapalat" w:hAnsi="GHEA Grapalat"/>
          <w:color w:val="FF0000"/>
        </w:rPr>
        <w:t>Պարտապանից առգրավված գույքի պահպանությունն ապահովելու անհրաժեշտության դեպքում առգրավված գույքը չի կարող հանձնվել պարտապանին կամ նրա հետ փոխկապակցված անձանց։ Սույն հոդվածի իմաստով պարտապան ֆիզիկական անձի հետ փոխկապակցված անձ են համարվում ամուսինը, պարտապանի կամ նրա ամուսնու զավակը (այդ թվում՝ որդեգրված), ծնողը (այդ թվում՝ որդեգրողը), քույրը, եղբայրը, պապը, տատը, թոռը, մորաքույրը, հորաքույրը, հորեղբայրը, մորեղբայրը, քրոջ, եղբոր զավակները, պարտապանի մորաքրոջ, հորաքրոջ, հորեղբոր, մորեղբոր զավակները, քրոջ, եղբոր, զավակի ամուսինները,: պարտապան իրավաբանական անձի դեպքում՝ իրավաբանական անձի գործադիր մարմնի ղեկավարը, կոլեգիալ գործադիր մարմնի անդամները, իրավաբանական անձի գործունեության նկատմամբ վերահսկողություն իրականացնող անձը կամ կոլեգիալ մարմնի անդամը, իրավաբանական անձի կանոնադրական կամ բաժնեհավաք կապիտալում մասնակցություն (բաժնետոմս, բաժնեմաս, փայաբաժին) ունեցող անձինք, իրավաբանական անձի հետ աշխատանքային հարաբերությունների մեջ գտնվող անձինք, ինչպես նաև վերոնշյալ անձանց հետ փոխկապակցված ֆիզիկական անձինք։</w:t>
      </w:r>
    </w:p>
    <w:p w:rsidR="001C496A" w:rsidRDefault="001C496A" w:rsidP="001C496A">
      <w:pPr>
        <w:pStyle w:val="NormalWeb"/>
        <w:numPr>
          <w:ilvl w:val="0"/>
          <w:numId w:val="2"/>
        </w:numPr>
        <w:tabs>
          <w:tab w:val="left" w:pos="851"/>
        </w:tabs>
        <w:spacing w:before="0" w:beforeAutospacing="0" w:after="0" w:afterAutospacing="0" w:line="276" w:lineRule="auto"/>
        <w:ind w:left="0" w:firstLine="567"/>
        <w:contextualSpacing/>
        <w:jc w:val="both"/>
        <w:rPr>
          <w:rFonts w:ascii="GHEA Grapalat" w:hAnsi="GHEA Grapalat"/>
          <w:color w:val="FF0000"/>
        </w:rPr>
      </w:pPr>
      <w:r>
        <w:rPr>
          <w:rFonts w:ascii="GHEA Grapalat" w:hAnsi="GHEA Grapalat"/>
          <w:color w:val="FF0000"/>
        </w:rPr>
        <w:t xml:space="preserve">Կատարողական վարույթի կողմը կարող է հարկադիր կատարողին գրավոր միջնորդություն ներկայացնել՝ կատարողական գործողությունների իրականացման </w:t>
      </w:r>
      <w:r>
        <w:rPr>
          <w:rFonts w:ascii="GHEA Grapalat" w:hAnsi="GHEA Grapalat"/>
          <w:color w:val="FF0000"/>
        </w:rPr>
        <w:lastRenderedPageBreak/>
        <w:t>ժամանակ առգրավված գույքն իր մատնանշած՝ որպես իր մասնագիտական գործունեության նպատակներից մեկը պահատվություն իրականացնող առևտրային կամ ոչ առևտրային կազմակերպության (արհեստավարժ պահառուի) պահպանությանը հանձնելու վերաբերյալ՝ պահպանության վճար առաջանալու դեպքում վճարումը պահառուին մատնաշող կողմի հաշվին կատարելու պայմանով։ Նման դեպքերում հարկադիր կատարողը գույքն ի պահ ընդունողի հետ որպես կատարողական վարույթի՝ գույքն իր մատնանշած անձին հանձնելն առաջարկող կողմի ներկայացուցիչ կնքում է գույքի պահատվության վերաբերյալ պայմանագիր։ Սույն մասով սահմանված պահատվության պայմանագրի շրջանակում պահառուն պարտավոր է պահատվության առարկա գույքը հանձնել (վերադարձնել) միայն հարկադիր կատարողին, իսկ այլ անձի, այդ թվում՝ պայմանագրով պահատուին, հանձնել (վերադարձնել) բացառապես հարկադիր կատարողի համաձայնությամբ։ Պահատվության պայմանագիրը կարող է փոփոխվել կամ լուծվել միայն հարկադիր կատարողի համաձայնությամբ։</w:t>
      </w:r>
    </w:p>
    <w:p w:rsidR="001721FC" w:rsidRDefault="001C496A" w:rsidP="001721FC">
      <w:pPr>
        <w:pStyle w:val="NormalWeb"/>
        <w:numPr>
          <w:ilvl w:val="0"/>
          <w:numId w:val="2"/>
        </w:numPr>
        <w:tabs>
          <w:tab w:val="left" w:pos="851"/>
        </w:tabs>
        <w:spacing w:before="0" w:beforeAutospacing="0" w:after="0" w:afterAutospacing="0" w:line="276" w:lineRule="auto"/>
        <w:ind w:left="0" w:firstLine="567"/>
        <w:contextualSpacing/>
        <w:jc w:val="both"/>
        <w:rPr>
          <w:rFonts w:ascii="GHEA Grapalat" w:hAnsi="GHEA Grapalat"/>
          <w:color w:val="FF0000"/>
        </w:rPr>
      </w:pPr>
      <w:r>
        <w:rPr>
          <w:rFonts w:ascii="GHEA Grapalat" w:hAnsi="GHEA Grapalat"/>
          <w:color w:val="FF0000"/>
        </w:rPr>
        <w:t>Գույքը պարտապանին, պահանջատիրոջը կամ այլ անձանց ի պահ հանձնելու անհնարինության դեպքում դրա պահպանությունը կազմակերպում է հարկադիր կատարողը հարկադիր կատարման ծառայության միջոցներով՝ գույքի պահպանության հետ կապված ծախսերը գանձելով պարտապանից, իսկ կատարողական ծախսերը պահանջատիրոջից գանձելու հիմքերի առկայության դեպքում՝ պահանջատիրոջից։</w:t>
      </w:r>
    </w:p>
    <w:p w:rsidR="001C496A" w:rsidRDefault="001C496A" w:rsidP="00A81E19">
      <w:pPr>
        <w:pStyle w:val="NormalWeb"/>
        <w:numPr>
          <w:ilvl w:val="0"/>
          <w:numId w:val="2"/>
        </w:numPr>
        <w:tabs>
          <w:tab w:val="left" w:pos="851"/>
        </w:tabs>
        <w:spacing w:before="0" w:beforeAutospacing="0" w:after="0" w:afterAutospacing="0" w:line="276" w:lineRule="auto"/>
        <w:ind w:left="0" w:firstLine="567"/>
        <w:contextualSpacing/>
        <w:jc w:val="both"/>
        <w:rPr>
          <w:rFonts w:ascii="GHEA Grapalat" w:hAnsi="GHEA Grapalat"/>
          <w:color w:val="FF0000"/>
        </w:rPr>
      </w:pPr>
      <w:r w:rsidRPr="001721FC">
        <w:rPr>
          <w:rFonts w:ascii="GHEA Grapalat" w:hAnsi="GHEA Grapalat" w:cs="Sylfaen"/>
          <w:color w:val="FF0000"/>
        </w:rPr>
        <w:t>Հարկադիր</w:t>
      </w:r>
      <w:r w:rsidRPr="001721FC">
        <w:rPr>
          <w:rFonts w:ascii="GHEA Grapalat" w:hAnsi="GHEA Grapalat"/>
          <w:color w:val="FF0000"/>
        </w:rPr>
        <w:t xml:space="preserve"> կատարման ծառայության միջոցներով պահպանվող գույքի պահպանման անհրաժեշտությունը վերանալու դեպքում հարկադիր կատարողը սույն օրենքով սահմանված կարգով այդ մասին ծանուցում է պարտապանին (գույքի սեփականատիրոջը)՝ ծանուցման մեջ նշելով </w:t>
      </w:r>
      <w:r w:rsidR="001721FC" w:rsidRPr="001721FC">
        <w:rPr>
          <w:rFonts w:ascii="GHEA Grapalat" w:hAnsi="GHEA Grapalat"/>
          <w:color w:val="FF0000"/>
        </w:rPr>
        <w:t xml:space="preserve">նշելով գույքի պահպանության համար կատարվող ամսական ծախսերի չափը և </w:t>
      </w:r>
      <w:r w:rsidRPr="001721FC">
        <w:rPr>
          <w:rFonts w:ascii="GHEA Grapalat" w:hAnsi="GHEA Grapalat"/>
          <w:color w:val="FF0000"/>
        </w:rPr>
        <w:t xml:space="preserve">այն ժամկետը, որի ընթացքում գույքը պարտապանի (գույքի սեփականատիրոջ) կողմից չպահանջվելու կամ չընդունվելու դեպքում հարկադիր կատարողն իրավասու է այն </w:t>
      </w:r>
      <w:r w:rsidR="001721FC" w:rsidRPr="001721FC">
        <w:rPr>
          <w:rFonts w:ascii="GHEA Grapalat" w:hAnsi="GHEA Grapalat"/>
          <w:color w:val="FF0000"/>
        </w:rPr>
        <w:t xml:space="preserve">այն տնօրինել օրենքով սահմանված կարգով։ </w:t>
      </w:r>
    </w:p>
    <w:p w:rsidR="00A81E19" w:rsidRDefault="00A81E19" w:rsidP="00A81E19">
      <w:pPr>
        <w:pStyle w:val="ListParagraph"/>
        <w:numPr>
          <w:ilvl w:val="0"/>
          <w:numId w:val="2"/>
        </w:numPr>
        <w:tabs>
          <w:tab w:val="left" w:pos="851"/>
        </w:tabs>
        <w:spacing w:after="0" w:line="240" w:lineRule="auto"/>
        <w:ind w:left="90" w:firstLine="360"/>
        <w:jc w:val="both"/>
        <w:rPr>
          <w:rFonts w:ascii="GHEA Grapalat" w:hAnsi="GHEA Grapalat"/>
          <w:color w:val="FF0000"/>
          <w:sz w:val="24"/>
          <w:szCs w:val="24"/>
        </w:rPr>
      </w:pPr>
      <w:r w:rsidRPr="002B65DC">
        <w:rPr>
          <w:rFonts w:ascii="GHEA Grapalat" w:hAnsi="GHEA Grapalat"/>
          <w:color w:val="FF0000"/>
          <w:sz w:val="24"/>
          <w:szCs w:val="24"/>
        </w:rPr>
        <w:t xml:space="preserve">Սույն </w:t>
      </w:r>
      <w:r w:rsidRPr="00A81E19">
        <w:rPr>
          <w:rFonts w:ascii="GHEA Grapalat" w:eastAsia="Times New Roman" w:hAnsi="GHEA Grapalat" w:cs="Times New Roman"/>
          <w:color w:val="FF0000"/>
          <w:sz w:val="24"/>
          <w:szCs w:val="24"/>
          <w:lang w:eastAsia="hy-AM"/>
        </w:rPr>
        <w:t>հոդվածի 5-րդ մասով սահմանված ծանուցումը ստանալուց, իսկ գույքի պահպանման ժամկետը սույն հոդվածի 7-րդ մասով սահմանված կարգով երկարաձգվելու դեպքում՝ երկարաձգված ժամկետի ավարտից հետո երկու ամսվա ընթացքում պարտապանի (գույքի սեփականատիրոջ) կողմից գույքը չպահանջվելու կամ չընդունելու դեպքում հարկադիր կատարողն իրավասու է այն իրացնել «Հրապարակային սակարկությունների մասին» օրենքով սահմանված կարգով կամ ուղղակի վաճառքի միջոցով՝ գույքի իրացման արդյունքում ստացված գումարը գույքի պահպանության հետ կապված ծախսերը պահելուց հետո փոխանցելով պարտապանին (գույքի սեփականատիրոջ</w:t>
      </w:r>
      <w:r w:rsidRPr="00A81E19">
        <w:rPr>
          <w:rFonts w:ascii="GHEA Grapalat" w:hAnsi="GHEA Grapalat"/>
          <w:color w:val="FF0000"/>
          <w:sz w:val="24"/>
          <w:szCs w:val="24"/>
        </w:rPr>
        <w:t xml:space="preserve">ը)։ </w:t>
      </w:r>
    </w:p>
    <w:p w:rsidR="00A81E19" w:rsidRPr="00A81E19" w:rsidRDefault="00A81E19" w:rsidP="00A81E19">
      <w:pPr>
        <w:pStyle w:val="ListParagraph"/>
        <w:numPr>
          <w:ilvl w:val="0"/>
          <w:numId w:val="2"/>
        </w:numPr>
        <w:tabs>
          <w:tab w:val="left" w:pos="851"/>
        </w:tabs>
        <w:spacing w:after="0" w:line="240" w:lineRule="auto"/>
        <w:ind w:left="90" w:firstLine="360"/>
        <w:jc w:val="both"/>
        <w:rPr>
          <w:rFonts w:ascii="GHEA Grapalat" w:eastAsia="Times New Roman" w:hAnsi="GHEA Grapalat" w:cs="Times New Roman"/>
          <w:color w:val="FF0000"/>
          <w:sz w:val="24"/>
          <w:szCs w:val="24"/>
          <w:lang w:eastAsia="hy-AM"/>
        </w:rPr>
      </w:pPr>
      <w:r w:rsidRPr="00A81E19">
        <w:rPr>
          <w:rFonts w:ascii="GHEA Grapalat" w:eastAsia="Times New Roman" w:hAnsi="GHEA Grapalat" w:cs="Times New Roman"/>
          <w:color w:val="FF0000"/>
          <w:sz w:val="24"/>
          <w:szCs w:val="24"/>
          <w:lang w:eastAsia="hy-AM"/>
        </w:rPr>
        <w:t xml:space="preserve">Պարտապանը (գույքի սեփականատերը) իրավունք ունի սույն հոդվածի 5-րդ մասով սահմանված ծանուցումը ստանալու օրվանից երկամսյա ժամկետում դիմում </w:t>
      </w:r>
      <w:r w:rsidRPr="00A81E19">
        <w:rPr>
          <w:rFonts w:ascii="GHEA Grapalat" w:eastAsia="Times New Roman" w:hAnsi="GHEA Grapalat" w:cs="Times New Roman"/>
          <w:color w:val="FF0000"/>
          <w:sz w:val="24"/>
          <w:szCs w:val="24"/>
          <w:lang w:eastAsia="hy-AM"/>
        </w:rPr>
        <w:lastRenderedPageBreak/>
        <w:t>ներկայացնել հարկադիր կատարողին՝ հարկ</w:t>
      </w:r>
      <w:bookmarkStart w:id="0" w:name="_GoBack"/>
      <w:bookmarkEnd w:id="0"/>
      <w:r w:rsidRPr="00A81E19">
        <w:rPr>
          <w:rFonts w:ascii="GHEA Grapalat" w:eastAsia="Times New Roman" w:hAnsi="GHEA Grapalat" w:cs="Times New Roman"/>
          <w:color w:val="FF0000"/>
          <w:sz w:val="24"/>
          <w:szCs w:val="24"/>
          <w:lang w:eastAsia="hy-AM"/>
        </w:rPr>
        <w:t>ադիր կատարման ծառայության միջոցներով գույքի պահպանման ժամկետը մինչև վեց ամսով երկարաձգելու վերաբերյալ՝ դիմումին կցելով հարկադիր կատարման ծառայության դեպոզիտ հաշվին երկարաձգվող ժամկետի ընթացքում գույքի պահպանության ծախսերը, իսկ գույքը սույն օրենքի 64-րդ հոդվածի 3-րդ մասով սահմանված հիմքով պահպանության ընդունված լինելու դեպքում՝ կատարված ծախսերի եռապատիկը վճարելը հավաստող փաստաթղթի բնօրինակը»։</w:t>
      </w:r>
    </w:p>
    <w:p w:rsidR="00A81E19" w:rsidRPr="00A81E19" w:rsidRDefault="00A81E19" w:rsidP="00A81E19">
      <w:pPr>
        <w:pStyle w:val="ListParagraph"/>
        <w:tabs>
          <w:tab w:val="left" w:pos="851"/>
        </w:tabs>
        <w:spacing w:after="0" w:line="240" w:lineRule="auto"/>
        <w:ind w:left="450"/>
        <w:jc w:val="both"/>
        <w:rPr>
          <w:rFonts w:ascii="GHEA Grapalat" w:hAnsi="GHEA Grapalat"/>
          <w:color w:val="FF0000"/>
          <w:sz w:val="24"/>
          <w:szCs w:val="24"/>
        </w:rPr>
      </w:pPr>
    </w:p>
    <w:p w:rsidR="00A81E19" w:rsidRPr="00A81E19" w:rsidRDefault="00A81E19" w:rsidP="00A81E19">
      <w:pPr>
        <w:pStyle w:val="NormalWeb"/>
        <w:tabs>
          <w:tab w:val="left" w:pos="851"/>
        </w:tabs>
        <w:spacing w:before="0" w:beforeAutospacing="0" w:after="0" w:afterAutospacing="0" w:line="276" w:lineRule="auto"/>
        <w:ind w:left="567"/>
        <w:contextualSpacing/>
        <w:jc w:val="both"/>
        <w:rPr>
          <w:rFonts w:ascii="GHEA Grapalat" w:hAnsi="GHEA Grapalat"/>
          <w:color w:val="FF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1C496A" w:rsidTr="001C496A">
        <w:trPr>
          <w:tblCellSpacing w:w="0" w:type="dxa"/>
        </w:trPr>
        <w:tc>
          <w:tcPr>
            <w:tcW w:w="2025" w:type="dxa"/>
            <w:shd w:val="clear" w:color="auto" w:fill="FFFFFF"/>
            <w:hideMark/>
          </w:tcPr>
          <w:p w:rsidR="001C496A" w:rsidRDefault="001C496A">
            <w:pPr>
              <w:tabs>
                <w:tab w:val="left" w:pos="851"/>
              </w:tabs>
              <w:spacing w:after="0" w:line="276" w:lineRule="auto"/>
              <w:ind w:firstLine="567"/>
              <w:jc w:val="both"/>
              <w:rPr>
                <w:rFonts w:ascii="GHEA Grapalat" w:hAnsi="GHEA Grapalat"/>
                <w:bCs/>
                <w:color w:val="000000" w:themeColor="text1"/>
              </w:rPr>
            </w:pPr>
            <w:r>
              <w:rPr>
                <w:rFonts w:ascii="GHEA Grapalat" w:hAnsi="GHEA Grapalat"/>
                <w:b/>
                <w:bCs/>
                <w:color w:val="000000" w:themeColor="text1"/>
              </w:rPr>
              <w:t>Հոդված 64.</w:t>
            </w:r>
          </w:p>
        </w:tc>
        <w:tc>
          <w:tcPr>
            <w:tcW w:w="0" w:type="auto"/>
            <w:shd w:val="clear" w:color="auto" w:fill="FFFFFF"/>
            <w:vAlign w:val="center"/>
            <w:hideMark/>
          </w:tcPr>
          <w:p w:rsidR="001C496A" w:rsidRDefault="001C496A">
            <w:pPr>
              <w:tabs>
                <w:tab w:val="left" w:pos="851"/>
              </w:tabs>
              <w:spacing w:after="0" w:line="276" w:lineRule="auto"/>
              <w:ind w:firstLine="567"/>
              <w:jc w:val="both"/>
              <w:rPr>
                <w:rFonts w:ascii="GHEA Grapalat" w:hAnsi="GHEA Grapalat"/>
                <w:bCs/>
                <w:color w:val="000000" w:themeColor="text1"/>
              </w:rPr>
            </w:pPr>
            <w:r>
              <w:rPr>
                <w:rFonts w:ascii="GHEA Grapalat" w:hAnsi="GHEA Grapalat"/>
                <w:b/>
                <w:bCs/>
                <w:color w:val="000000" w:themeColor="text1"/>
              </w:rPr>
              <w:t>Վտարման վերաբերյալ կատարողական թերթի, կատարողական մակագրության թերթի կատարումը</w:t>
            </w:r>
          </w:p>
        </w:tc>
      </w:tr>
    </w:tbl>
    <w:p w:rsidR="001C496A" w:rsidRDefault="001C496A" w:rsidP="001C496A">
      <w:pPr>
        <w:tabs>
          <w:tab w:val="left" w:pos="851"/>
        </w:tabs>
        <w:spacing w:after="0" w:line="276" w:lineRule="auto"/>
        <w:ind w:firstLine="567"/>
        <w:jc w:val="both"/>
        <w:rPr>
          <w:rFonts w:ascii="GHEA Grapalat" w:hAnsi="GHEA Grapalat"/>
          <w:bCs/>
          <w:color w:val="000000" w:themeColor="text1"/>
        </w:rPr>
      </w:pPr>
      <w:r>
        <w:rPr>
          <w:rFonts w:ascii="GHEA Grapalat" w:hAnsi="GHEA Grapalat"/>
          <w:b/>
          <w:bCs/>
          <w:i/>
          <w:iCs/>
          <w:color w:val="000000" w:themeColor="text1"/>
        </w:rPr>
        <w:t>(վերնագիրը խմբ. 09.07.19 ՀՕ-126-Ն)</w:t>
      </w:r>
    </w:p>
    <w:p w:rsidR="001C496A" w:rsidRDefault="001C496A" w:rsidP="001C496A">
      <w:pPr>
        <w:tabs>
          <w:tab w:val="left" w:pos="851"/>
        </w:tabs>
        <w:spacing w:after="0" w:line="276" w:lineRule="auto"/>
        <w:ind w:firstLine="567"/>
        <w:jc w:val="both"/>
        <w:rPr>
          <w:rFonts w:ascii="GHEA Grapalat" w:hAnsi="GHEA Grapalat"/>
          <w:bCs/>
          <w:color w:val="000000" w:themeColor="text1"/>
        </w:rPr>
      </w:pPr>
      <w:r>
        <w:rPr>
          <w:rFonts w:ascii="Calibri" w:hAnsi="Calibri" w:cs="Calibri"/>
          <w:bCs/>
          <w:color w:val="000000" w:themeColor="text1"/>
        </w:rPr>
        <w:t> </w:t>
      </w:r>
    </w:p>
    <w:p w:rsidR="001C496A" w:rsidRDefault="001C496A" w:rsidP="001C496A">
      <w:pPr>
        <w:tabs>
          <w:tab w:val="left" w:pos="851"/>
        </w:tabs>
        <w:spacing w:after="0" w:line="276" w:lineRule="auto"/>
        <w:ind w:firstLine="567"/>
        <w:jc w:val="both"/>
        <w:rPr>
          <w:rFonts w:ascii="GHEA Grapalat" w:hAnsi="GHEA Grapalat"/>
          <w:bCs/>
          <w:color w:val="000000" w:themeColor="text1"/>
        </w:rPr>
      </w:pPr>
      <w:r>
        <w:rPr>
          <w:rFonts w:ascii="GHEA Grapalat" w:hAnsi="GHEA Grapalat"/>
          <w:bCs/>
          <w:color w:val="000000" w:themeColor="text1"/>
        </w:rPr>
        <w:t>1. Վտարումը կատարողական թերթում կամ կատարողական մակագրության թերթում նշված անշարժ գույքը վտարվողից (վտարվողներից), ինչպես նաև այն անձանցից, որոնց օգտագործման իրավունքը գրանցված չէ օրենքով սահմանված կարգով, և նրա (նրանց) գույքից ազատելն ու ազատված շենքից օգտվելն արգելելն է:</w:t>
      </w:r>
    </w:p>
    <w:p w:rsidR="001C496A" w:rsidRDefault="001C496A" w:rsidP="001C496A">
      <w:pPr>
        <w:tabs>
          <w:tab w:val="left" w:pos="851"/>
        </w:tabs>
        <w:spacing w:after="0" w:line="276" w:lineRule="auto"/>
        <w:ind w:firstLine="567"/>
        <w:jc w:val="both"/>
        <w:rPr>
          <w:rFonts w:ascii="GHEA Grapalat" w:hAnsi="GHEA Grapalat"/>
          <w:bCs/>
          <w:color w:val="000000" w:themeColor="text1"/>
        </w:rPr>
      </w:pPr>
      <w:r>
        <w:rPr>
          <w:rFonts w:ascii="GHEA Grapalat" w:hAnsi="GHEA Grapalat"/>
          <w:bCs/>
          <w:color w:val="000000" w:themeColor="text1"/>
        </w:rPr>
        <w:t>2. Հարկադիր կատարողը պատշաճ ձևով ծանուցում է պարտապանին հարկադիր վտարման օրվա և ժամանակի մասին: Վտարման մասին պատշաճ ձևով ծանուցված պարտապանի չներկայանալը կամ պարտապանի գտնվելու վայրը պարզելու անհնարինությունը արգելք չէ կատարողական թերթի պահանջը կատարելու համար:</w:t>
      </w:r>
    </w:p>
    <w:p w:rsidR="001C496A" w:rsidRDefault="001C496A" w:rsidP="001C496A">
      <w:pPr>
        <w:tabs>
          <w:tab w:val="left" w:pos="851"/>
        </w:tabs>
        <w:spacing w:after="0" w:line="276" w:lineRule="auto"/>
        <w:ind w:firstLine="567"/>
        <w:jc w:val="both"/>
        <w:rPr>
          <w:rFonts w:ascii="GHEA Grapalat" w:hAnsi="GHEA Grapalat"/>
          <w:bCs/>
          <w:color w:val="000000" w:themeColor="text1"/>
        </w:rPr>
      </w:pPr>
      <w:r>
        <w:rPr>
          <w:rFonts w:ascii="GHEA Grapalat" w:hAnsi="GHEA Grapalat"/>
          <w:bCs/>
          <w:color w:val="000000" w:themeColor="text1"/>
        </w:rPr>
        <w:t>3. Հարկադիր կատարողը վտարումը կատարում է պարտապանի գույքի պարտադիր գույքագրմամբ:</w:t>
      </w:r>
    </w:p>
    <w:p w:rsidR="001C496A" w:rsidRDefault="001C496A" w:rsidP="001C496A">
      <w:pPr>
        <w:tabs>
          <w:tab w:val="left" w:pos="851"/>
        </w:tabs>
        <w:spacing w:after="0" w:line="276" w:lineRule="auto"/>
        <w:ind w:firstLine="567"/>
        <w:jc w:val="both"/>
        <w:rPr>
          <w:rFonts w:ascii="GHEA Grapalat" w:hAnsi="GHEA Grapalat"/>
          <w:bCs/>
          <w:color w:val="FF0000"/>
        </w:rPr>
      </w:pPr>
      <w:r>
        <w:rPr>
          <w:rFonts w:ascii="GHEA Grapalat" w:hAnsi="GHEA Grapalat"/>
          <w:bCs/>
          <w:strike/>
          <w:color w:val="000000" w:themeColor="text1"/>
        </w:rPr>
        <w:t xml:space="preserve">Անհրաժեշտության դեպքում հարկադիր կատարողն ապահովում է պարտապանի գույքի պահատվությունը` վերջինիս վրա դնելով կատարված ծախսերի հատուցումը: </w:t>
      </w:r>
      <w:r>
        <w:rPr>
          <w:rFonts w:ascii="GHEA Grapalat" w:hAnsi="GHEA Grapalat"/>
          <w:bCs/>
          <w:color w:val="FF0000"/>
        </w:rPr>
        <w:t>Վտարման վայրում սույն հոդվածի 1-ին մասով նախատեսված անձանց բացակայության, ինչպես նաև վտարվող գույքը պահանջատիրոջ կամ վտարվող անձի կողմից ի պահ ընդունելուց հրաժարվելու դեպքում գույքի պահպանությունը սույն օրենքի 52-րդ հոդվածով սահմանված կարգով կազմակերպում է հարկադիր կատարողը՝ կատարված ծախսերը փաստացի կատարված ծախսերի եռապատիկի չափով գանձելով պարտապանից։ Պարտապանին հարկադիր վտարելու վերաբերյալ որոշումը պետք է պարունակի նաև պարզաբանում՝ վտարվող գույքն ի պահ ընդունելու պարտապանի պարտականության և դրա չկատարման հետևանքների վերաբերյալ։</w:t>
      </w:r>
    </w:p>
    <w:p w:rsidR="001C496A" w:rsidRDefault="001C496A" w:rsidP="001C496A">
      <w:pPr>
        <w:tabs>
          <w:tab w:val="left" w:pos="851"/>
        </w:tabs>
        <w:spacing w:after="0" w:line="276" w:lineRule="auto"/>
        <w:ind w:firstLine="567"/>
        <w:jc w:val="both"/>
        <w:rPr>
          <w:rFonts w:ascii="GHEA Grapalat" w:hAnsi="GHEA Grapalat"/>
          <w:bCs/>
          <w:strike/>
          <w:color w:val="000000" w:themeColor="text1"/>
        </w:rPr>
      </w:pPr>
    </w:p>
    <w:p w:rsidR="001C496A" w:rsidRDefault="001C496A" w:rsidP="001C496A">
      <w:pPr>
        <w:tabs>
          <w:tab w:val="left" w:pos="851"/>
        </w:tabs>
        <w:spacing w:after="0" w:line="276" w:lineRule="auto"/>
        <w:ind w:firstLine="567"/>
        <w:jc w:val="both"/>
        <w:rPr>
          <w:rFonts w:ascii="GHEA Grapalat" w:hAnsi="GHEA Grapalat"/>
          <w:bCs/>
          <w:color w:val="000000" w:themeColor="text1"/>
        </w:rPr>
      </w:pPr>
      <w:r>
        <w:rPr>
          <w:rFonts w:ascii="GHEA Grapalat" w:hAnsi="GHEA Grapalat"/>
          <w:bCs/>
          <w:color w:val="000000" w:themeColor="text1"/>
        </w:rPr>
        <w:t>4. Վտարման վերաբերյալ կատարողական թերթի կատարման մասին հարկադիր կատարողը կազմում է արձանագրություն:</w:t>
      </w:r>
    </w:p>
    <w:p w:rsidR="001C496A" w:rsidRDefault="001C496A" w:rsidP="001C496A">
      <w:pPr>
        <w:tabs>
          <w:tab w:val="left" w:pos="851"/>
        </w:tabs>
        <w:spacing w:after="0" w:line="276" w:lineRule="auto"/>
        <w:ind w:firstLine="567"/>
        <w:jc w:val="both"/>
        <w:rPr>
          <w:rFonts w:ascii="GHEA Grapalat" w:hAnsi="GHEA Grapalat"/>
          <w:bCs/>
          <w:color w:val="000000" w:themeColor="text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1C496A" w:rsidTr="001C496A">
        <w:trPr>
          <w:tblCellSpacing w:w="0" w:type="dxa"/>
        </w:trPr>
        <w:tc>
          <w:tcPr>
            <w:tcW w:w="2025" w:type="dxa"/>
            <w:shd w:val="clear" w:color="auto" w:fill="FFFFFF"/>
            <w:hideMark/>
          </w:tcPr>
          <w:p w:rsidR="001C496A" w:rsidRDefault="001C496A">
            <w:pPr>
              <w:spacing w:after="0" w:line="276" w:lineRule="auto"/>
              <w:jc w:val="both"/>
              <w:rPr>
                <w:rFonts w:ascii="GHEA Grapalat" w:eastAsia="Times New Roman" w:hAnsi="GHEA Grapalat" w:cs="Times New Roman"/>
                <w:color w:val="000000"/>
                <w:lang w:eastAsia="hy-AM"/>
              </w:rPr>
            </w:pPr>
            <w:r>
              <w:rPr>
                <w:rFonts w:ascii="GHEA Grapalat" w:eastAsia="Times New Roman" w:hAnsi="GHEA Grapalat" w:cs="Times New Roman"/>
                <w:b/>
                <w:bCs/>
                <w:color w:val="000000"/>
                <w:lang w:eastAsia="hy-AM"/>
              </w:rPr>
              <w:t>Հոդված 67.</w:t>
            </w:r>
          </w:p>
        </w:tc>
        <w:tc>
          <w:tcPr>
            <w:tcW w:w="0" w:type="auto"/>
            <w:shd w:val="clear" w:color="auto" w:fill="FFFFFF"/>
            <w:vAlign w:val="center"/>
            <w:hideMark/>
          </w:tcPr>
          <w:p w:rsidR="001C496A" w:rsidRDefault="001C496A">
            <w:pPr>
              <w:spacing w:after="0" w:line="276" w:lineRule="auto"/>
              <w:jc w:val="both"/>
              <w:rPr>
                <w:rFonts w:ascii="GHEA Grapalat" w:eastAsia="Times New Roman" w:hAnsi="GHEA Grapalat" w:cs="Times New Roman"/>
                <w:color w:val="000000"/>
                <w:lang w:eastAsia="hy-AM"/>
              </w:rPr>
            </w:pPr>
            <w:r>
              <w:rPr>
                <w:rFonts w:ascii="GHEA Grapalat" w:eastAsia="Times New Roman" w:hAnsi="GHEA Grapalat" w:cs="Times New Roman"/>
                <w:b/>
                <w:bCs/>
                <w:color w:val="000000"/>
                <w:lang w:eastAsia="hy-AM"/>
              </w:rPr>
              <w:t>Կատարողական գործողությունների կատարման ծախսերի հատուցման կարգը</w:t>
            </w:r>
          </w:p>
        </w:tc>
      </w:tr>
    </w:tbl>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b/>
          <w:bCs/>
          <w:i/>
          <w:iCs/>
          <w:color w:val="000000"/>
          <w:lang w:eastAsia="hy-AM"/>
        </w:rPr>
        <w:t>(վերնագիրը</w:t>
      </w:r>
      <w:r>
        <w:rPr>
          <w:rFonts w:ascii="Calibri" w:eastAsia="Times New Roman" w:hAnsi="Calibri" w:cs="Calibri"/>
          <w:b/>
          <w:bCs/>
          <w:i/>
          <w:iCs/>
          <w:color w:val="000000"/>
          <w:lang w:eastAsia="hy-AM"/>
        </w:rPr>
        <w:t> </w:t>
      </w:r>
      <w:r>
        <w:rPr>
          <w:rFonts w:ascii="GHEA Grapalat" w:eastAsia="Times New Roman" w:hAnsi="GHEA Grapalat" w:cs="Arial Unicode"/>
          <w:b/>
          <w:bCs/>
          <w:i/>
          <w:iCs/>
          <w:color w:val="000000"/>
          <w:lang w:eastAsia="hy-AM"/>
        </w:rPr>
        <w:t>խմբ</w:t>
      </w:r>
      <w:r>
        <w:rPr>
          <w:rFonts w:ascii="GHEA Grapalat" w:eastAsia="Times New Roman" w:hAnsi="GHEA Grapalat" w:cs="Times New Roman"/>
          <w:b/>
          <w:bCs/>
          <w:i/>
          <w:iCs/>
          <w:color w:val="000000"/>
          <w:lang w:eastAsia="hy-AM"/>
        </w:rPr>
        <w:t>.</w:t>
      </w:r>
      <w:r>
        <w:rPr>
          <w:rFonts w:ascii="Calibri" w:eastAsia="Times New Roman" w:hAnsi="Calibri" w:cs="Calibri"/>
          <w:b/>
          <w:bCs/>
          <w:i/>
          <w:iCs/>
          <w:color w:val="000000"/>
          <w:lang w:eastAsia="hy-AM"/>
        </w:rPr>
        <w:t> </w:t>
      </w:r>
      <w:r>
        <w:rPr>
          <w:rFonts w:ascii="GHEA Grapalat" w:eastAsia="Times New Roman" w:hAnsi="GHEA Grapalat" w:cs="Times New Roman"/>
          <w:b/>
          <w:bCs/>
          <w:i/>
          <w:iCs/>
          <w:color w:val="000000"/>
          <w:lang w:eastAsia="hy-AM"/>
        </w:rPr>
        <w:t xml:space="preserve">07.07.05 </w:t>
      </w:r>
      <w:r>
        <w:rPr>
          <w:rFonts w:ascii="GHEA Grapalat" w:eastAsia="Times New Roman" w:hAnsi="GHEA Grapalat" w:cs="Arial Unicode"/>
          <w:b/>
          <w:bCs/>
          <w:i/>
          <w:iCs/>
          <w:color w:val="000000"/>
          <w:lang w:eastAsia="hy-AM"/>
        </w:rPr>
        <w:t>ՀՕ</w:t>
      </w:r>
      <w:r>
        <w:rPr>
          <w:rFonts w:ascii="GHEA Grapalat" w:eastAsia="Times New Roman" w:hAnsi="GHEA Grapalat" w:cs="Times New Roman"/>
          <w:b/>
          <w:bCs/>
          <w:i/>
          <w:iCs/>
          <w:color w:val="000000"/>
          <w:lang w:eastAsia="hy-AM"/>
        </w:rPr>
        <w:t>-157-</w:t>
      </w:r>
      <w:r>
        <w:rPr>
          <w:rFonts w:ascii="GHEA Grapalat" w:eastAsia="Times New Roman" w:hAnsi="GHEA Grapalat" w:cs="Arial Unicode"/>
          <w:b/>
          <w:bCs/>
          <w:i/>
          <w:iCs/>
          <w:color w:val="000000"/>
          <w:lang w:eastAsia="hy-AM"/>
        </w:rPr>
        <w:t>Ն</w:t>
      </w:r>
      <w:r>
        <w:rPr>
          <w:rFonts w:ascii="GHEA Grapalat" w:eastAsia="Times New Roman" w:hAnsi="GHEA Grapalat" w:cs="Times New Roman"/>
          <w:b/>
          <w:bCs/>
          <w:i/>
          <w:iCs/>
          <w:color w:val="000000"/>
          <w:lang w:eastAsia="hy-AM"/>
        </w:rPr>
        <w:t>)</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Calibri" w:eastAsia="Times New Roman" w:hAnsi="Calibri" w:cs="Calibri"/>
          <w:color w:val="000000"/>
          <w:lang w:eastAsia="hy-AM"/>
        </w:rPr>
        <w:t> </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lastRenderedPageBreak/>
        <w:t>1. Կատարողական գործողությունները կատարվում են պետական բյուջեի միջոցների հաշվին:</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2. Կատարողական գործողությունների կատարման ծախսերը բռնագանձվում են պարտապանից`</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ա) գույքային բնույթի կատարողական վարույթներով` 100.000 դրամ և ավելի չափով պահանջի բավարարմանն ուղղված գումարի, իսկ գույք հանձնելու դեպքում` այդ գույքի արժեքի 5 տոկոսի չափով.</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բ) 10.000 դրամից մինչև 100.000 դրամ պահանջի բավարարմանն ուղղված գույքային բնույթի կատարողական վարույթներով և ոչ գույքային բնույթի կատարողական վարույթներով` 5.000 դրամի չափով.</w:t>
      </w:r>
    </w:p>
    <w:p w:rsidR="001C496A" w:rsidRDefault="001C496A" w:rsidP="001C496A">
      <w:pPr>
        <w:shd w:val="clear" w:color="auto" w:fill="FFFFFF"/>
        <w:spacing w:after="0" w:line="276" w:lineRule="auto"/>
        <w:ind w:firstLine="375"/>
        <w:jc w:val="both"/>
        <w:rPr>
          <w:rFonts w:ascii="Cambria Math" w:eastAsia="Times New Roman" w:hAnsi="Cambria Math" w:cs="Times New Roman"/>
          <w:color w:val="000000"/>
          <w:lang w:eastAsia="hy-AM"/>
        </w:rPr>
      </w:pPr>
      <w:r>
        <w:rPr>
          <w:rFonts w:ascii="GHEA Grapalat" w:eastAsia="Times New Roman" w:hAnsi="GHEA Grapalat" w:cs="Times New Roman"/>
          <w:color w:val="000000"/>
          <w:lang w:eastAsia="hy-AM"/>
        </w:rPr>
        <w:t>գ) մինչև 10.000 դրամ պահանջի բավարարմանն ուղղված գույքային բնույթի կատարողական վարույթներով՝ բռնագանձվող գումարի 50 տոկոսի չափով</w:t>
      </w:r>
      <w:r>
        <w:rPr>
          <w:rFonts w:ascii="MS Mincho" w:eastAsia="MS Mincho" w:hAnsi="MS Mincho" w:cs="MS Mincho" w:hint="eastAsia"/>
          <w:color w:val="000000"/>
          <w:lang w:eastAsia="hy-AM"/>
        </w:rPr>
        <w:t>․</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bCs/>
          <w:color w:val="FF0000"/>
          <w:lang w:eastAsia="hy-AM"/>
        </w:rPr>
        <w:t>դ) գույքային բնույթի կատարողական վարույթներով պարտապանի գույքի պահպանությունը սույն օրենքի 52-րդ հոդվածով սահմանված կարգով հարկադիր կատարման ծառայության կողմից իրականացվելու դեպքում՝ սույն մասի ա-գ ենթակետերով սահմանված ծախսերից զատ նաև պահպանության համար փաստացի կատարված ծախսերի չափով</w:t>
      </w:r>
      <w:r>
        <w:rPr>
          <w:rFonts w:ascii="GHEA Grapalat" w:eastAsia="Times New Roman" w:hAnsi="GHEA Grapalat" w:cs="Times New Roman"/>
          <w:color w:val="000000"/>
          <w:lang w:eastAsia="hy-AM"/>
        </w:rPr>
        <w:t>:</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Ալիմենտային, աշխատավարձի բռնագանձման և կյանքին ու առողջությանը պատճառված վնասի հատուցման վերաբերյալ կատարողական վարույթներով կատարման ծախսեր չեն գանձվում:</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3. Կատարողական գործողությունների կատարման ծախսերի բռնագանձումը կատարվում է հարկադիր կատարողի որոշմամբ:</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4. Եթե ոչ գույքային բնույթի կատարողական վարույթներով փաստացի կատարված կատարողական գործողությունների ծախսերը գերազանցում են 5.000 դրամը, ապա փաստացի կատարված ամբողջ ծախսը բռնագանձվում է պարտապանից:</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Եթե կատարողական վարույթն ավարտվել է պահանջատիրոջ պահանջով կատարողական թերթը վերադարձնելու դեպքում կամ կատարողական վարույթը կարճվել կամ ավարտվել է պահանջատիրոջ դիմումի հիման վրա, ապա փաստացի կատարված կատարողական գործողությունների ծախսերը բռնագանձվում են պահանջատիրոջից:</w:t>
      </w:r>
      <w:r>
        <w:rPr>
          <w:rFonts w:ascii="Calibri" w:eastAsia="Times New Roman" w:hAnsi="Calibri" w:cs="Calibri"/>
          <w:color w:val="000000"/>
          <w:lang w:eastAsia="hy-AM"/>
        </w:rPr>
        <w:t> </w:t>
      </w:r>
      <w:r>
        <w:rPr>
          <w:rFonts w:ascii="GHEA Grapalat" w:eastAsia="Times New Roman" w:hAnsi="GHEA Grapalat" w:cs="Arial Unicode"/>
          <w:color w:val="000000"/>
          <w:lang w:eastAsia="hy-AM"/>
        </w:rPr>
        <w:t>Բռնագանձվող</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գումարի</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չափը</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չի</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կարող</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պակաս</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լինել</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բռնագանձման</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ենթակա</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գումարի</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մեկ</w:t>
      </w:r>
      <w:r>
        <w:rPr>
          <w:rFonts w:ascii="GHEA Grapalat" w:eastAsia="Times New Roman" w:hAnsi="GHEA Grapalat" w:cs="Times New Roman"/>
          <w:color w:val="000000"/>
          <w:lang w:eastAsia="hy-AM"/>
        </w:rPr>
        <w:t xml:space="preserve"> </w:t>
      </w:r>
      <w:r>
        <w:rPr>
          <w:rFonts w:ascii="GHEA Grapalat" w:eastAsia="Times New Roman" w:hAnsi="GHEA Grapalat" w:cs="Arial Unicode"/>
          <w:color w:val="000000"/>
          <w:lang w:eastAsia="hy-AM"/>
        </w:rPr>
        <w:t>տոկոսից</w:t>
      </w:r>
      <w:r>
        <w:rPr>
          <w:rFonts w:ascii="GHEA Grapalat" w:eastAsia="Times New Roman" w:hAnsi="GHEA Grapalat" w:cs="Times New Roman"/>
          <w:color w:val="000000"/>
          <w:lang w:eastAsia="hy-AM"/>
        </w:rPr>
        <w:t>:</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5. Եթե կատարողական վարույթը կարճվել է պահանջատիրոջ կողմից այն գույքն ստանալուց հրաժարվելու հետևանքով, որն առգրավվել է պարտապանից պահանջատիրոջը հանձնելու վերաբերյալ կատարողական թերթը կատարելիս, ապա կատարողական գործողությունների կատարման ծախսերը բռնագանձվում են պահանջատիրոջից սույն հոդվածի 2-րդ մասով սահմանված կարգով:</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5.1. Սույն օրենքի 44.3-րդ հոդվածի 9-րդ մասով նախատեսված դեպքում սույն օրենքի 44.3-րդ հոդվածի 8-րդ մասով նախատեսված փորձաքննության իրականացման կատարողական ծախսերը բռնագանձվում են պարտապանից, իսկ նույն հոդվածի 10-րդ մասով նախատեսված դեպքում` պահանջատիրոջից:</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lastRenderedPageBreak/>
        <w:t>6. Եթե կատարողական վարույթը կարճվել է պարտապանի սնանկության հետևանքով, ապա փաստացի կատարված կատարողական գործողությունների ծախսերը բռնագանձվում են պարտապանից` սնանկության իրավահարաբերությունները կարգավորող օրենսդրությանը համապատասխան: Այդ ծախսերը բավարարվում են դատական ծախսերի հետ միևնույն հերթում:</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6.1. Եթե կատարողական վարույթը կարճվել է սույն օրենքի 42-րդ հոդվածի 1-ին մասի 11-14-րդ կետերով սահմանված հիմքերից որևէ մեկով, ապա տվյալ վարույթով կատարողական գործողությունների կատարման ծախսերը չեն գանձվում: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նախահարձակ գործողության հետևանքով զոհված, հաշմանդամություն ձեռք բերած, անհայտ բացակայող կամ մահացած ճանաչված անձի, նրա ամուսնու, զավակի, ծնողի, տատի, պապի, քրոջ կամ եղբոր` մինչև 2020 թվականի դեկտեմբերի 31-ը ստանձնած վարկային պարտավորությունների կապակցությամբ հարուցված կատարողական վարույթները պարտքը ներելու հիմքով սույն օրենքի 42-րդ հոդվածի 1-ին մասի 1-ին կետով կարճվելու դեպքում կատարողական գործողությունների կատարման ծախսեր չեն գանձվում:</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7. Կատարողական գործողությունների կատարման ծախսերը փոխանցվում են պետական բյուջե:</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8. Կատարողական գործողությունների կատարման ծախսեր չեն գանձվում, եթե կատարողական վարույթը կարճվել է կատարողական թերթի պահանջները «Հայաստանի Հանրապետության բյուջետային համակարգի մասին» Հայաստանի Հանրապետության օրենքի դրույթներին համապատասխան` դատական ակտերի հիման վրա Հայաստանի Հանրապետության պետական բյուջեից բռնագանձման ենթակա գումարների դիմաց փոխանցելի մուրհակներ տրամադրելու միջոցով կատարված լինելու հիմքով:</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9. Հայցի և վճռի կատարման ապահովմանն ուղղված կատարողական վարույթների կատարողական ծախսերը բռնագանձվում են այն անձից, որի վրա դատական ակտով դրվել է դատական ծախսերի փոխհատուցման պարտականությունը, իսկ մինչև գործի ըստ էության լուծումը հայցի ապահովումը դատարանի կողմից վերացվելու դեպքում` հայցի ապահովմանն ուղղված կատարողական վարույթով պահանջատիրոջից:</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10. Հայցի ապահովմանն ուղղված կատարողական վարույթի կատարողական ծախսերը բռնագանձվում են հայցի ապահովմամբ ապահովված դատական ակտի հարկադիր կատարման վարույթում:</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11. Դատական ակտը հարկադիր կատարման չներկայացնելու, ինչպես նաև մինչև գործի ըստ էության լուծումը հայցի ապահովումը դատարանի կողմից վերացվելու դեպքում հայցի ապահովմանն ուղղված կատարողական վարույթի կատարողական ծախսերը բռնագանձվում են հայցի ապահովման վերացման վերաբերյալ դատական ակտի կատարման վարույթում:</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color w:val="000000"/>
          <w:lang w:eastAsia="hy-AM"/>
        </w:rPr>
        <w:t>12. Սույն հոդվածով սահմանված կանոնները գործում են, եթե օրենքով կատարողական գործողությունների կատարման ծախսերի հատուցման այլ կարգ սահմանված չէ:</w:t>
      </w:r>
    </w:p>
    <w:p w:rsidR="001C496A" w:rsidRDefault="001C496A" w:rsidP="001C496A">
      <w:pPr>
        <w:shd w:val="clear" w:color="auto" w:fill="FFFFFF"/>
        <w:spacing w:after="0" w:line="276" w:lineRule="auto"/>
        <w:ind w:firstLine="375"/>
        <w:jc w:val="both"/>
        <w:rPr>
          <w:rFonts w:ascii="GHEA Grapalat" w:eastAsia="Times New Roman" w:hAnsi="GHEA Grapalat" w:cs="Times New Roman"/>
          <w:color w:val="000000"/>
          <w:lang w:eastAsia="hy-AM"/>
        </w:rPr>
      </w:pPr>
      <w:r>
        <w:rPr>
          <w:rFonts w:ascii="GHEA Grapalat" w:eastAsia="Times New Roman" w:hAnsi="GHEA Grapalat" w:cs="Times New Roman"/>
          <w:b/>
          <w:bCs/>
          <w:i/>
          <w:iCs/>
          <w:color w:val="000000"/>
          <w:lang w:eastAsia="hy-AM"/>
        </w:rPr>
        <w:lastRenderedPageBreak/>
        <w:t>(67-րդ հոդվածը</w:t>
      </w:r>
      <w:r>
        <w:rPr>
          <w:rFonts w:ascii="Calibri" w:eastAsia="Times New Roman" w:hAnsi="Calibri" w:cs="Calibri"/>
          <w:b/>
          <w:bCs/>
          <w:i/>
          <w:iCs/>
          <w:color w:val="000000"/>
          <w:lang w:eastAsia="hy-AM"/>
        </w:rPr>
        <w:t> </w:t>
      </w:r>
      <w:r>
        <w:rPr>
          <w:rFonts w:ascii="GHEA Grapalat" w:eastAsia="Times New Roman" w:hAnsi="GHEA Grapalat" w:cs="Arial Unicode"/>
          <w:b/>
          <w:bCs/>
          <w:i/>
          <w:iCs/>
          <w:color w:val="000000"/>
          <w:lang w:eastAsia="hy-AM"/>
        </w:rPr>
        <w:t>խմբ</w:t>
      </w:r>
      <w:r>
        <w:rPr>
          <w:rFonts w:ascii="GHEA Grapalat" w:eastAsia="Times New Roman" w:hAnsi="GHEA Grapalat" w:cs="Times New Roman"/>
          <w:b/>
          <w:bCs/>
          <w:i/>
          <w:iCs/>
          <w:color w:val="000000"/>
          <w:lang w:eastAsia="hy-AM"/>
        </w:rPr>
        <w:t>.</w:t>
      </w:r>
      <w:r>
        <w:rPr>
          <w:rFonts w:ascii="Calibri" w:eastAsia="Times New Roman" w:hAnsi="Calibri" w:cs="Calibri"/>
          <w:b/>
          <w:bCs/>
          <w:i/>
          <w:iCs/>
          <w:color w:val="000000"/>
          <w:lang w:eastAsia="hy-AM"/>
        </w:rPr>
        <w:t> </w:t>
      </w:r>
      <w:r>
        <w:rPr>
          <w:rFonts w:ascii="GHEA Grapalat" w:eastAsia="Times New Roman" w:hAnsi="GHEA Grapalat" w:cs="Times New Roman"/>
          <w:b/>
          <w:bCs/>
          <w:i/>
          <w:iCs/>
          <w:color w:val="000000"/>
          <w:lang w:eastAsia="hy-AM"/>
        </w:rPr>
        <w:t xml:space="preserve">07.07.05 </w:t>
      </w:r>
      <w:r>
        <w:rPr>
          <w:rFonts w:ascii="GHEA Grapalat" w:eastAsia="Times New Roman" w:hAnsi="GHEA Grapalat" w:cs="Arial Unicode"/>
          <w:b/>
          <w:bCs/>
          <w:i/>
          <w:iCs/>
          <w:color w:val="000000"/>
          <w:lang w:eastAsia="hy-AM"/>
        </w:rPr>
        <w:t>ՀՕ</w:t>
      </w:r>
      <w:r>
        <w:rPr>
          <w:rFonts w:ascii="GHEA Grapalat" w:eastAsia="Times New Roman" w:hAnsi="GHEA Grapalat" w:cs="Times New Roman"/>
          <w:b/>
          <w:bCs/>
          <w:i/>
          <w:iCs/>
          <w:color w:val="000000"/>
          <w:lang w:eastAsia="hy-AM"/>
        </w:rPr>
        <w:t>-157-</w:t>
      </w:r>
      <w:r>
        <w:rPr>
          <w:rFonts w:ascii="GHEA Grapalat" w:eastAsia="Times New Roman" w:hAnsi="GHEA Grapalat" w:cs="Arial Unicode"/>
          <w:b/>
          <w:bCs/>
          <w:i/>
          <w:iCs/>
          <w:color w:val="000000"/>
          <w:lang w:eastAsia="hy-AM"/>
        </w:rPr>
        <w:t>Ն</w:t>
      </w:r>
      <w:r>
        <w:rPr>
          <w:rFonts w:ascii="GHEA Grapalat" w:eastAsia="Times New Roman" w:hAnsi="GHEA Grapalat" w:cs="Times New Roman"/>
          <w:b/>
          <w:bCs/>
          <w:i/>
          <w:iCs/>
          <w:color w:val="000000"/>
          <w:lang w:eastAsia="hy-AM"/>
        </w:rPr>
        <w:t xml:space="preserve">, </w:t>
      </w:r>
      <w:r>
        <w:rPr>
          <w:rFonts w:ascii="GHEA Grapalat" w:eastAsia="Times New Roman" w:hAnsi="GHEA Grapalat" w:cs="Arial Unicode"/>
          <w:b/>
          <w:bCs/>
          <w:i/>
          <w:iCs/>
          <w:color w:val="000000"/>
          <w:lang w:eastAsia="hy-AM"/>
        </w:rPr>
        <w:t>լրաց</w:t>
      </w:r>
      <w:r>
        <w:rPr>
          <w:rFonts w:ascii="GHEA Grapalat" w:eastAsia="Times New Roman" w:hAnsi="GHEA Grapalat" w:cs="Times New Roman"/>
          <w:b/>
          <w:bCs/>
          <w:i/>
          <w:iCs/>
          <w:color w:val="000000"/>
          <w:lang w:eastAsia="hy-AM"/>
        </w:rPr>
        <w:t>. 24.03.11</w:t>
      </w:r>
      <w:r>
        <w:rPr>
          <w:rFonts w:ascii="Calibri" w:eastAsia="Times New Roman" w:hAnsi="Calibri" w:cs="Calibri"/>
          <w:b/>
          <w:bCs/>
          <w:i/>
          <w:iCs/>
          <w:color w:val="000000"/>
          <w:lang w:eastAsia="hy-AM"/>
        </w:rPr>
        <w:t> </w:t>
      </w:r>
      <w:r>
        <w:rPr>
          <w:rFonts w:ascii="GHEA Grapalat" w:eastAsia="Times New Roman" w:hAnsi="GHEA Grapalat" w:cs="Arial Unicode"/>
          <w:b/>
          <w:bCs/>
          <w:i/>
          <w:iCs/>
          <w:color w:val="000000"/>
          <w:lang w:eastAsia="hy-AM"/>
        </w:rPr>
        <w:t>ՀՕ</w:t>
      </w:r>
      <w:r>
        <w:rPr>
          <w:rFonts w:ascii="GHEA Grapalat" w:eastAsia="Times New Roman" w:hAnsi="GHEA Grapalat" w:cs="Times New Roman"/>
          <w:b/>
          <w:bCs/>
          <w:i/>
          <w:iCs/>
          <w:color w:val="000000"/>
          <w:lang w:eastAsia="hy-AM"/>
        </w:rPr>
        <w:t>-71-</w:t>
      </w:r>
      <w:r>
        <w:rPr>
          <w:rFonts w:ascii="GHEA Grapalat" w:eastAsia="Times New Roman" w:hAnsi="GHEA Grapalat" w:cs="Arial Unicode"/>
          <w:b/>
          <w:bCs/>
          <w:i/>
          <w:iCs/>
          <w:color w:val="000000"/>
          <w:lang w:eastAsia="hy-AM"/>
        </w:rPr>
        <w:t>Ն</w:t>
      </w:r>
      <w:r>
        <w:rPr>
          <w:rFonts w:ascii="GHEA Grapalat" w:eastAsia="Times New Roman" w:hAnsi="GHEA Grapalat" w:cs="Times New Roman"/>
          <w:b/>
          <w:bCs/>
          <w:i/>
          <w:iCs/>
          <w:color w:val="000000"/>
          <w:lang w:eastAsia="hy-AM"/>
        </w:rPr>
        <w:t xml:space="preserve">, 17.12.14 </w:t>
      </w:r>
      <w:r>
        <w:rPr>
          <w:rFonts w:ascii="GHEA Grapalat" w:eastAsia="Times New Roman" w:hAnsi="GHEA Grapalat" w:cs="Arial Unicode"/>
          <w:b/>
          <w:bCs/>
          <w:i/>
          <w:iCs/>
          <w:color w:val="000000"/>
          <w:lang w:eastAsia="hy-AM"/>
        </w:rPr>
        <w:t>ՀՕ</w:t>
      </w:r>
      <w:r>
        <w:rPr>
          <w:rFonts w:ascii="GHEA Grapalat" w:eastAsia="Times New Roman" w:hAnsi="GHEA Grapalat" w:cs="Times New Roman"/>
          <w:b/>
          <w:bCs/>
          <w:i/>
          <w:iCs/>
          <w:color w:val="000000"/>
          <w:lang w:eastAsia="hy-AM"/>
        </w:rPr>
        <w:t>-252-</w:t>
      </w:r>
      <w:r>
        <w:rPr>
          <w:rFonts w:ascii="GHEA Grapalat" w:eastAsia="Times New Roman" w:hAnsi="GHEA Grapalat" w:cs="Arial Unicode"/>
          <w:b/>
          <w:bCs/>
          <w:i/>
          <w:iCs/>
          <w:color w:val="000000"/>
          <w:lang w:eastAsia="hy-AM"/>
        </w:rPr>
        <w:t>Ն</w:t>
      </w:r>
      <w:r>
        <w:rPr>
          <w:rFonts w:ascii="GHEA Grapalat" w:eastAsia="Times New Roman" w:hAnsi="GHEA Grapalat" w:cs="Times New Roman"/>
          <w:b/>
          <w:bCs/>
          <w:i/>
          <w:iCs/>
          <w:color w:val="000000"/>
          <w:lang w:eastAsia="hy-AM"/>
        </w:rPr>
        <w:t xml:space="preserve">, </w:t>
      </w:r>
      <w:r>
        <w:rPr>
          <w:rFonts w:ascii="GHEA Grapalat" w:eastAsia="Times New Roman" w:hAnsi="GHEA Grapalat" w:cs="Arial Unicode"/>
          <w:b/>
          <w:bCs/>
          <w:i/>
          <w:iCs/>
          <w:color w:val="000000"/>
          <w:lang w:eastAsia="hy-AM"/>
        </w:rPr>
        <w:t>խմբ</w:t>
      </w:r>
      <w:r>
        <w:rPr>
          <w:rFonts w:ascii="GHEA Grapalat" w:eastAsia="Times New Roman" w:hAnsi="GHEA Grapalat" w:cs="Times New Roman"/>
          <w:b/>
          <w:bCs/>
          <w:i/>
          <w:iCs/>
          <w:color w:val="000000"/>
          <w:lang w:eastAsia="hy-AM"/>
        </w:rPr>
        <w:t>.</w:t>
      </w:r>
      <w:r>
        <w:rPr>
          <w:rFonts w:ascii="Calibri" w:eastAsia="Times New Roman" w:hAnsi="Calibri" w:cs="Calibri"/>
          <w:b/>
          <w:bCs/>
          <w:i/>
          <w:iCs/>
          <w:color w:val="000000"/>
          <w:lang w:eastAsia="hy-AM"/>
        </w:rPr>
        <w:t> </w:t>
      </w:r>
      <w:r>
        <w:rPr>
          <w:rFonts w:ascii="GHEA Grapalat" w:eastAsia="Times New Roman" w:hAnsi="GHEA Grapalat" w:cs="Times New Roman"/>
          <w:b/>
          <w:bCs/>
          <w:i/>
          <w:iCs/>
          <w:color w:val="000000"/>
          <w:lang w:eastAsia="hy-AM"/>
        </w:rPr>
        <w:t xml:space="preserve">25.10.17 </w:t>
      </w:r>
      <w:r>
        <w:rPr>
          <w:rFonts w:ascii="GHEA Grapalat" w:eastAsia="Times New Roman" w:hAnsi="GHEA Grapalat" w:cs="Arial Unicode"/>
          <w:b/>
          <w:bCs/>
          <w:i/>
          <w:iCs/>
          <w:color w:val="000000"/>
          <w:lang w:eastAsia="hy-AM"/>
        </w:rPr>
        <w:t>Հ</w:t>
      </w:r>
      <w:r>
        <w:rPr>
          <w:rFonts w:ascii="GHEA Grapalat" w:eastAsia="Times New Roman" w:hAnsi="GHEA Grapalat" w:cs="Times New Roman"/>
          <w:b/>
          <w:bCs/>
          <w:i/>
          <w:iCs/>
          <w:color w:val="000000"/>
          <w:lang w:eastAsia="hy-AM"/>
        </w:rPr>
        <w:t>Օ-164-Ն, լրաց. 13.12.17 ՀՕ-309-Ն, փոփ., լրաց. 09.07.19 ՀՕ-126-Ն, փոփ., խմբ. 14.11.19 ՀՕ-238-Ն,</w:t>
      </w:r>
      <w:r>
        <w:rPr>
          <w:rFonts w:ascii="Calibri" w:eastAsia="Times New Roman" w:hAnsi="Calibri" w:cs="Calibri"/>
          <w:b/>
          <w:bCs/>
          <w:i/>
          <w:iCs/>
          <w:color w:val="000000"/>
          <w:lang w:eastAsia="hy-AM"/>
        </w:rPr>
        <w:t> </w:t>
      </w:r>
      <w:r>
        <w:rPr>
          <w:rFonts w:ascii="GHEA Grapalat" w:eastAsia="Times New Roman" w:hAnsi="GHEA Grapalat" w:cs="Arial Unicode"/>
          <w:b/>
          <w:bCs/>
          <w:i/>
          <w:iCs/>
          <w:color w:val="000000"/>
          <w:lang w:eastAsia="hy-AM"/>
        </w:rPr>
        <w:t>լրաց</w:t>
      </w:r>
      <w:r>
        <w:rPr>
          <w:rFonts w:ascii="GHEA Grapalat" w:eastAsia="Times New Roman" w:hAnsi="GHEA Grapalat" w:cs="Times New Roman"/>
          <w:b/>
          <w:bCs/>
          <w:i/>
          <w:iCs/>
          <w:color w:val="000000"/>
          <w:lang w:eastAsia="hy-AM"/>
        </w:rPr>
        <w:t xml:space="preserve">. 18.11.21 </w:t>
      </w:r>
      <w:r>
        <w:rPr>
          <w:rFonts w:ascii="GHEA Grapalat" w:eastAsia="Times New Roman" w:hAnsi="GHEA Grapalat" w:cs="Arial Unicode"/>
          <w:b/>
          <w:bCs/>
          <w:i/>
          <w:iCs/>
          <w:color w:val="000000"/>
          <w:lang w:eastAsia="hy-AM"/>
        </w:rPr>
        <w:t>ՀՕ</w:t>
      </w:r>
      <w:r>
        <w:rPr>
          <w:rFonts w:ascii="GHEA Grapalat" w:eastAsia="Times New Roman" w:hAnsi="GHEA Grapalat" w:cs="Times New Roman"/>
          <w:b/>
          <w:bCs/>
          <w:i/>
          <w:iCs/>
          <w:color w:val="000000"/>
          <w:lang w:eastAsia="hy-AM"/>
        </w:rPr>
        <w:t>-352-Ն)</w:t>
      </w:r>
    </w:p>
    <w:p w:rsidR="001C496A" w:rsidRDefault="001C496A" w:rsidP="001C496A">
      <w:pPr>
        <w:jc w:val="both"/>
        <w:rPr>
          <w:rFonts w:ascii="GHEA Grapalat" w:hAnsi="GHEA Grapalat"/>
          <w:i/>
          <w:sz w:val="24"/>
          <w:szCs w:val="24"/>
        </w:rPr>
      </w:pPr>
    </w:p>
    <w:p w:rsidR="00B755CD" w:rsidRPr="001C496A" w:rsidRDefault="00B755CD" w:rsidP="001C496A"/>
    <w:sectPr w:rsidR="00B755CD" w:rsidRPr="001C496A" w:rsidSect="00EC7837">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A92" w:rsidRDefault="00714A92">
      <w:pPr>
        <w:spacing w:after="0" w:line="240" w:lineRule="auto"/>
      </w:pPr>
      <w:r>
        <w:separator/>
      </w:r>
    </w:p>
  </w:endnote>
  <w:endnote w:type="continuationSeparator" w:id="0">
    <w:p w:rsidR="00714A92" w:rsidRDefault="00714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518846"/>
      <w:docPartObj>
        <w:docPartGallery w:val="Page Numbers (Bottom of Page)"/>
        <w:docPartUnique/>
      </w:docPartObj>
    </w:sdtPr>
    <w:sdtEndPr>
      <w:rPr>
        <w:noProof/>
      </w:rPr>
    </w:sdtEndPr>
    <w:sdtContent>
      <w:p w:rsidR="00EC7837" w:rsidRDefault="00236C52">
        <w:pPr>
          <w:pStyle w:val="Footer"/>
          <w:jc w:val="center"/>
        </w:pPr>
        <w:r>
          <w:fldChar w:fldCharType="begin"/>
        </w:r>
        <w:r>
          <w:instrText xml:space="preserve"> PAGE   \* MERGEFORMAT </w:instrText>
        </w:r>
        <w:r>
          <w:fldChar w:fldCharType="separate"/>
        </w:r>
        <w:r w:rsidR="00A81E19">
          <w:rPr>
            <w:noProof/>
          </w:rPr>
          <w:t>3</w:t>
        </w:r>
        <w:r>
          <w:rPr>
            <w:noProof/>
          </w:rPr>
          <w:fldChar w:fldCharType="end"/>
        </w:r>
      </w:p>
    </w:sdtContent>
  </w:sdt>
  <w:p w:rsidR="00EC7837" w:rsidRDefault="00714A9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A92" w:rsidRDefault="00714A92">
      <w:pPr>
        <w:spacing w:after="0" w:line="240" w:lineRule="auto"/>
      </w:pPr>
      <w:r>
        <w:separator/>
      </w:r>
    </w:p>
  </w:footnote>
  <w:footnote w:type="continuationSeparator" w:id="0">
    <w:p w:rsidR="00714A92" w:rsidRDefault="00714A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425A6"/>
    <w:multiLevelType w:val="hybridMultilevel"/>
    <w:tmpl w:val="7DD8302C"/>
    <w:lvl w:ilvl="0" w:tplc="76620C90">
      <w:start w:val="1"/>
      <w:numFmt w:val="decimal"/>
      <w:lvlText w:val="%1."/>
      <w:lvlJc w:val="left"/>
      <w:pPr>
        <w:ind w:left="720" w:hanging="360"/>
      </w:pPr>
      <w:rPr>
        <w:b w:val="0"/>
        <w:bCs w:val="0"/>
        <w:color w:val="auto"/>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60445448"/>
    <w:multiLevelType w:val="hybridMultilevel"/>
    <w:tmpl w:val="A2EA9136"/>
    <w:lvl w:ilvl="0" w:tplc="68C6C9E6">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738"/>
    <w:rsid w:val="00065738"/>
    <w:rsid w:val="001721FC"/>
    <w:rsid w:val="001C496A"/>
    <w:rsid w:val="00236C52"/>
    <w:rsid w:val="00241F42"/>
    <w:rsid w:val="004236DE"/>
    <w:rsid w:val="00654108"/>
    <w:rsid w:val="00714A92"/>
    <w:rsid w:val="00974C16"/>
    <w:rsid w:val="00A81E19"/>
    <w:rsid w:val="00B6665C"/>
    <w:rsid w:val="00B75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FCD5C"/>
  <w15:chartTrackingRefBased/>
  <w15:docId w15:val="{EAF10740-316F-4E62-AA5D-92BA35506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96A"/>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36C52"/>
    <w:pPr>
      <w:ind w:left="720"/>
      <w:contextualSpacing/>
    </w:pPr>
  </w:style>
  <w:style w:type="paragraph" w:styleId="Footer">
    <w:name w:val="footer"/>
    <w:basedOn w:val="Normal"/>
    <w:link w:val="FooterChar"/>
    <w:uiPriority w:val="99"/>
    <w:unhideWhenUsed/>
    <w:rsid w:val="00236C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6C52"/>
    <w:rPr>
      <w:lang w:val="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236C52"/>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236C52"/>
    <w:rPr>
      <w:rFonts w:ascii="Times New Roman" w:eastAsia="Times New Roman" w:hAnsi="Times New Roman" w:cs="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95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1732</Words>
  <Characters>9873</Characters>
  <Application>Microsoft Office Word</Application>
  <DocSecurity>0</DocSecurity>
  <Lines>82</Lines>
  <Paragraphs>23</Paragraphs>
  <ScaleCrop>false</ScaleCrop>
  <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A-Sujyan</dc:creator>
  <cp:keywords>https://mul2.gov.am/tasks/621446/oneclick/2eebd4ec9c5602d0cb6b0ac825dbfa4d9e5dc8d5977eea17a1d279c66d370e91.docx?token=bedbbf4b96b8f8431e55ff2f15deaef2</cp:keywords>
  <dc:description/>
  <cp:lastModifiedBy>A-Sujyan</cp:lastModifiedBy>
  <cp:revision>6</cp:revision>
  <dcterms:created xsi:type="dcterms:W3CDTF">2022-04-27T06:02:00Z</dcterms:created>
  <dcterms:modified xsi:type="dcterms:W3CDTF">2022-06-01T14:58:00Z</dcterms:modified>
</cp:coreProperties>
</file>