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NormalWeb"/>
        <w:tabs>
          <w:tab w:val="left" w:pos="1170"/>
        </w:tabs>
        <w:spacing w:before="0" w:beforeAutospacing="0" w:after="0" w:afterAutospacing="0" w:line="360" w:lineRule="auto"/>
        <w:ind w:left="810" w:hanging="450"/>
        <w:jc w:val="right"/>
        <w:rPr>
          <w:rStyle w:val="Strong"/>
          <w:rFonts w:ascii="GHEA Grapalat" w:hAnsi="GHEA Grapalat"/>
          <w:lang w:val="hy-AM"/>
        </w:rPr>
      </w:pPr>
      <w:r>
        <w:rPr>
          <w:rStyle w:val="Strong"/>
          <w:rFonts w:ascii="GHEA Grapalat" w:hAnsi="GHEA Grapalat"/>
          <w:lang w:val="hy-AM"/>
        </w:rPr>
        <w:t>ՆԱԽԱԳԻԾ</w:t>
      </w:r>
    </w:p>
    <w:p>
      <w:pPr>
        <w:pStyle w:val="NormalWeb"/>
        <w:tabs>
          <w:tab w:val="left" w:pos="1170"/>
        </w:tabs>
        <w:spacing w:before="0" w:beforeAutospacing="0" w:after="0" w:afterAutospacing="0" w:line="360" w:lineRule="auto"/>
        <w:ind w:left="810" w:hanging="450"/>
        <w:jc w:val="right"/>
        <w:rPr>
          <w:rStyle w:val="Strong"/>
          <w:rFonts w:ascii="GHEA Grapalat" w:hAnsi="GHEA Grapalat"/>
          <w:lang w:val="hy-AM"/>
        </w:rPr>
      </w:pPr>
    </w:p>
    <w:p>
      <w:pPr>
        <w:pStyle w:val="NormalWeb"/>
        <w:tabs>
          <w:tab w:val="left" w:pos="1170"/>
        </w:tabs>
        <w:spacing w:before="0" w:beforeAutospacing="0" w:after="0" w:afterAutospacing="0" w:line="360" w:lineRule="auto"/>
        <w:ind w:left="810" w:hanging="450"/>
        <w:jc w:val="center"/>
        <w:rPr>
          <w:rFonts w:ascii="GHEA Grapalat" w:hAnsi="GHEA Grapalat"/>
          <w:lang w:val="hy-AM"/>
        </w:rPr>
      </w:pPr>
      <w:r>
        <w:rPr>
          <w:rStyle w:val="Strong"/>
          <w:rFonts w:ascii="GHEA Grapalat" w:hAnsi="GHEA Grapalat"/>
          <w:lang w:val="hy-AM"/>
        </w:rPr>
        <w:t>ՀԱՅԱՍՏԱՆԻ ՀԱՆՐԱՊԵՏՈՒԹՅԱՆ ԿԱՌԱՎԱՐՈՒԹՅՈՒՆ</w:t>
      </w:r>
    </w:p>
    <w:p>
      <w:pPr>
        <w:pStyle w:val="NormalWeb"/>
        <w:tabs>
          <w:tab w:val="left" w:pos="1170"/>
        </w:tabs>
        <w:spacing w:before="0" w:beforeAutospacing="0" w:after="0" w:afterAutospacing="0" w:line="360" w:lineRule="auto"/>
        <w:ind w:left="810" w:hanging="450"/>
        <w:jc w:val="center"/>
        <w:rPr>
          <w:rFonts w:ascii="GHEA Grapalat" w:hAnsi="GHEA Grapalat"/>
          <w:lang w:val="hy-AM"/>
        </w:rPr>
      </w:pPr>
      <w:r>
        <w:rPr>
          <w:rFonts w:ascii="Calibri" w:hAnsi="Calibri" w:cs="Calibri"/>
          <w:lang w:val="hy-AM"/>
        </w:rPr>
        <w:t> </w:t>
      </w:r>
      <w:r>
        <w:rPr>
          <w:rStyle w:val="Strong"/>
          <w:rFonts w:ascii="GHEA Grapalat" w:hAnsi="GHEA Grapalat"/>
          <w:lang w:val="hy-AM"/>
        </w:rPr>
        <w:t>Ո Ր Ո Շ ՈՒ Մ</w:t>
      </w:r>
    </w:p>
    <w:p>
      <w:pPr>
        <w:pStyle w:val="NormalWeb"/>
        <w:tabs>
          <w:tab w:val="left" w:pos="1170"/>
        </w:tabs>
        <w:spacing w:before="0" w:beforeAutospacing="0" w:after="0" w:afterAutospacing="0" w:line="360" w:lineRule="auto"/>
        <w:ind w:left="810" w:hanging="450"/>
        <w:jc w:val="center"/>
        <w:rPr>
          <w:rFonts w:ascii="GHEA Grapalat" w:hAnsi="GHEA Grapalat"/>
          <w:lang w:val="hy-AM"/>
        </w:rPr>
      </w:pPr>
      <w:r>
        <w:rPr>
          <w:rFonts w:ascii="Calibri" w:hAnsi="Calibri" w:cs="Calibri"/>
          <w:lang w:val="hy-AM"/>
        </w:rPr>
        <w:t> </w:t>
      </w:r>
      <w:r>
        <w:rPr>
          <w:rFonts w:ascii="GHEA Grapalat" w:hAnsi="GHEA Grapalat"/>
          <w:lang w:val="hy-AM"/>
        </w:rPr>
        <w:t>«      » հունիսի   2022  թվականի  N _________ Լ</w:t>
      </w:r>
    </w:p>
    <w:p>
      <w:pPr>
        <w:pStyle w:val="NormalWeb"/>
        <w:tabs>
          <w:tab w:val="left" w:pos="1170"/>
        </w:tabs>
        <w:spacing w:before="0" w:beforeAutospacing="0" w:after="0" w:afterAutospacing="0" w:line="360" w:lineRule="auto"/>
        <w:ind w:left="810" w:hanging="450"/>
        <w:rPr>
          <w:rFonts w:ascii="GHEA Grapalat" w:hAnsi="GHEA Grapalat"/>
          <w:lang w:val="hy-AM"/>
        </w:rPr>
      </w:pPr>
      <w:r>
        <w:rPr>
          <w:rFonts w:ascii="Calibri" w:hAnsi="Calibri" w:cs="Calibri"/>
          <w:lang w:val="hy-AM"/>
        </w:rPr>
        <w:t> </w:t>
      </w:r>
    </w:p>
    <w:p>
      <w:pPr>
        <w:pStyle w:val="NormalWeb"/>
        <w:tabs>
          <w:tab w:val="left" w:pos="1170"/>
        </w:tabs>
        <w:spacing w:before="0" w:beforeAutospacing="0" w:after="0" w:afterAutospacing="0" w:line="360" w:lineRule="auto"/>
        <w:ind w:left="810" w:hanging="450"/>
        <w:jc w:val="center"/>
        <w:rPr>
          <w:rFonts w:ascii="GHEA Grapalat" w:hAnsi="GHEA Grapalat"/>
          <w:lang w:val="hy-AM"/>
        </w:rPr>
      </w:pPr>
      <w:r>
        <w:rPr>
          <w:rStyle w:val="Strong"/>
          <w:rFonts w:ascii="GHEA Grapalat" w:hAnsi="GHEA Grapalat"/>
          <w:lang w:val="hy-AM"/>
        </w:rPr>
        <w:t xml:space="preserve">ՀԱՅԱՍՏԱՆԻ ՀԱՆՐԱՊԵՏՈՒԹՅԱՆ </w:t>
      </w:r>
      <w:r>
        <w:rPr>
          <w:rFonts w:ascii="GHEA Grapalat" w:hAnsi="GHEA Grapalat"/>
          <w:b/>
          <w:lang w:val="hy-AM"/>
        </w:rPr>
        <w:t xml:space="preserve">ՍԱՀՄԱՆԱՄԵՐՁ ԲՆԱԿԱՎԱՅՐԵՐՈՒՄ ԸՆՏԱՆԻՔՆԵՐԻ </w:t>
      </w:r>
      <w:r>
        <w:rPr>
          <w:rStyle w:val="Strong"/>
          <w:rFonts w:ascii="GHEA Grapalat" w:hAnsi="GHEA Grapalat"/>
          <w:lang w:val="hy-AM"/>
        </w:rPr>
        <w:t>ԲՆԱԿԱՐԱՆԱՅԻՆ ՄԱՏՉԵԼԻՈՒԹՅԱՆ ԱՊԱՀՈՎՄԱՆ ՊԵՏԱԿԱՆ ԱՋԱԿՑՈՒԹՅԱՆ 2022-2024 ԹՎԱԿԱՆՆԵՐԻ ԾՐԱԳԻՐԸ ՀԱՍՏԱՏԵԼՈՒ ՄԱՍԻՆ</w:t>
      </w:r>
    </w:p>
    <w:p>
      <w:pPr>
        <w:pStyle w:val="NormalWeb"/>
        <w:tabs>
          <w:tab w:val="left" w:pos="1170"/>
        </w:tabs>
        <w:spacing w:before="0" w:beforeAutospacing="0" w:after="0" w:afterAutospacing="0" w:line="360" w:lineRule="auto"/>
        <w:ind w:left="810" w:hanging="450"/>
        <w:jc w:val="center"/>
        <w:rPr>
          <w:rFonts w:ascii="GHEA Grapalat" w:hAnsi="GHEA Grapalat"/>
          <w:lang w:val="hy-AM"/>
        </w:rPr>
      </w:pPr>
    </w:p>
    <w:p>
      <w:pPr>
        <w:pStyle w:val="NormalWeb"/>
        <w:tabs>
          <w:tab w:val="left" w:pos="1170"/>
        </w:tabs>
        <w:spacing w:before="0" w:beforeAutospacing="0" w:after="0" w:afterAutospacing="0" w:line="360" w:lineRule="auto"/>
        <w:jc w:val="both"/>
        <w:rPr>
          <w:rFonts w:ascii="GHEA Grapalat" w:hAnsi="GHEA Grapalat"/>
          <w:lang w:val="hy-AM"/>
        </w:rPr>
      </w:pPr>
      <w:r>
        <w:rPr>
          <w:rFonts w:ascii="GHEA Grapalat" w:hAnsi="GHEA Grapalat"/>
          <w:lang w:val="hy-AM"/>
        </w:rPr>
        <w:t xml:space="preserve">        Հիմք ընդունելով Հայաստանի Հանրապետության Սահմանադրության 146-րդ հոդվածի 4-րդ մասը՝ Հայաստանի Հանրապետության կառավարությունը </w:t>
      </w:r>
      <w:r>
        <w:rPr>
          <w:rStyle w:val="Emphasis"/>
          <w:rFonts w:ascii="GHEA Grapalat" w:hAnsi="GHEA Grapalat"/>
          <w:b/>
          <w:bCs/>
          <w:lang w:val="hy-AM"/>
        </w:rPr>
        <w:t>որոշում է.</w:t>
      </w:r>
    </w:p>
    <w:p>
      <w:pPr>
        <w:pStyle w:val="NormalWeb"/>
        <w:numPr>
          <w:ilvl w:val="0"/>
          <w:numId w:val="41"/>
        </w:numPr>
        <w:tabs>
          <w:tab w:val="left" w:pos="1170"/>
        </w:tabs>
        <w:spacing w:before="0" w:beforeAutospacing="0" w:after="0" w:afterAutospacing="0" w:line="360" w:lineRule="auto"/>
        <w:jc w:val="both"/>
        <w:rPr>
          <w:rFonts w:ascii="GHEA Grapalat" w:hAnsi="GHEA Grapalat"/>
          <w:lang w:val="hy-AM"/>
        </w:rPr>
      </w:pPr>
      <w:r>
        <w:rPr>
          <w:rFonts w:ascii="GHEA Grapalat" w:hAnsi="GHEA Grapalat"/>
          <w:lang w:val="hy-AM"/>
        </w:rPr>
        <w:t>Հաստատել «Հայաստանի Հանրապետության սահմանամերձ բնակավայրերում ընտանիքների բնակարանային մատչելիության ապահովման պետական աջակցության 2022-2024 թվականների ծրագիրը»՝ համաձայն հավելվածի,</w:t>
      </w:r>
    </w:p>
    <w:p>
      <w:pPr>
        <w:pStyle w:val="NormalWeb"/>
        <w:numPr>
          <w:ilvl w:val="0"/>
          <w:numId w:val="41"/>
        </w:numPr>
        <w:tabs>
          <w:tab w:val="left" w:pos="1170"/>
        </w:tabs>
        <w:spacing w:before="0" w:beforeAutospacing="0" w:after="0" w:afterAutospacing="0" w:line="360" w:lineRule="auto"/>
        <w:jc w:val="both"/>
        <w:rPr>
          <w:rFonts w:ascii="GHEA Grapalat" w:hAnsi="GHEA Grapalat"/>
          <w:lang w:val="hy-AM"/>
        </w:rPr>
      </w:pPr>
      <w:r>
        <w:rPr>
          <w:rFonts w:ascii="GHEA Grapalat" w:hAnsi="GHEA Grapalat"/>
          <w:lang w:val="hy-AM"/>
        </w:rPr>
        <w:t xml:space="preserve">Հայաստանի Հանրապետության աշխատանքի և սոցիալական հարցերի նախարարին՝ </w:t>
      </w:r>
    </w:p>
    <w:p>
      <w:pPr>
        <w:pStyle w:val="NormalWeb"/>
        <w:numPr>
          <w:ilvl w:val="0"/>
          <w:numId w:val="35"/>
        </w:numPr>
        <w:tabs>
          <w:tab w:val="left" w:pos="1170"/>
        </w:tabs>
        <w:spacing w:before="0" w:beforeAutospacing="0" w:after="0" w:afterAutospacing="0" w:line="360" w:lineRule="auto"/>
        <w:ind w:left="993" w:hanging="426"/>
        <w:jc w:val="both"/>
        <w:rPr>
          <w:rFonts w:ascii="GHEA Grapalat" w:hAnsi="GHEA Grapalat"/>
          <w:lang w:val="hy-AM"/>
        </w:rPr>
      </w:pPr>
      <w:r>
        <w:rPr>
          <w:rFonts w:ascii="GHEA Grapalat" w:hAnsi="GHEA Grapalat"/>
          <w:lang w:val="hy-AM"/>
        </w:rPr>
        <w:t>սույն որոշումն ուժի մեջ մտնելուց հետո երկամսյա ժամկետում, համագործակցելով Հայաստանի Հանրապետության կենտրոնական բանկի հետ, Հայաստանի Հանրապետության կառավարության հաստատմանը ներկայացնել Հայաստանի Հանրապետության սահմանամերձ բնակավայրերում ընտանիքների բնակարանային մատչելիության ապահովման պետական աջակցության ծրագրի իրականացման կարգը,</w:t>
      </w:r>
    </w:p>
    <w:p>
      <w:pPr>
        <w:pStyle w:val="NormalWeb"/>
        <w:numPr>
          <w:ilvl w:val="0"/>
          <w:numId w:val="35"/>
        </w:numPr>
        <w:tabs>
          <w:tab w:val="left" w:pos="1170"/>
        </w:tabs>
        <w:spacing w:before="0" w:beforeAutospacing="0" w:after="0" w:afterAutospacing="0" w:line="360" w:lineRule="auto"/>
        <w:ind w:left="993" w:hanging="426"/>
        <w:jc w:val="both"/>
        <w:rPr>
          <w:rFonts w:ascii="GHEA Grapalat" w:hAnsi="GHEA Grapalat"/>
          <w:lang w:val="hy-AM"/>
        </w:rPr>
      </w:pPr>
      <w:r>
        <w:rPr>
          <w:rFonts w:ascii="GHEA Grapalat" w:hAnsi="GHEA Grapalat"/>
          <w:lang w:val="hy-AM"/>
        </w:rPr>
        <w:t>մինչև 2024 թվականի հոկտեմբերի 31-ը Հայաստանի Հանրապետության կառավա</w:t>
      </w:r>
      <w:r>
        <w:rPr>
          <w:rFonts w:ascii="GHEA Grapalat" w:hAnsi="GHEA Grapalat"/>
          <w:lang w:val="hy-AM"/>
        </w:rPr>
        <w:softHyphen/>
        <w:t>րություն ներկայացնել առաջարկություն՝ սույն որոշման 1-ին կետով հաստատված ծրագրի՝ 2025 թվականից շարունակելու նպատակահարմարության վերաբերյալ։</w:t>
      </w:r>
    </w:p>
    <w:p>
      <w:pPr>
        <w:pStyle w:val="NormalWeb"/>
        <w:numPr>
          <w:ilvl w:val="0"/>
          <w:numId w:val="41"/>
        </w:numPr>
        <w:tabs>
          <w:tab w:val="left" w:pos="1170"/>
        </w:tabs>
        <w:spacing w:before="0" w:beforeAutospacing="0" w:after="0" w:afterAutospacing="0" w:line="360" w:lineRule="auto"/>
        <w:jc w:val="both"/>
        <w:rPr>
          <w:rFonts w:ascii="GHEA Grapalat" w:hAnsi="GHEA Grapalat"/>
          <w:lang w:val="hy-AM"/>
        </w:rPr>
      </w:pPr>
      <w:r>
        <w:rPr>
          <w:rFonts w:ascii="GHEA Grapalat" w:hAnsi="GHEA Grapalat"/>
          <w:lang w:val="hy-AM"/>
        </w:rPr>
        <w:t>Սույն որոշումն ուժի մեջ է մտնում պաշտոնական հրապարակմանը հաջորդող օրվանից, իսկ որոշման 1-ին կետով հաստատված ծրագիրը գործարկվում է սույն որոշման 2-րդ կետի 1-ին ենթակետով նախատեսված կարգն ուժի մեջ մտնելու օրվանից և գործում է մինչև 2024 թվականի դեկտեմբերի 31-ը։</w:t>
      </w:r>
    </w:p>
    <w:p>
      <w:pPr>
        <w:pStyle w:val="NormalWeb"/>
        <w:tabs>
          <w:tab w:val="left" w:pos="1170"/>
        </w:tabs>
        <w:spacing w:before="0" w:beforeAutospacing="0" w:after="0" w:afterAutospacing="0" w:line="360" w:lineRule="auto"/>
        <w:ind w:left="567"/>
        <w:jc w:val="right"/>
        <w:rPr>
          <w:rFonts w:ascii="GHEA Grapalat" w:hAnsi="GHEA Grapalat"/>
          <w:lang w:val="hy-AM"/>
        </w:rPr>
      </w:pPr>
      <w:r>
        <w:rPr>
          <w:rFonts w:ascii="GHEA Grapalat" w:hAnsi="GHEA Grapalat"/>
          <w:lang w:val="hy-AM"/>
        </w:rPr>
        <w:lastRenderedPageBreak/>
        <w:t>Հավելված</w:t>
      </w:r>
    </w:p>
    <w:p>
      <w:pPr>
        <w:pStyle w:val="NormalWeb"/>
        <w:tabs>
          <w:tab w:val="left" w:pos="1170"/>
        </w:tabs>
        <w:spacing w:before="0" w:beforeAutospacing="0" w:after="0" w:afterAutospacing="0" w:line="360" w:lineRule="auto"/>
        <w:ind w:left="810" w:hanging="450"/>
        <w:jc w:val="right"/>
        <w:rPr>
          <w:rFonts w:ascii="GHEA Grapalat" w:hAnsi="GHEA Grapalat"/>
          <w:lang w:val="hy-AM"/>
        </w:rPr>
      </w:pPr>
      <w:r>
        <w:rPr>
          <w:rFonts w:ascii="GHEA Grapalat" w:hAnsi="GHEA Grapalat"/>
          <w:lang w:val="hy-AM"/>
        </w:rPr>
        <w:t>ՀՀ կառավարության 2022 թվականի</w:t>
      </w:r>
    </w:p>
    <w:p>
      <w:pPr>
        <w:pStyle w:val="NormalWeb"/>
        <w:tabs>
          <w:tab w:val="left" w:pos="1170"/>
        </w:tabs>
        <w:spacing w:before="0" w:beforeAutospacing="0" w:after="0" w:afterAutospacing="0" w:line="360" w:lineRule="auto"/>
        <w:ind w:left="810" w:hanging="450"/>
        <w:jc w:val="right"/>
        <w:rPr>
          <w:rFonts w:ascii="GHEA Grapalat" w:hAnsi="GHEA Grapalat"/>
          <w:lang w:val="hy-AM"/>
        </w:rPr>
      </w:pPr>
      <w:r>
        <w:rPr>
          <w:rFonts w:ascii="GHEA Grapalat" w:hAnsi="GHEA Grapalat"/>
          <w:lang w:val="hy-AM"/>
        </w:rPr>
        <w:t>«                 »  «      » N _____ Լ որոշման</w:t>
      </w:r>
    </w:p>
    <w:p>
      <w:pPr>
        <w:pStyle w:val="NormalWeb"/>
        <w:tabs>
          <w:tab w:val="left" w:pos="1170"/>
        </w:tabs>
        <w:spacing w:before="0" w:beforeAutospacing="0" w:after="0" w:afterAutospacing="0" w:line="360" w:lineRule="auto"/>
        <w:ind w:left="810" w:hanging="450"/>
        <w:jc w:val="right"/>
        <w:rPr>
          <w:rFonts w:ascii="GHEA Grapalat" w:hAnsi="GHEA Grapalat"/>
          <w:lang w:val="hy-AM"/>
        </w:rPr>
      </w:pPr>
    </w:p>
    <w:p>
      <w:pPr>
        <w:tabs>
          <w:tab w:val="left" w:pos="1170"/>
        </w:tabs>
        <w:spacing w:after="0" w:line="360" w:lineRule="auto"/>
        <w:ind w:left="810" w:hanging="450"/>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ԾՐԱԳԻՐ</w:t>
      </w:r>
    </w:p>
    <w:p>
      <w:pPr>
        <w:tabs>
          <w:tab w:val="left" w:pos="1170"/>
        </w:tabs>
        <w:spacing w:after="0" w:line="360" w:lineRule="auto"/>
        <w:ind w:left="810" w:hanging="45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w:t>
      </w:r>
    </w:p>
    <w:p>
      <w:pPr>
        <w:tabs>
          <w:tab w:val="left" w:pos="1170"/>
        </w:tabs>
        <w:spacing w:after="0" w:line="360" w:lineRule="auto"/>
        <w:ind w:left="810" w:hanging="450"/>
        <w:jc w:val="center"/>
        <w:rPr>
          <w:rFonts w:ascii="GHEA Grapalat" w:eastAsia="Times New Roman" w:hAnsi="GHEA Grapalat" w:cs="Times New Roman"/>
          <w:sz w:val="24"/>
          <w:szCs w:val="24"/>
          <w:lang w:val="hy-AM"/>
        </w:rPr>
      </w:pPr>
      <w:r>
        <w:rPr>
          <w:rFonts w:ascii="Calibri" w:eastAsia="Times New Roman" w:hAnsi="Calibri" w:cs="Calibri"/>
          <w:sz w:val="24"/>
          <w:szCs w:val="24"/>
          <w:lang w:val="hy-AM"/>
        </w:rPr>
        <w:t> </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 ՆԵՐԱԾՈՒԹՅՈՒՆ</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lang w:val="hy-AM"/>
        </w:rPr>
      </w:pPr>
      <w:r>
        <w:rPr>
          <w:rFonts w:ascii="GHEA Grapalat" w:hAnsi="GHEA Grapalat"/>
          <w:lang w:val="hy-AM"/>
        </w:rPr>
        <w:t>Հայաստանի Հանրապետության կառավարության առաջնահերթ խնդիրներից է Հայաստանի Հանրապետության ժողովրդագրական իրավիճակի բարելավումը, ծնելիության խթանումը, սահմանամերձ բնակավայրերում բնակության պայմանների բարելավումը՝ համայնքների համաչափ զարգացման համատեքստում։</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lang w:val="hy-AM"/>
        </w:rPr>
      </w:pPr>
      <w:r>
        <w:rPr>
          <w:rFonts w:ascii="GHEA Grapalat" w:hAnsi="GHEA Grapalat"/>
          <w:lang w:val="hy-AM"/>
        </w:rPr>
        <w:t>Նպատակ ունենալով ապահովել Հայաստանի Հանրապետության գյուղական բնակավայրերում համաչափ և կայուն զարգացումը, բնակարանային պայմանների բարելավման կարիք ունեցող ընտանիքների սահմանամերձ բնակավայրերում բնակեցումը՝ սույն ծրագիրը կբարձրացնի հասանելիությունը նշված բնակավայրերում բնակելի տուն կառուցելու համար։</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 ԸՆԴՀԱՆՈՒՐ ԴՐՈՒՅԹՆԵՐ</w:t>
      </w:r>
    </w:p>
    <w:p>
      <w:pPr>
        <w:pStyle w:val="NormalWeb"/>
        <w:numPr>
          <w:ilvl w:val="0"/>
          <w:numId w:val="42"/>
        </w:numPr>
        <w:shd w:val="clear" w:color="auto" w:fill="FFFFFF"/>
        <w:spacing w:before="0" w:beforeAutospacing="0" w:after="0" w:afterAutospacing="0" w:line="360" w:lineRule="auto"/>
        <w:ind w:left="0" w:firstLine="375"/>
        <w:jc w:val="both"/>
        <w:rPr>
          <w:rStyle w:val="Strong"/>
          <w:rFonts w:ascii="GHEA Grapalat" w:hAnsi="GHEA Grapalat"/>
          <w:b w:val="0"/>
          <w:lang w:val="hy-AM"/>
        </w:rPr>
      </w:pPr>
      <w:r>
        <w:rPr>
          <w:rFonts w:ascii="GHEA Grapalat" w:hAnsi="GHEA Grapalat"/>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ծրագրում» (այսուհետ՝ Ծրագիր)</w:t>
      </w:r>
      <w:r>
        <w:rPr>
          <w:rStyle w:val="Strong"/>
          <w:rFonts w:ascii="GHEA Grapalat" w:hAnsi="GHEA Grapalat"/>
          <w:b w:val="0"/>
          <w:lang w:val="hy-AM"/>
        </w:rPr>
        <w:t xml:space="preserve"> կիրառվող հասկացություններն ունեն հետևյալ իմաստները.</w:t>
      </w:r>
    </w:p>
    <w:p>
      <w:pPr>
        <w:pStyle w:val="NormalWeb"/>
        <w:shd w:val="clear" w:color="auto" w:fill="FFFFFF"/>
        <w:spacing w:before="0" w:beforeAutospacing="0" w:after="0" w:afterAutospacing="0" w:line="360" w:lineRule="auto"/>
        <w:ind w:firstLine="375"/>
        <w:jc w:val="both"/>
        <w:rPr>
          <w:b/>
          <w:color w:val="000000"/>
          <w:lang w:val="hy-AM"/>
        </w:rPr>
      </w:pPr>
      <w:r>
        <w:rPr>
          <w:rFonts w:ascii="GHEA Grapalat" w:hAnsi="GHEA Grapalat"/>
          <w:b/>
          <w:bCs/>
          <w:color w:val="000000"/>
          <w:lang w:val="hy-AM"/>
        </w:rPr>
        <w:t xml:space="preserve">1) սահմանամերձ բնակավայր (նաև՝ սահմանամերձ գյուղ)՝ </w:t>
      </w:r>
      <w:r>
        <w:rPr>
          <w:rFonts w:ascii="GHEA Grapalat" w:hAnsi="GHEA Grapalat"/>
          <w:lang w:val="hy-AM"/>
        </w:rPr>
        <w:t>Հայաստանի Հանրապետության կառավարության՝ 2014 թվականի դեկտեմբերի 18-ի թիվ 1444-Ն որոշման հավելված 1-ով հաստատված «Սոցիալական աջակցություն ստացող սահմանամերձ համայնքների բնակավայրերի ցանկում» ընդգրկված գյուղական բնակավայր,</w:t>
      </w:r>
    </w:p>
    <w:p>
      <w:pPr>
        <w:pStyle w:val="NormalWeb"/>
        <w:shd w:val="clear" w:color="auto" w:fill="FFFFFF"/>
        <w:spacing w:before="0" w:beforeAutospacing="0" w:after="0" w:afterAutospacing="0" w:line="360" w:lineRule="auto"/>
        <w:ind w:firstLine="375"/>
        <w:jc w:val="both"/>
        <w:rPr>
          <w:rFonts w:ascii="GHEA Grapalat" w:hAnsi="GHEA Grapalat"/>
          <w:b/>
          <w:bCs/>
          <w:color w:val="000000"/>
          <w:lang w:val="hy-AM"/>
        </w:rPr>
      </w:pPr>
      <w:r>
        <w:rPr>
          <w:rFonts w:ascii="GHEA Grapalat" w:hAnsi="GHEA Grapalat"/>
          <w:b/>
          <w:bCs/>
          <w:color w:val="000000"/>
          <w:lang w:val="hy-AM"/>
        </w:rPr>
        <w:lastRenderedPageBreak/>
        <w:t>2) Շահառու (նաև՝ Ընտանիք)՝</w:t>
      </w:r>
      <w:r>
        <w:rPr>
          <w:rFonts w:ascii="GHEA Grapalat" w:hAnsi="GHEA Grapalat"/>
          <w:bCs/>
          <w:color w:val="000000"/>
          <w:lang w:val="hy-AM"/>
        </w:rPr>
        <w:t xml:space="preserve"> </w:t>
      </w:r>
      <w:r>
        <w:rPr>
          <w:rFonts w:ascii="GHEA Grapalat" w:hAnsi="GHEA Grapalat"/>
          <w:lang w:val="hy-AM"/>
        </w:rPr>
        <w:t>Հայաստանի Հանրապետության բնակչության պետական ռեգիստրում հաշվառում ունեցող ամուսիններ, որոնցից առնվազն մեկը ունի Հայաստանի Հանրապետության քաղաքացիություն,</w:t>
      </w:r>
    </w:p>
    <w:p>
      <w:pPr>
        <w:pStyle w:val="NormalWeb"/>
        <w:shd w:val="clear" w:color="auto" w:fill="FFFFFF"/>
        <w:spacing w:before="0" w:beforeAutospacing="0" w:after="0" w:afterAutospacing="0" w:line="360" w:lineRule="auto"/>
        <w:ind w:firstLine="375"/>
        <w:jc w:val="both"/>
        <w:rPr>
          <w:rFonts w:ascii="Cambria Math" w:hAnsi="Cambria Math"/>
          <w:b/>
          <w:bCs/>
          <w:color w:val="000000"/>
          <w:lang w:val="hy-AM"/>
        </w:rPr>
      </w:pPr>
      <w:r>
        <w:rPr>
          <w:rFonts w:ascii="GHEA Grapalat" w:hAnsi="GHEA Grapalat"/>
          <w:b/>
          <w:bCs/>
          <w:color w:val="000000"/>
          <w:lang w:val="hy-AM"/>
        </w:rPr>
        <w:t>3)</w:t>
      </w:r>
      <w:r>
        <w:rPr>
          <w:rStyle w:val="Strong"/>
          <w:rFonts w:ascii="GHEA Grapalat" w:hAnsi="GHEA Grapalat"/>
          <w:color w:val="000000"/>
          <w:lang w:val="hy-AM"/>
        </w:rPr>
        <w:t xml:space="preserve"> </w:t>
      </w:r>
      <w:r>
        <w:rPr>
          <w:rFonts w:ascii="GHEA Grapalat" w:hAnsi="GHEA Grapalat"/>
          <w:b/>
          <w:color w:val="000000"/>
          <w:lang w:val="hy-AM"/>
        </w:rPr>
        <w:t>Ծառայություն՝</w:t>
      </w:r>
      <w:r>
        <w:rPr>
          <w:rFonts w:ascii="GHEA Grapalat" w:hAnsi="GHEA Grapalat"/>
          <w:color w:val="000000"/>
          <w:lang w:val="hy-AM"/>
        </w:rPr>
        <w:t xml:space="preserve"> Աշխատանքի և սոցիալական հարցերի նախարարության միասնական սոցիալական ծառայություն</w:t>
      </w:r>
      <w:r>
        <w:rPr>
          <w:rFonts w:ascii="Cambria Math" w:hAnsi="Cambria Math"/>
          <w:color w:val="000000"/>
          <w:lang w:val="hy-AM"/>
        </w:rPr>
        <w:t>,</w:t>
      </w:r>
    </w:p>
    <w:p>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Style w:val="Strong"/>
          <w:rFonts w:ascii="GHEA Grapalat" w:hAnsi="GHEA Grapalat"/>
          <w:color w:val="000000"/>
          <w:lang w:val="hy-AM"/>
        </w:rPr>
        <w:t xml:space="preserve">4) </w:t>
      </w:r>
      <w:r>
        <w:rPr>
          <w:rFonts w:ascii="GHEA Grapalat" w:hAnsi="GHEA Grapalat"/>
          <w:b/>
          <w:bCs/>
          <w:color w:val="000000"/>
          <w:lang w:val="hy-AM"/>
        </w:rPr>
        <w:t xml:space="preserve">Գործընկեր կազմակերպություն` </w:t>
      </w:r>
      <w:r>
        <w:rPr>
          <w:rFonts w:ascii="GHEA Grapalat" w:hAnsi="GHEA Grapalat"/>
          <w:color w:val="000000"/>
          <w:lang w:val="hy-AM"/>
        </w:rPr>
        <w:t>սույն որոշման 2-րդ կետի 2-րդ ենթակետով նախատեսված՝ «</w:t>
      </w:r>
      <w:r>
        <w:rPr>
          <w:rFonts w:ascii="GHEA Grapalat" w:hAnsi="GHEA Grapalat"/>
          <w:lang w:val="hy-AM"/>
        </w:rPr>
        <w:t>Հայաստանի Հանրապետության սահմանամերձ բնակավայրերում ընտանիքների բնակարանային մատչելիության ապահովման պետական աջակցության 2022-2024 թվականների ծրագրի» իրականացման շրջանակներում Հայաստանի Հանրապետության աշխատանքի և սոցիալական հարցերի նախարարության միասնական սոցիալական ծառայության հետ համագործակցության պայմանագիր կնքած առևտրային բանկ կամ վարկային կազմակերպություն</w:t>
      </w:r>
      <w:r>
        <w:rPr>
          <w:rFonts w:ascii="GHEA Grapalat" w:hAnsi="GHEA Grapalat"/>
          <w:color w:val="000000"/>
          <w:lang w:val="hy-AM"/>
        </w:rPr>
        <w:t>:</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 ԾՐԱԳՐԻ ՆՊԱՏԱԿԸ</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lang w:val="hy-AM"/>
        </w:rPr>
      </w:pPr>
      <w:r>
        <w:rPr>
          <w:rFonts w:ascii="GHEA Grapalat" w:hAnsi="GHEA Grapalat"/>
          <w:lang w:val="hy-AM"/>
        </w:rPr>
        <w:t>Ծրագրի</w:t>
      </w:r>
      <w:r>
        <w:rPr>
          <w:rFonts w:ascii="GHEA Grapalat" w:hAnsi="GHEA Grapalat"/>
          <w:color w:val="000000"/>
          <w:lang w:val="hy-AM"/>
        </w:rPr>
        <w:t xml:space="preserve"> իրականացման</w:t>
      </w:r>
      <w:r>
        <w:rPr>
          <w:rStyle w:val="Strong"/>
          <w:rFonts w:ascii="GHEA Grapalat" w:hAnsi="GHEA Grapalat"/>
          <w:b w:val="0"/>
          <w:color w:val="000000"/>
          <w:lang w:val="hy-AM"/>
        </w:rPr>
        <w:t xml:space="preserve"> հիմնական նպատակն է</w:t>
      </w:r>
      <w:r>
        <w:rPr>
          <w:rFonts w:ascii="GHEA Grapalat" w:hAnsi="GHEA Grapalat"/>
          <w:lang w:val="hy-AM"/>
        </w:rPr>
        <w:t xml:space="preserve">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lang w:val="hy-AM"/>
        </w:rPr>
      </w:pPr>
      <w:r>
        <w:rPr>
          <w:rFonts w:ascii="GHEA Grapalat" w:hAnsi="GHEA Grapalat"/>
          <w:lang w:val="hy-AM"/>
        </w:rPr>
        <w:t>Ծրագիրը նպատակ ունի նաև խթանել ընտանիքների բնակարանային պայմանների բարելավման գործընթացը մարզային, մասնավորապես՝ սահմանամերձ գյուղական բնակավայրերում, և վարկային բեռը թեթևացնելու միջոցով հնարավորություն ընձեռել Շահառուներին՝ բնակություն հաստատել իրենց կողմից նախընտրած սահմանամերձ բնակավայրում և կառուցվող բնակելի տանը՝ խթանելով գյուղական բնակավայրերի համաչափ զարգացումը։</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 xml:space="preserve">Հաշվի </w:t>
      </w:r>
      <w:r>
        <w:rPr>
          <w:rFonts w:ascii="GHEA Grapalat" w:hAnsi="GHEA Grapalat"/>
          <w:lang w:val="hy-AM"/>
        </w:rPr>
        <w:t>առնելով</w:t>
      </w:r>
      <w:r>
        <w:rPr>
          <w:rFonts w:ascii="GHEA Grapalat" w:hAnsi="GHEA Grapalat"/>
          <w:color w:val="000000"/>
          <w:lang w:val="hy-AM"/>
        </w:rPr>
        <w:t xml:space="preserve"> վերը նշվածը՝ առաջարկվում է իրականացնել </w:t>
      </w:r>
      <w:r>
        <w:rPr>
          <w:rFonts w:ascii="GHEA Grapalat" w:hAnsi="GHEA Grapalat"/>
          <w:lang w:val="hy-AM"/>
        </w:rPr>
        <w:t>սահմանամերձ բնակավայրերում ընտանիքների բնակարանային մատչելիության ապահովման պետական աջակցության 2022-2024 թվականների ծրագիր</w:t>
      </w:r>
      <w:r>
        <w:rPr>
          <w:rFonts w:ascii="GHEA Grapalat" w:hAnsi="GHEA Grapalat"/>
          <w:color w:val="000000"/>
          <w:lang w:val="hy-AM"/>
        </w:rPr>
        <w:t>։</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 ԾՐԱԳՐԻ ՆԿԱՐԱԳԻՐԸ</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lang w:val="hy-AM"/>
        </w:rPr>
      </w:pPr>
      <w:r>
        <w:rPr>
          <w:rFonts w:ascii="GHEA Grapalat" w:hAnsi="GHEA Grapalat"/>
          <w:color w:val="000000"/>
          <w:lang w:val="hy-AM"/>
        </w:rPr>
        <w:t>Սույն ծրագրով աջակցությունը</w:t>
      </w:r>
      <w:r>
        <w:rPr>
          <w:rFonts w:ascii="GHEA Grapalat" w:hAnsi="GHEA Grapalat"/>
          <w:lang w:val="hy-AM"/>
        </w:rPr>
        <w:t xml:space="preserve"> տրամադրվում է սահմանամերձ գյուղական բնակավայրում անհատական բնակելի տուն կառուցելու նպատակով Գործընկեր </w:t>
      </w:r>
      <w:r>
        <w:rPr>
          <w:rFonts w:ascii="GHEA Grapalat" w:hAnsi="GHEA Grapalat"/>
          <w:lang w:val="hy-AM"/>
        </w:rPr>
        <w:lastRenderedPageBreak/>
        <w:t>կազմակերպությունների կողմից տրամադրված հիփոթեքային վարկ ստացած շահառուին և ուղղվում է բացառապես հիփոթեքային վարկի ամենամսյա վճարների (մայր գումարի և տոկոսագումարների) մարմանը՝ սույն ծրագրով սահմանված չափով։</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Շահառու ընտանիքը աջակցության Ծրագրից կարող է օգտվել մեկ անգամ (մեկ հիփոթեքային վարկի շրջանակներում)։</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Շահառուն կարող է օգտվել աջակցության սույն ծրագրից՝ անկախ բնակարանային ապահովության պետական աջակցության այլ (եկամտահարկի վերադարձի, երեխա ունեցող ընտանիքների բնակարանային ապահովության պետական աջակցության) ծրագրերից օգտվելու հանգամանքից, բացառությամբ Հայաստանի Հանրապետության կառավարության՝ 2022 թվականի փետրվարի 17-ի թիվ 169-Լ որոշմամբ հաստատված ծրագրի։</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 xml:space="preserve">Ծրագրի շրջանակներում աջակցությունը տրամադրվում է սույն որոշման 2-րդ կետի 1-ին ենթակետով սահմանված՝ «Հայաստանի Հանրապետության սահմանամերձ բնակավայրերում  ընտանիքների բնակարանային մատչելիության ապահովման պետական աջակցության </w:t>
      </w:r>
      <w:r>
        <w:rPr>
          <w:rFonts w:ascii="GHEA Grapalat" w:hAnsi="GHEA Grapalat"/>
          <w:lang w:val="hy-AM"/>
        </w:rPr>
        <w:t xml:space="preserve">2022-2024 թվականների </w:t>
      </w:r>
      <w:r>
        <w:rPr>
          <w:rFonts w:ascii="GHEA Grapalat" w:hAnsi="GHEA Grapalat"/>
          <w:color w:val="000000"/>
          <w:lang w:val="hy-AM"/>
        </w:rPr>
        <w:t xml:space="preserve">ծրագրի» իրականացման կարգի հաստատումից հետո, սակայն ոչ ուշ քան 2022 թվականի օգոստոսի 15-ից և գործում է մինչև 2024 թվականի դեկտեմբերի 30-ը։ </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Աջակցության չափը կազմում է հիփոթեքային վարկով անհատական բնակելի տուն կառուցելու դեպքում հիփոթեքային վարկի մայր գումարի ամսական վճարների մարման համար՝ հանրագումարային մինչև 12 մլն դրամ, բայց ոչ ավելի, քան ամսական 171 հազ. դրամ, իսկ տոկոսագումարների մարման համար՝ մինչև 12%, հանրագումարային մինչև 8.660 մլն դրամ, բայց ոչ ավելի, քան ամսական 120 հազ. դրամ։</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Ծրագրի հիմնական պայմաններն են՝</w:t>
      </w:r>
    </w:p>
    <w:p>
      <w:pPr>
        <w:pStyle w:val="ListParagraph"/>
        <w:numPr>
          <w:ilvl w:val="0"/>
          <w:numId w:val="7"/>
        </w:numPr>
        <w:tabs>
          <w:tab w:val="left" w:pos="1170"/>
        </w:tabs>
        <w:spacing w:after="0" w:line="360" w:lineRule="auto"/>
        <w:ind w:left="810" w:hanging="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հիփոթեքային վարկը տրամադրվել է Գործընկեր կազմակերպության կողմից,</w:t>
      </w:r>
    </w:p>
    <w:p>
      <w:pPr>
        <w:pStyle w:val="ListParagraph"/>
        <w:numPr>
          <w:ilvl w:val="0"/>
          <w:numId w:val="7"/>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նվազագույն ժամկետը 120 ամիս է,</w:t>
      </w:r>
    </w:p>
    <w:p>
      <w:pPr>
        <w:pStyle w:val="ListParagraph"/>
        <w:numPr>
          <w:ilvl w:val="0"/>
          <w:numId w:val="7"/>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վարկը տրամադրվել է Հայաստանի Հանրապետության դրամով,</w:t>
      </w:r>
    </w:p>
    <w:p>
      <w:pPr>
        <w:pStyle w:val="ListParagraph"/>
        <w:numPr>
          <w:ilvl w:val="0"/>
          <w:numId w:val="7"/>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կառուցապատվող անշարժ գույքի (բնակելի տան) </w:t>
      </w:r>
      <w:r>
        <w:rPr>
          <w:rFonts w:ascii="GHEA Grapalat" w:eastAsia="Times New Roman" w:hAnsi="GHEA Grapalat" w:cs="GHEA Grapalat"/>
          <w:sz w:val="24"/>
          <w:szCs w:val="24"/>
          <w:lang w:val="hy-AM"/>
        </w:rPr>
        <w:t>նկատմամբ</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սեփականության</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իրավունքը</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գրանցվում</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է</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շահառուների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անվամբ՝ օրենքով սահմանված կարգով,</w:t>
      </w:r>
    </w:p>
    <w:p>
      <w:pPr>
        <w:pStyle w:val="ListParagraph"/>
        <w:numPr>
          <w:ilvl w:val="0"/>
          <w:numId w:val="7"/>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վարկը տրամադրվել է փուլերով, </w:t>
      </w:r>
      <w:proofErr w:type="spellStart"/>
      <w:r>
        <w:rPr>
          <w:rFonts w:ascii="GHEA Grapalat" w:eastAsia="Times New Roman" w:hAnsi="GHEA Grapalat" w:cs="Times New Roman"/>
          <w:sz w:val="24"/>
          <w:szCs w:val="24"/>
          <w:lang w:val="hy-AM"/>
        </w:rPr>
        <w:t>հետևյալ</w:t>
      </w:r>
      <w:proofErr w:type="spellEnd"/>
      <w:r>
        <w:rPr>
          <w:rFonts w:ascii="GHEA Grapalat" w:eastAsia="Times New Roman" w:hAnsi="GHEA Grapalat" w:cs="Times New Roman"/>
          <w:sz w:val="24"/>
          <w:szCs w:val="24"/>
          <w:lang w:val="hy-AM"/>
        </w:rPr>
        <w:t xml:space="preserve"> համամասնությամբ. 1-ին փուլով՝ վարկի 25%-ի չափով, 2-րդ փուլով՝ վարկի 45%-ի չափով, 3-րդ փուլով՝ վարկի 30%-ի չափով: </w:t>
      </w:r>
      <w:r>
        <w:rPr>
          <w:rFonts w:ascii="GHEA Grapalat" w:eastAsia="Times New Roman" w:hAnsi="GHEA Grapalat" w:cs="Times New Roman"/>
          <w:sz w:val="24"/>
          <w:szCs w:val="24"/>
          <w:lang w:val="hy-AM"/>
        </w:rPr>
        <w:lastRenderedPageBreak/>
        <w:t>Ընդ որում, 2-րդ և 3-րդ փուլերով</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վարկի տրամադրման համար հիմք է հանդիսանում նախորդ փուլում տրամադրված </w:t>
      </w:r>
      <w:r>
        <w:rPr>
          <w:rFonts w:ascii="GHEA Grapalat" w:eastAsia="Times New Roman" w:hAnsi="GHEA Grapalat" w:cs="Times New Roman"/>
          <w:sz w:val="24"/>
          <w:szCs w:val="24"/>
          <w:lang w:val="hy-AM"/>
        </w:rPr>
        <w:t xml:space="preserve">վարկի </w:t>
      </w:r>
      <w:r>
        <w:rPr>
          <w:rFonts w:ascii="GHEA Grapalat" w:eastAsia="Times New Roman" w:hAnsi="GHEA Grapalat" w:cs="Times New Roman"/>
          <w:sz w:val="24"/>
          <w:szCs w:val="24"/>
          <w:lang w:val="hy-AM"/>
        </w:rPr>
        <w:t>գումար</w:t>
      </w:r>
      <w:r>
        <w:rPr>
          <w:rFonts w:ascii="GHEA Grapalat" w:eastAsia="Times New Roman" w:hAnsi="GHEA Grapalat" w:cs="Times New Roman"/>
          <w:sz w:val="24"/>
          <w:szCs w:val="24"/>
          <w:lang w:val="hy-AM"/>
        </w:rPr>
        <w:t>ի</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նպատակային օգտագործումը:</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lang w:val="hy-AM"/>
        </w:rPr>
      </w:pPr>
      <w:r>
        <w:rPr>
          <w:rFonts w:ascii="GHEA Grapalat" w:hAnsi="GHEA Grapalat"/>
          <w:color w:val="000000"/>
          <w:lang w:val="hy-AM"/>
        </w:rPr>
        <w:t xml:space="preserve">Սույն ծրագրով նախատեսված </w:t>
      </w:r>
      <w:r>
        <w:rPr>
          <w:rFonts w:ascii="GHEA Grapalat" w:hAnsi="GHEA Grapalat"/>
          <w:lang w:val="hy-AM"/>
        </w:rPr>
        <w:t>աջակցությունը ամբողջությամբ դադարում է հետևյալ դեպքերում</w:t>
      </w:r>
      <w:r>
        <w:rPr>
          <w:lang w:val="hy-AM"/>
        </w:rPr>
        <w:t>․</w:t>
      </w:r>
    </w:p>
    <w:p>
      <w:pPr>
        <w:pStyle w:val="ListParagraph"/>
        <w:numPr>
          <w:ilvl w:val="0"/>
          <w:numId w:val="38"/>
        </w:numPr>
        <w:tabs>
          <w:tab w:val="left" w:pos="1170"/>
        </w:tabs>
        <w:spacing w:after="0" w:line="360" w:lineRule="auto"/>
        <w:ind w:left="812" w:hanging="452"/>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ամբողջական մարման դեպքում,</w:t>
      </w:r>
    </w:p>
    <w:p>
      <w:pPr>
        <w:pStyle w:val="ListParagraph"/>
        <w:numPr>
          <w:ilvl w:val="0"/>
          <w:numId w:val="38"/>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գործողության ընթացքում գույքի նկատմամբ սեփականության իրավունքն այլ անձանց անունով գրանցելու դեպքում (անկախ բաժնեմասի չափից)՝</w:t>
      </w:r>
      <w:r>
        <w:rPr>
          <w:rFonts w:ascii="GHEA Grapalat" w:eastAsia="Calibri" w:hAnsi="GHEA Grapalat" w:cs="Times New Roman"/>
          <w:sz w:val="24"/>
          <w:szCs w:val="24"/>
          <w:lang w:val="hy-AM"/>
        </w:rPr>
        <w:t xml:space="preserve"> բացառությամբ սույն կետի 4-րդ ենթակետի</w:t>
      </w:r>
      <w:r>
        <w:rPr>
          <w:rFonts w:ascii="GHEA Grapalat" w:eastAsia="Times New Roman" w:hAnsi="GHEA Grapalat" w:cs="Times New Roman"/>
          <w:sz w:val="24"/>
          <w:szCs w:val="24"/>
          <w:lang w:val="hy-AM"/>
        </w:rPr>
        <w:t>,</w:t>
      </w:r>
    </w:p>
    <w:p>
      <w:pPr>
        <w:pStyle w:val="ListParagraph"/>
        <w:numPr>
          <w:ilvl w:val="0"/>
          <w:numId w:val="38"/>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գործողության ընթացքում գրավադրված գույքն այլ գրավի առարկա դարձնելու (հաջորդող գրավ) դեպքում,</w:t>
      </w:r>
    </w:p>
    <w:p>
      <w:pPr>
        <w:pStyle w:val="ListParagraph"/>
        <w:numPr>
          <w:ilvl w:val="0"/>
          <w:numId w:val="38"/>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գործողության ընթացքում շահառուի (վարկառուի) մահվան դեպքում, եթե շահառուի ժառանգը չի հանդիսանում շահառուի ամուսինը կամ երեխան,</w:t>
      </w:r>
    </w:p>
    <w:p>
      <w:pPr>
        <w:pStyle w:val="ListParagraph"/>
        <w:numPr>
          <w:ilvl w:val="0"/>
          <w:numId w:val="38"/>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գործողության ընթացքում տվյալ վարկի գծով 90 օրվանից ավելի ժամկետանց պարտավորությունների առկայության դեպքում,</w:t>
      </w:r>
    </w:p>
    <w:p>
      <w:pPr>
        <w:pStyle w:val="ListParagraph"/>
        <w:numPr>
          <w:ilvl w:val="0"/>
          <w:numId w:val="38"/>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պետության կողմից կատարված ամենամսյա մարումների հանրագումարային արժեքի սահմանված չափը լրանալու դեպքում,</w:t>
      </w:r>
    </w:p>
    <w:p>
      <w:pPr>
        <w:pStyle w:val="ListParagraph"/>
        <w:numPr>
          <w:ilvl w:val="0"/>
          <w:numId w:val="38"/>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Ծրագրի 12-րդ կետի 5-րդ ենթակետով սահմանված պահանջը</w:t>
      </w:r>
      <w:bookmarkStart w:id="0" w:name="_GoBack"/>
      <w:bookmarkEnd w:id="0"/>
      <w:r>
        <w:rPr>
          <w:rFonts w:ascii="GHEA Grapalat" w:eastAsia="Times New Roman" w:hAnsi="GHEA Grapalat" w:cs="Times New Roman"/>
          <w:sz w:val="24"/>
          <w:szCs w:val="24"/>
          <w:lang w:val="hy-AM"/>
        </w:rPr>
        <w:t xml:space="preserve"> խախտվելու դեպքում։</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Սույն ծրագրի 13-րդ կետում նշված դեպքերում դրամական աջակցության վճարումը ամբողջությամբ դադարելու պարագայում, դադարելու պահի դրությամբ վճարված պետական աջակցության գումարները ենթակա չեն վերադարձման պետությանը։</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Անհատական</w:t>
      </w:r>
      <w:r>
        <w:rPr>
          <w:rFonts w:ascii="GHEA Grapalat" w:hAnsi="GHEA Grapalat"/>
          <w:lang w:val="hy-AM"/>
        </w:rPr>
        <w:t xml:space="preserve"> բնակելի տուն կառուցելու հիփոթեքային վարկային պայմանագրի կնքման օրվանից 3 տարվա ընթացքում շահառուի կողմից Հայաստանի Հանրապետության կառավարության 2015 թվականի մարտի 19-ի N 596-Ն որոշմամբ սահմանված ավարտական ակտը հիփոթեքային վարկ տրամադրած կազմակերպություն չներկայացնելու դեպքում, դրամական աջակցության վճարումը դադարում է ամբողջությամբ, այդ պահի դրությամբ վճարված պետական աջակցության գումարները ենթակա չեն վերադարձման պետությանը։</w:t>
      </w:r>
    </w:p>
    <w:p>
      <w:pPr>
        <w:pStyle w:val="NormalWeb"/>
        <w:numPr>
          <w:ilvl w:val="0"/>
          <w:numId w:val="42"/>
        </w:numPr>
        <w:shd w:val="clear" w:color="auto" w:fill="FFFFFF"/>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lastRenderedPageBreak/>
        <w:t>Հիփոթեքային վարկի գործողության ընթացքում գույքն օտարելու դեպքում պետական աջակցության գումարը ենթակա է վերադարձման պետությանը՝ փոխհամաձայնեցված եղանակով կամ դատական կարգով։</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5. ԾՐԱԳՐԻ ՄՈՆԻԹՈՐԻՆԳԸ</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Ծրագրի մոնիթորինգն իրականացնում է ՀՀ աշխատանքի և սոցիալական հարցերի նախարարությունը (այսուհետ՝ Նախարարություն)` հիմք ընդունելով ծրագրի ընթացքի վերաբերյալ ֆինանսական և ոչ ֆինանսական ցուցանիշները։</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Նախարարությունը եռամսյա պարբերականությամբ պաշտոնական կայքէջում հրապարակում է տեղեկատվություն ծրագրում ընդգրկված շահառուների թվի, նրանց տրամադրված պետական աջակցության գումարների վերաբերյալ։</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 ԾՐԱԳՐԻ ՀԻՄՆԱԿԱՆ ՌԻՍԿԵՐԸ</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Ծրագրի հիմնական ռիսկերն են՝</w:t>
      </w:r>
    </w:p>
    <w:p>
      <w:pPr>
        <w:pStyle w:val="ListParagraph"/>
        <w:numPr>
          <w:ilvl w:val="0"/>
          <w:numId w:val="12"/>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Ծրագրի գծով բյուջետային հատկացումների անբավարարություն՝ պայմանավորված Ծրագրի մասով չկանխատեսված բարձր պահանջարկը (ռիսկը կառավարելի է, ըստ անհրաժեշտության, կհատկացվեն լրացուցիչ միջոցներ կամ ծրագրի գծով առկա պահանջարկի ծավալը կբավարարվի ոլորտը կարգավորող լիազոր մարմնի ընդհանուր բյուջետային հատկացումների շրջանակում կամ լրացուցիչ պահանջարկի գնահատականների առկայությամբ </w:t>
      </w:r>
      <w:proofErr w:type="spellStart"/>
      <w:r>
        <w:rPr>
          <w:rFonts w:ascii="GHEA Grapalat" w:eastAsia="Times New Roman" w:hAnsi="GHEA Grapalat" w:cs="Times New Roman"/>
          <w:sz w:val="24"/>
          <w:szCs w:val="24"/>
          <w:lang w:val="hy-AM"/>
        </w:rPr>
        <w:t>կպլանավորվեն</w:t>
      </w:r>
      <w:proofErr w:type="spellEnd"/>
      <w:r>
        <w:rPr>
          <w:rFonts w:ascii="GHEA Grapalat" w:eastAsia="Times New Roman" w:hAnsi="GHEA Grapalat" w:cs="Times New Roman"/>
          <w:sz w:val="24"/>
          <w:szCs w:val="24"/>
          <w:lang w:val="hy-AM"/>
        </w:rPr>
        <w:t xml:space="preserve"> դրանց բավարարման անհրաժեշտ ծավալների և ժամկետների գծով պետական միջոցների հնարավորություններին համապատասխան),</w:t>
      </w:r>
    </w:p>
    <w:p>
      <w:pPr>
        <w:pStyle w:val="ListParagraph"/>
        <w:numPr>
          <w:ilvl w:val="0"/>
          <w:numId w:val="12"/>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հանդեպ նվազ հետաքրքրությունը և ցածր պահանջարկը (ռիսկը կառավարելի է, ըստ անհրաժեշտության, համապատասխան փոփոխություններ կկատարվեն ծրագրի հիմնական պայմաններում),</w:t>
      </w:r>
    </w:p>
    <w:p>
      <w:pPr>
        <w:pStyle w:val="ListParagraph"/>
        <w:numPr>
          <w:ilvl w:val="0"/>
          <w:numId w:val="12"/>
        </w:numPr>
        <w:tabs>
          <w:tab w:val="left" w:pos="1170"/>
        </w:tabs>
        <w:spacing w:after="0" w:line="360" w:lineRule="auto"/>
        <w:ind w:left="810" w:hanging="45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անհաղթահարելի ուժը (երկրաշարժ, հրդեհ և այլն)։</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Ծրագրի կապակցությամբ այլ հիմնական ռիսկեր չեն նույնականացվել։</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7. ԾՐԱԳՐԻ ՖԻՆԱՆՍԱԿԱՆ ԳՆԱՀԱՏԱԿԱՆԸ</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 xml:space="preserve">Ծրագրի շրջանակներում 240 ընտանիքի աջակցություն տրամադրելու համար 2022 թվականին կպահանջվի շուրջ 137.7 մլն դրամ։ </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lastRenderedPageBreak/>
        <w:t xml:space="preserve">Յուրաքանչյուր հաջորդ տարվա համար ֆինանսական միջոցների ավելացման կամ նվազեցման հարցը կքննարկվի տվյալ տարվա բյուջետային գործընթացի շրջանակներում՝ հաշվի առնելով ծրագրի գծով նախորդ տարիներին կատարված փաստացի ծախսերը: </w:t>
      </w:r>
    </w:p>
    <w:p>
      <w:pPr>
        <w:pStyle w:val="ListParagraph"/>
        <w:tabs>
          <w:tab w:val="left" w:pos="1170"/>
        </w:tabs>
        <w:spacing w:before="120" w:after="60"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8. ԾՐԱԳՐԻ ԻՐԱԿԱՆԱՑՈՒՄԻՑ ԱԿՆԿԱԼՎՈՂ ԱՐԴՅՈՒՆՔՆԵՐԸ</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Ծրագրի իրականացման արդյունքում ակնկալվում է ցուցաբերել ֆինանսական աջակցություն Հայաստանի Հանրապետության սահմանամերձ բնակավայրերում անհատական բնակելի տուն կառուցող ընտանիքներին՝ սահմանամերձ բնակավայրերում բնակարանային պայմանների բարելավման խնդիրները լուծելու նպատակով։</w:t>
      </w:r>
    </w:p>
    <w:p>
      <w:pPr>
        <w:pStyle w:val="NormalWeb"/>
        <w:numPr>
          <w:ilvl w:val="0"/>
          <w:numId w:val="42"/>
        </w:numPr>
        <w:shd w:val="clear" w:color="auto" w:fill="FFFFFF"/>
        <w:tabs>
          <w:tab w:val="left" w:pos="770"/>
        </w:tabs>
        <w:spacing w:before="0" w:beforeAutospacing="0" w:after="0" w:afterAutospacing="0" w:line="360" w:lineRule="auto"/>
        <w:ind w:left="0" w:firstLine="375"/>
        <w:jc w:val="both"/>
        <w:rPr>
          <w:rFonts w:ascii="GHEA Grapalat" w:hAnsi="GHEA Grapalat"/>
          <w:color w:val="000000"/>
          <w:lang w:val="hy-AM"/>
        </w:rPr>
      </w:pPr>
      <w:r>
        <w:rPr>
          <w:rFonts w:ascii="GHEA Grapalat" w:hAnsi="GHEA Grapalat"/>
          <w:color w:val="000000"/>
          <w:lang w:val="hy-AM"/>
        </w:rPr>
        <w:t>Ծրագրի շրջանակներում նախատեսվում է աջակցություն տրամադրել.</w:t>
      </w:r>
    </w:p>
    <w:p>
      <w:pPr>
        <w:pStyle w:val="ListParagraph"/>
        <w:numPr>
          <w:ilvl w:val="0"/>
          <w:numId w:val="46"/>
        </w:numPr>
        <w:tabs>
          <w:tab w:val="left" w:pos="1170"/>
        </w:tabs>
        <w:spacing w:after="0" w:line="360" w:lineRule="auto"/>
        <w:ind w:left="810" w:hanging="45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2022 </w:t>
      </w:r>
      <w:proofErr w:type="spellStart"/>
      <w:r>
        <w:rPr>
          <w:rFonts w:ascii="GHEA Grapalat" w:eastAsia="Times New Roman" w:hAnsi="GHEA Grapalat" w:cs="Times New Roman"/>
          <w:sz w:val="24"/>
          <w:szCs w:val="24"/>
        </w:rPr>
        <w:t>թվականին</w:t>
      </w:r>
      <w:proofErr w:type="spellEnd"/>
      <w:r>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24</w:t>
      </w:r>
      <w:r>
        <w:rPr>
          <w:rFonts w:ascii="GHEA Grapalat" w:eastAsia="Times New Roman" w:hAnsi="GHEA Grapalat" w:cs="Times New Roman"/>
          <w:sz w:val="24"/>
          <w:szCs w:val="24"/>
        </w:rPr>
        <w:t xml:space="preserve">0 </w:t>
      </w:r>
      <w:proofErr w:type="spellStart"/>
      <w:r>
        <w:rPr>
          <w:rFonts w:ascii="GHEA Grapalat" w:eastAsia="Times New Roman" w:hAnsi="GHEA Grapalat" w:cs="Times New Roman"/>
          <w:sz w:val="24"/>
          <w:szCs w:val="24"/>
        </w:rPr>
        <w:t>շահառուին</w:t>
      </w:r>
      <w:proofErr w:type="spellEnd"/>
      <w:r>
        <w:rPr>
          <w:rFonts w:ascii="GHEA Grapalat" w:eastAsia="Times New Roman" w:hAnsi="GHEA Grapalat" w:cs="Times New Roman"/>
          <w:sz w:val="24"/>
          <w:szCs w:val="24"/>
        </w:rPr>
        <w:t>,</w:t>
      </w:r>
    </w:p>
    <w:p>
      <w:pPr>
        <w:pStyle w:val="ListParagraph"/>
        <w:numPr>
          <w:ilvl w:val="0"/>
          <w:numId w:val="46"/>
        </w:numPr>
        <w:tabs>
          <w:tab w:val="left" w:pos="1170"/>
        </w:tabs>
        <w:spacing w:after="0" w:line="360" w:lineRule="auto"/>
        <w:ind w:left="810" w:hanging="450"/>
        <w:jc w:val="both"/>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2023 </w:t>
      </w:r>
      <w:proofErr w:type="spellStart"/>
      <w:r>
        <w:rPr>
          <w:rFonts w:ascii="GHEA Grapalat" w:eastAsia="Times New Roman" w:hAnsi="GHEA Grapalat" w:cs="Times New Roman"/>
          <w:sz w:val="24"/>
          <w:szCs w:val="24"/>
        </w:rPr>
        <w:t>թվականին</w:t>
      </w:r>
      <w:proofErr w:type="spellEnd"/>
      <w:r>
        <w:rPr>
          <w:rFonts w:ascii="GHEA Grapalat" w:eastAsia="Times New Roman" w:hAnsi="GHEA Grapalat" w:cs="Times New Roman"/>
          <w:sz w:val="24"/>
          <w:szCs w:val="24"/>
        </w:rPr>
        <w:t xml:space="preserve">՝ </w:t>
      </w:r>
      <w:r>
        <w:rPr>
          <w:rFonts w:ascii="GHEA Grapalat" w:eastAsia="Times New Roman" w:hAnsi="GHEA Grapalat" w:cs="Times New Roman"/>
          <w:sz w:val="24"/>
          <w:szCs w:val="24"/>
          <w:lang w:val="hy-AM"/>
        </w:rPr>
        <w:t>40</w:t>
      </w:r>
      <w:r>
        <w:rPr>
          <w:rFonts w:ascii="GHEA Grapalat" w:eastAsia="Times New Roman" w:hAnsi="GHEA Grapalat" w:cs="Times New Roman"/>
          <w:sz w:val="24"/>
          <w:szCs w:val="24"/>
        </w:rPr>
        <w:t xml:space="preserve">0 </w:t>
      </w:r>
      <w:proofErr w:type="spellStart"/>
      <w:r>
        <w:rPr>
          <w:rFonts w:ascii="GHEA Grapalat" w:eastAsia="Times New Roman" w:hAnsi="GHEA Grapalat" w:cs="Times New Roman"/>
          <w:sz w:val="24"/>
          <w:szCs w:val="24"/>
        </w:rPr>
        <w:t>շահառուին</w:t>
      </w:r>
      <w:proofErr w:type="spellEnd"/>
      <w:r>
        <w:rPr>
          <w:rFonts w:ascii="GHEA Grapalat" w:eastAsia="Times New Roman" w:hAnsi="GHEA Grapalat" w:cs="Times New Roman"/>
          <w:sz w:val="24"/>
          <w:szCs w:val="24"/>
        </w:rPr>
        <w:t xml:space="preserve">, </w:t>
      </w:r>
    </w:p>
    <w:p>
      <w:pPr>
        <w:pStyle w:val="ListParagraph"/>
        <w:numPr>
          <w:ilvl w:val="0"/>
          <w:numId w:val="46"/>
        </w:numPr>
        <w:tabs>
          <w:tab w:val="left" w:pos="1170"/>
        </w:tabs>
        <w:spacing w:after="0" w:line="360" w:lineRule="auto"/>
        <w:ind w:left="810" w:hanging="450"/>
        <w:jc w:val="both"/>
        <w:rPr>
          <w:rFonts w:ascii="GHEA Grapalat" w:hAnsi="GHEA Grapalat"/>
          <w:b/>
          <w:bCs/>
          <w:sz w:val="24"/>
          <w:szCs w:val="24"/>
          <w:lang w:val="hy-AM"/>
        </w:rPr>
      </w:pPr>
      <w:r>
        <w:rPr>
          <w:rFonts w:ascii="GHEA Grapalat" w:eastAsia="Times New Roman" w:hAnsi="GHEA Grapalat" w:cs="Times New Roman"/>
          <w:sz w:val="24"/>
          <w:szCs w:val="24"/>
        </w:rPr>
        <w:t xml:space="preserve">2024 </w:t>
      </w:r>
      <w:proofErr w:type="spellStart"/>
      <w:r>
        <w:rPr>
          <w:rFonts w:ascii="GHEA Grapalat" w:eastAsia="Times New Roman" w:hAnsi="GHEA Grapalat" w:cs="Times New Roman"/>
          <w:sz w:val="24"/>
          <w:szCs w:val="24"/>
        </w:rPr>
        <w:t>թվականին</w:t>
      </w:r>
      <w:proofErr w:type="spellEnd"/>
      <w:r>
        <w:rPr>
          <w:rFonts w:ascii="GHEA Grapalat" w:eastAsia="Times New Roman" w:hAnsi="GHEA Grapalat" w:cs="Times New Roman"/>
          <w:sz w:val="24"/>
          <w:szCs w:val="24"/>
          <w:lang w:val="hy-AM"/>
        </w:rPr>
        <w:t>՝ 560 շահառուին</w:t>
      </w:r>
      <w:r>
        <w:rPr>
          <w:rFonts w:ascii="GHEA Grapalat" w:eastAsia="Times New Roman" w:hAnsi="GHEA Grapalat" w:cs="Times New Roman"/>
          <w:sz w:val="24"/>
          <w:szCs w:val="24"/>
        </w:rPr>
        <w:t>։</w:t>
      </w:r>
    </w:p>
    <w:sectPr>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42212"/>
    <w:multiLevelType w:val="hybridMultilevel"/>
    <w:tmpl w:val="8840770A"/>
    <w:lvl w:ilvl="0" w:tplc="74D0C0A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7E2D72"/>
    <w:multiLevelType w:val="hybridMultilevel"/>
    <w:tmpl w:val="49D61A96"/>
    <w:lvl w:ilvl="0" w:tplc="AC0496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6D0463"/>
    <w:multiLevelType w:val="hybridMultilevel"/>
    <w:tmpl w:val="C33C4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E7A37"/>
    <w:multiLevelType w:val="hybridMultilevel"/>
    <w:tmpl w:val="ADA8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51C01"/>
    <w:multiLevelType w:val="hybridMultilevel"/>
    <w:tmpl w:val="BE4E3AC8"/>
    <w:lvl w:ilvl="0" w:tplc="90E2C65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F17B65"/>
    <w:multiLevelType w:val="multilevel"/>
    <w:tmpl w:val="2CCC03C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5056F2C"/>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06E43"/>
    <w:multiLevelType w:val="multilevel"/>
    <w:tmpl w:val="825C962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2CD77183"/>
    <w:multiLevelType w:val="hybridMultilevel"/>
    <w:tmpl w:val="E66C48C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24C55C8"/>
    <w:multiLevelType w:val="hybridMultilevel"/>
    <w:tmpl w:val="363020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CF676E"/>
    <w:multiLevelType w:val="hybridMultilevel"/>
    <w:tmpl w:val="83446714"/>
    <w:lvl w:ilvl="0" w:tplc="CC26613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B3583B"/>
    <w:multiLevelType w:val="hybridMultilevel"/>
    <w:tmpl w:val="CA7CA41E"/>
    <w:lvl w:ilvl="0" w:tplc="AE4AFE14">
      <w:start w:val="2020"/>
      <w:numFmt w:val="bullet"/>
      <w:lvlText w:val="-"/>
      <w:lvlJc w:val="left"/>
      <w:pPr>
        <w:ind w:left="375" w:hanging="360"/>
      </w:pPr>
      <w:rPr>
        <w:rFonts w:ascii="GHEA Grapalat" w:eastAsia="Times New Roman" w:hAnsi="GHEA Grapalat" w:cs="Times New Roman" w:hint="default"/>
      </w:rPr>
    </w:lvl>
    <w:lvl w:ilvl="1" w:tplc="04090003" w:tentative="1">
      <w:start w:val="1"/>
      <w:numFmt w:val="bullet"/>
      <w:lvlText w:val="o"/>
      <w:lvlJc w:val="left"/>
      <w:pPr>
        <w:ind w:left="1095" w:hanging="360"/>
      </w:pPr>
      <w:rPr>
        <w:rFonts w:ascii="Courier New" w:hAnsi="Courier New" w:cs="Courier New" w:hint="default"/>
      </w:rPr>
    </w:lvl>
    <w:lvl w:ilvl="2" w:tplc="04090005" w:tentative="1">
      <w:start w:val="1"/>
      <w:numFmt w:val="bullet"/>
      <w:lvlText w:val=""/>
      <w:lvlJc w:val="left"/>
      <w:pPr>
        <w:ind w:left="1815" w:hanging="360"/>
      </w:pPr>
      <w:rPr>
        <w:rFonts w:ascii="Wingdings" w:hAnsi="Wingdings" w:hint="default"/>
      </w:rPr>
    </w:lvl>
    <w:lvl w:ilvl="3" w:tplc="04090001" w:tentative="1">
      <w:start w:val="1"/>
      <w:numFmt w:val="bullet"/>
      <w:lvlText w:val=""/>
      <w:lvlJc w:val="left"/>
      <w:pPr>
        <w:ind w:left="2535" w:hanging="360"/>
      </w:pPr>
      <w:rPr>
        <w:rFonts w:ascii="Symbol" w:hAnsi="Symbol" w:hint="default"/>
      </w:rPr>
    </w:lvl>
    <w:lvl w:ilvl="4" w:tplc="04090003" w:tentative="1">
      <w:start w:val="1"/>
      <w:numFmt w:val="bullet"/>
      <w:lvlText w:val="o"/>
      <w:lvlJc w:val="left"/>
      <w:pPr>
        <w:ind w:left="3255" w:hanging="360"/>
      </w:pPr>
      <w:rPr>
        <w:rFonts w:ascii="Courier New" w:hAnsi="Courier New" w:cs="Courier New" w:hint="default"/>
      </w:rPr>
    </w:lvl>
    <w:lvl w:ilvl="5" w:tplc="04090005" w:tentative="1">
      <w:start w:val="1"/>
      <w:numFmt w:val="bullet"/>
      <w:lvlText w:val=""/>
      <w:lvlJc w:val="left"/>
      <w:pPr>
        <w:ind w:left="3975" w:hanging="360"/>
      </w:pPr>
      <w:rPr>
        <w:rFonts w:ascii="Wingdings" w:hAnsi="Wingdings" w:hint="default"/>
      </w:rPr>
    </w:lvl>
    <w:lvl w:ilvl="6" w:tplc="04090001" w:tentative="1">
      <w:start w:val="1"/>
      <w:numFmt w:val="bullet"/>
      <w:lvlText w:val=""/>
      <w:lvlJc w:val="left"/>
      <w:pPr>
        <w:ind w:left="4695" w:hanging="360"/>
      </w:pPr>
      <w:rPr>
        <w:rFonts w:ascii="Symbol" w:hAnsi="Symbol" w:hint="default"/>
      </w:rPr>
    </w:lvl>
    <w:lvl w:ilvl="7" w:tplc="04090003" w:tentative="1">
      <w:start w:val="1"/>
      <w:numFmt w:val="bullet"/>
      <w:lvlText w:val="o"/>
      <w:lvlJc w:val="left"/>
      <w:pPr>
        <w:ind w:left="5415" w:hanging="360"/>
      </w:pPr>
      <w:rPr>
        <w:rFonts w:ascii="Courier New" w:hAnsi="Courier New" w:cs="Courier New" w:hint="default"/>
      </w:rPr>
    </w:lvl>
    <w:lvl w:ilvl="8" w:tplc="04090005" w:tentative="1">
      <w:start w:val="1"/>
      <w:numFmt w:val="bullet"/>
      <w:lvlText w:val=""/>
      <w:lvlJc w:val="left"/>
      <w:pPr>
        <w:ind w:left="6135" w:hanging="360"/>
      </w:pPr>
      <w:rPr>
        <w:rFonts w:ascii="Wingdings" w:hAnsi="Wingdings" w:hint="default"/>
      </w:rPr>
    </w:lvl>
  </w:abstractNum>
  <w:abstractNum w:abstractNumId="13" w15:restartNumberingAfterBreak="0">
    <w:nsid w:val="399E1754"/>
    <w:multiLevelType w:val="hybridMultilevel"/>
    <w:tmpl w:val="B4302D16"/>
    <w:lvl w:ilvl="0" w:tplc="80ACEFD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4" w15:restartNumberingAfterBreak="0">
    <w:nsid w:val="3F39383E"/>
    <w:multiLevelType w:val="hybridMultilevel"/>
    <w:tmpl w:val="DC7ABB0C"/>
    <w:lvl w:ilvl="0" w:tplc="3D181F50">
      <w:start w:val="1"/>
      <w:numFmt w:val="decimal"/>
      <w:lvlText w:val="%1."/>
      <w:lvlJc w:val="left"/>
      <w:pPr>
        <w:ind w:left="750" w:hanging="375"/>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5" w15:restartNumberingAfterBreak="0">
    <w:nsid w:val="3FC816B9"/>
    <w:multiLevelType w:val="hybridMultilevel"/>
    <w:tmpl w:val="DC7ABB0C"/>
    <w:lvl w:ilvl="0" w:tplc="3D181F50">
      <w:start w:val="1"/>
      <w:numFmt w:val="decimal"/>
      <w:lvlText w:val="%1."/>
      <w:lvlJc w:val="left"/>
      <w:pPr>
        <w:ind w:left="750" w:hanging="375"/>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6" w15:restartNumberingAfterBreak="0">
    <w:nsid w:val="40FB3144"/>
    <w:multiLevelType w:val="hybridMultilevel"/>
    <w:tmpl w:val="7B32AA1C"/>
    <w:lvl w:ilvl="0" w:tplc="6BA29124">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C2233"/>
    <w:multiLevelType w:val="hybridMultilevel"/>
    <w:tmpl w:val="63E6DD48"/>
    <w:lvl w:ilvl="0" w:tplc="7902DC5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9"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C94F1E"/>
    <w:multiLevelType w:val="hybridMultilevel"/>
    <w:tmpl w:val="10CA72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757A46"/>
    <w:multiLevelType w:val="hybridMultilevel"/>
    <w:tmpl w:val="5C162DBC"/>
    <w:lvl w:ilvl="0" w:tplc="CD04A99A">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133B9"/>
    <w:multiLevelType w:val="hybridMultilevel"/>
    <w:tmpl w:val="05B2EA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FC7656"/>
    <w:multiLevelType w:val="hybridMultilevel"/>
    <w:tmpl w:val="2BAA64D0"/>
    <w:lvl w:ilvl="0" w:tplc="1D84D378">
      <w:start w:val="4"/>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4"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FE2262"/>
    <w:multiLevelType w:val="hybridMultilevel"/>
    <w:tmpl w:val="91E46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703B05"/>
    <w:multiLevelType w:val="hybridMultilevel"/>
    <w:tmpl w:val="5240F31A"/>
    <w:lvl w:ilvl="0" w:tplc="DA0EFAC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BE61E5"/>
    <w:multiLevelType w:val="hybridMultilevel"/>
    <w:tmpl w:val="97727244"/>
    <w:lvl w:ilvl="0" w:tplc="F0407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8645DF"/>
    <w:multiLevelType w:val="hybridMultilevel"/>
    <w:tmpl w:val="7C0E87AC"/>
    <w:lvl w:ilvl="0" w:tplc="34201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827B0D"/>
    <w:multiLevelType w:val="hybridMultilevel"/>
    <w:tmpl w:val="01464574"/>
    <w:lvl w:ilvl="0" w:tplc="A64EA544">
      <w:start w:val="1"/>
      <w:numFmt w:val="decimal"/>
      <w:lvlText w:val="%1)"/>
      <w:lvlJc w:val="left"/>
      <w:pPr>
        <w:ind w:left="12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A60EAC"/>
    <w:multiLevelType w:val="hybridMultilevel"/>
    <w:tmpl w:val="106A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B66844"/>
    <w:multiLevelType w:val="hybridMultilevel"/>
    <w:tmpl w:val="8A4027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8913A9"/>
    <w:multiLevelType w:val="hybridMultilevel"/>
    <w:tmpl w:val="9C1681F8"/>
    <w:lvl w:ilvl="0" w:tplc="94B0A584">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83780C"/>
    <w:multiLevelType w:val="hybridMultilevel"/>
    <w:tmpl w:val="AD4A72BE"/>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6EB277F1"/>
    <w:multiLevelType w:val="hybridMultilevel"/>
    <w:tmpl w:val="481E139E"/>
    <w:lvl w:ilvl="0" w:tplc="DA24491A">
      <w:start w:val="1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6" w15:restartNumberingAfterBreak="0">
    <w:nsid w:val="6FEC04AC"/>
    <w:multiLevelType w:val="hybridMultilevel"/>
    <w:tmpl w:val="F268166E"/>
    <w:lvl w:ilvl="0" w:tplc="F154A712">
      <w:start w:val="1"/>
      <w:numFmt w:val="decimal"/>
      <w:lvlText w:val="%1)"/>
      <w:lvlJc w:val="left"/>
      <w:pPr>
        <w:ind w:left="990" w:hanging="360"/>
      </w:pPr>
      <w:rPr>
        <w:rFonts w:hint="default"/>
        <w:b w:val="0"/>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0CB7C0B"/>
    <w:multiLevelType w:val="hybridMultilevel"/>
    <w:tmpl w:val="AC4E97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1C6380"/>
    <w:multiLevelType w:val="hybridMultilevel"/>
    <w:tmpl w:val="E7786B90"/>
    <w:lvl w:ilvl="0" w:tplc="5E3461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740BCB"/>
    <w:multiLevelType w:val="hybridMultilevel"/>
    <w:tmpl w:val="23FCDC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C35C6A"/>
    <w:multiLevelType w:val="hybridMultilevel"/>
    <w:tmpl w:val="28D034A6"/>
    <w:lvl w:ilvl="0" w:tplc="484AD578">
      <w:start w:val="1"/>
      <w:numFmt w:val="decimal"/>
      <w:lvlText w:val="%1."/>
      <w:lvlJc w:val="left"/>
      <w:pPr>
        <w:ind w:left="2088" w:hanging="1095"/>
      </w:pPr>
      <w:rPr>
        <w:rFonts w:ascii="GHEA Grapalat" w:hAnsi="GHEA Grapalat" w:hint="default"/>
        <w:b w:val="0"/>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8B92EE0"/>
    <w:multiLevelType w:val="hybridMultilevel"/>
    <w:tmpl w:val="DC7ABB0C"/>
    <w:lvl w:ilvl="0" w:tplc="3D181F50">
      <w:start w:val="1"/>
      <w:numFmt w:val="decimal"/>
      <w:lvlText w:val="%1."/>
      <w:lvlJc w:val="left"/>
      <w:pPr>
        <w:ind w:left="750" w:hanging="375"/>
      </w:pPr>
      <w:rPr>
        <w:b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2" w15:restartNumberingAfterBreak="0">
    <w:nsid w:val="7A752206"/>
    <w:multiLevelType w:val="hybridMultilevel"/>
    <w:tmpl w:val="A9D6E186"/>
    <w:lvl w:ilvl="0" w:tplc="C4BCF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94302D"/>
    <w:multiLevelType w:val="hybridMultilevel"/>
    <w:tmpl w:val="C5D03A40"/>
    <w:lvl w:ilvl="0" w:tplc="95205E56">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EE2932"/>
    <w:multiLevelType w:val="hybridMultilevel"/>
    <w:tmpl w:val="2AF21136"/>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39"/>
  </w:num>
  <w:num w:numId="3">
    <w:abstractNumId w:val="8"/>
  </w:num>
  <w:num w:numId="4">
    <w:abstractNumId w:val="12"/>
  </w:num>
  <w:num w:numId="5">
    <w:abstractNumId w:val="27"/>
  </w:num>
  <w:num w:numId="6">
    <w:abstractNumId w:val="29"/>
  </w:num>
  <w:num w:numId="7">
    <w:abstractNumId w:val="1"/>
  </w:num>
  <w:num w:numId="8">
    <w:abstractNumId w:val="25"/>
  </w:num>
  <w:num w:numId="9">
    <w:abstractNumId w:val="28"/>
  </w:num>
  <w:num w:numId="10">
    <w:abstractNumId w:val="33"/>
  </w:num>
  <w:num w:numId="11">
    <w:abstractNumId w:val="26"/>
  </w:num>
  <w:num w:numId="12">
    <w:abstractNumId w:val="38"/>
  </w:num>
  <w:num w:numId="13">
    <w:abstractNumId w:val="40"/>
  </w:num>
  <w:num w:numId="14">
    <w:abstractNumId w:val="11"/>
  </w:num>
  <w:num w:numId="15">
    <w:abstractNumId w:val="36"/>
  </w:num>
  <w:num w:numId="16">
    <w:abstractNumId w:val="16"/>
  </w:num>
  <w:num w:numId="17">
    <w:abstractNumId w:val="30"/>
  </w:num>
  <w:num w:numId="18">
    <w:abstractNumId w:val="0"/>
  </w:num>
  <w:num w:numId="19">
    <w:abstractNumId w:val="17"/>
  </w:num>
  <w:num w:numId="20">
    <w:abstractNumId w:val="31"/>
  </w:num>
  <w:num w:numId="21">
    <w:abstractNumId w:val="4"/>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19"/>
  </w:num>
  <w:num w:numId="26">
    <w:abstractNumId w:val="32"/>
  </w:num>
  <w:num w:numId="27">
    <w:abstractNumId w:val="44"/>
  </w:num>
  <w:num w:numId="28">
    <w:abstractNumId w:val="42"/>
  </w:num>
  <w:num w:numId="29">
    <w:abstractNumId w:val="10"/>
  </w:num>
  <w:num w:numId="30">
    <w:abstractNumId w:val="7"/>
  </w:num>
  <w:num w:numId="31">
    <w:abstractNumId w:val="2"/>
  </w:num>
  <w:num w:numId="32">
    <w:abstractNumId w:val="9"/>
  </w:num>
  <w:num w:numId="33">
    <w:abstractNumId w:val="5"/>
  </w:num>
  <w:num w:numId="34">
    <w:abstractNumId w:val="20"/>
  </w:num>
  <w:num w:numId="35">
    <w:abstractNumId w:val="22"/>
  </w:num>
  <w:num w:numId="36">
    <w:abstractNumId w:val="13"/>
  </w:num>
  <w:num w:numId="37">
    <w:abstractNumId w:val="43"/>
  </w:num>
  <w:num w:numId="38">
    <w:abstractNumId w:val="37"/>
  </w:num>
  <w:num w:numId="39">
    <w:abstractNumId w:val="35"/>
  </w:num>
  <w:num w:numId="40">
    <w:abstractNumId w:val="21"/>
  </w:num>
  <w:num w:numId="41">
    <w:abstractNumId w:val="3"/>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41"/>
  </w:num>
  <w:num w:numId="45">
    <w:abstractNumId w:val="14"/>
  </w:num>
  <w:num w:numId="46">
    <w:abstractNumId w:val="6"/>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23D99C-287F-4ADA-AAA1-D0EFE01A1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chtex">
    <w:name w:val="mechtex"/>
    <w:basedOn w:val="Normal"/>
    <w:link w:val="mechtexChar"/>
    <w:uiPriority w:val="99"/>
    <w:qFormat/>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rPr>
      <w:rFonts w:ascii="Arial Armenian" w:eastAsia="Times New Roman" w:hAnsi="Arial Armenian" w:cs="Times New Roman"/>
      <w:szCs w:val="20"/>
      <w:lang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markedcontent">
    <w:name w:val="markedcontent"/>
    <w:basedOn w:val="DefaultParagraphFont"/>
  </w:style>
  <w:style w:type="character" w:customStyle="1" w:styleId="highlight">
    <w:name w:val="highlight"/>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6807">
      <w:bodyDiv w:val="1"/>
      <w:marLeft w:val="0"/>
      <w:marRight w:val="0"/>
      <w:marTop w:val="0"/>
      <w:marBottom w:val="0"/>
      <w:divBdr>
        <w:top w:val="none" w:sz="0" w:space="0" w:color="auto"/>
        <w:left w:val="none" w:sz="0" w:space="0" w:color="auto"/>
        <w:bottom w:val="none" w:sz="0" w:space="0" w:color="auto"/>
        <w:right w:val="none" w:sz="0" w:space="0" w:color="auto"/>
      </w:divBdr>
    </w:div>
    <w:div w:id="200479141">
      <w:bodyDiv w:val="1"/>
      <w:marLeft w:val="0"/>
      <w:marRight w:val="0"/>
      <w:marTop w:val="0"/>
      <w:marBottom w:val="0"/>
      <w:divBdr>
        <w:top w:val="none" w:sz="0" w:space="0" w:color="auto"/>
        <w:left w:val="none" w:sz="0" w:space="0" w:color="auto"/>
        <w:bottom w:val="none" w:sz="0" w:space="0" w:color="auto"/>
        <w:right w:val="none" w:sz="0" w:space="0" w:color="auto"/>
      </w:divBdr>
    </w:div>
    <w:div w:id="218059427">
      <w:bodyDiv w:val="1"/>
      <w:marLeft w:val="0"/>
      <w:marRight w:val="0"/>
      <w:marTop w:val="0"/>
      <w:marBottom w:val="0"/>
      <w:divBdr>
        <w:top w:val="none" w:sz="0" w:space="0" w:color="auto"/>
        <w:left w:val="none" w:sz="0" w:space="0" w:color="auto"/>
        <w:bottom w:val="none" w:sz="0" w:space="0" w:color="auto"/>
        <w:right w:val="none" w:sz="0" w:space="0" w:color="auto"/>
      </w:divBdr>
    </w:div>
    <w:div w:id="534271356">
      <w:bodyDiv w:val="1"/>
      <w:marLeft w:val="0"/>
      <w:marRight w:val="0"/>
      <w:marTop w:val="0"/>
      <w:marBottom w:val="0"/>
      <w:divBdr>
        <w:top w:val="none" w:sz="0" w:space="0" w:color="auto"/>
        <w:left w:val="none" w:sz="0" w:space="0" w:color="auto"/>
        <w:bottom w:val="none" w:sz="0" w:space="0" w:color="auto"/>
        <w:right w:val="none" w:sz="0" w:space="0" w:color="auto"/>
      </w:divBdr>
    </w:div>
    <w:div w:id="643388669">
      <w:bodyDiv w:val="1"/>
      <w:marLeft w:val="0"/>
      <w:marRight w:val="0"/>
      <w:marTop w:val="0"/>
      <w:marBottom w:val="0"/>
      <w:divBdr>
        <w:top w:val="none" w:sz="0" w:space="0" w:color="auto"/>
        <w:left w:val="none" w:sz="0" w:space="0" w:color="auto"/>
        <w:bottom w:val="none" w:sz="0" w:space="0" w:color="auto"/>
        <w:right w:val="none" w:sz="0" w:space="0" w:color="auto"/>
      </w:divBdr>
    </w:div>
    <w:div w:id="723065803">
      <w:bodyDiv w:val="1"/>
      <w:marLeft w:val="0"/>
      <w:marRight w:val="0"/>
      <w:marTop w:val="0"/>
      <w:marBottom w:val="0"/>
      <w:divBdr>
        <w:top w:val="none" w:sz="0" w:space="0" w:color="auto"/>
        <w:left w:val="none" w:sz="0" w:space="0" w:color="auto"/>
        <w:bottom w:val="none" w:sz="0" w:space="0" w:color="auto"/>
        <w:right w:val="none" w:sz="0" w:space="0" w:color="auto"/>
      </w:divBdr>
    </w:div>
    <w:div w:id="790173377">
      <w:bodyDiv w:val="1"/>
      <w:marLeft w:val="0"/>
      <w:marRight w:val="0"/>
      <w:marTop w:val="0"/>
      <w:marBottom w:val="0"/>
      <w:divBdr>
        <w:top w:val="none" w:sz="0" w:space="0" w:color="auto"/>
        <w:left w:val="none" w:sz="0" w:space="0" w:color="auto"/>
        <w:bottom w:val="none" w:sz="0" w:space="0" w:color="auto"/>
        <w:right w:val="none" w:sz="0" w:space="0" w:color="auto"/>
      </w:divBdr>
    </w:div>
    <w:div w:id="856428771">
      <w:bodyDiv w:val="1"/>
      <w:marLeft w:val="0"/>
      <w:marRight w:val="0"/>
      <w:marTop w:val="0"/>
      <w:marBottom w:val="0"/>
      <w:divBdr>
        <w:top w:val="none" w:sz="0" w:space="0" w:color="auto"/>
        <w:left w:val="none" w:sz="0" w:space="0" w:color="auto"/>
        <w:bottom w:val="none" w:sz="0" w:space="0" w:color="auto"/>
        <w:right w:val="none" w:sz="0" w:space="0" w:color="auto"/>
      </w:divBdr>
    </w:div>
    <w:div w:id="859583646">
      <w:bodyDiv w:val="1"/>
      <w:marLeft w:val="0"/>
      <w:marRight w:val="0"/>
      <w:marTop w:val="0"/>
      <w:marBottom w:val="0"/>
      <w:divBdr>
        <w:top w:val="none" w:sz="0" w:space="0" w:color="auto"/>
        <w:left w:val="none" w:sz="0" w:space="0" w:color="auto"/>
        <w:bottom w:val="none" w:sz="0" w:space="0" w:color="auto"/>
        <w:right w:val="none" w:sz="0" w:space="0" w:color="auto"/>
      </w:divBdr>
    </w:div>
    <w:div w:id="924461520">
      <w:bodyDiv w:val="1"/>
      <w:marLeft w:val="0"/>
      <w:marRight w:val="0"/>
      <w:marTop w:val="0"/>
      <w:marBottom w:val="0"/>
      <w:divBdr>
        <w:top w:val="none" w:sz="0" w:space="0" w:color="auto"/>
        <w:left w:val="none" w:sz="0" w:space="0" w:color="auto"/>
        <w:bottom w:val="none" w:sz="0" w:space="0" w:color="auto"/>
        <w:right w:val="none" w:sz="0" w:space="0" w:color="auto"/>
      </w:divBdr>
    </w:div>
    <w:div w:id="955285053">
      <w:bodyDiv w:val="1"/>
      <w:marLeft w:val="0"/>
      <w:marRight w:val="0"/>
      <w:marTop w:val="0"/>
      <w:marBottom w:val="0"/>
      <w:divBdr>
        <w:top w:val="none" w:sz="0" w:space="0" w:color="auto"/>
        <w:left w:val="none" w:sz="0" w:space="0" w:color="auto"/>
        <w:bottom w:val="none" w:sz="0" w:space="0" w:color="auto"/>
        <w:right w:val="none" w:sz="0" w:space="0" w:color="auto"/>
      </w:divBdr>
    </w:div>
    <w:div w:id="1279684600">
      <w:bodyDiv w:val="1"/>
      <w:marLeft w:val="0"/>
      <w:marRight w:val="0"/>
      <w:marTop w:val="0"/>
      <w:marBottom w:val="0"/>
      <w:divBdr>
        <w:top w:val="none" w:sz="0" w:space="0" w:color="auto"/>
        <w:left w:val="none" w:sz="0" w:space="0" w:color="auto"/>
        <w:bottom w:val="none" w:sz="0" w:space="0" w:color="auto"/>
        <w:right w:val="none" w:sz="0" w:space="0" w:color="auto"/>
      </w:divBdr>
    </w:div>
    <w:div w:id="1500850919">
      <w:bodyDiv w:val="1"/>
      <w:marLeft w:val="0"/>
      <w:marRight w:val="0"/>
      <w:marTop w:val="0"/>
      <w:marBottom w:val="0"/>
      <w:divBdr>
        <w:top w:val="none" w:sz="0" w:space="0" w:color="auto"/>
        <w:left w:val="none" w:sz="0" w:space="0" w:color="auto"/>
        <w:bottom w:val="none" w:sz="0" w:space="0" w:color="auto"/>
        <w:right w:val="none" w:sz="0" w:space="0" w:color="auto"/>
      </w:divBdr>
    </w:div>
    <w:div w:id="1610237035">
      <w:bodyDiv w:val="1"/>
      <w:marLeft w:val="0"/>
      <w:marRight w:val="0"/>
      <w:marTop w:val="0"/>
      <w:marBottom w:val="0"/>
      <w:divBdr>
        <w:top w:val="none" w:sz="0" w:space="0" w:color="auto"/>
        <w:left w:val="none" w:sz="0" w:space="0" w:color="auto"/>
        <w:bottom w:val="none" w:sz="0" w:space="0" w:color="auto"/>
        <w:right w:val="none" w:sz="0" w:space="0" w:color="auto"/>
      </w:divBdr>
    </w:div>
    <w:div w:id="1634289645">
      <w:bodyDiv w:val="1"/>
      <w:marLeft w:val="0"/>
      <w:marRight w:val="0"/>
      <w:marTop w:val="0"/>
      <w:marBottom w:val="0"/>
      <w:divBdr>
        <w:top w:val="none" w:sz="0" w:space="0" w:color="auto"/>
        <w:left w:val="none" w:sz="0" w:space="0" w:color="auto"/>
        <w:bottom w:val="none" w:sz="0" w:space="0" w:color="auto"/>
        <w:right w:val="none" w:sz="0" w:space="0" w:color="auto"/>
      </w:divBdr>
    </w:div>
    <w:div w:id="1649702474">
      <w:bodyDiv w:val="1"/>
      <w:marLeft w:val="0"/>
      <w:marRight w:val="0"/>
      <w:marTop w:val="0"/>
      <w:marBottom w:val="0"/>
      <w:divBdr>
        <w:top w:val="none" w:sz="0" w:space="0" w:color="auto"/>
        <w:left w:val="none" w:sz="0" w:space="0" w:color="auto"/>
        <w:bottom w:val="none" w:sz="0" w:space="0" w:color="auto"/>
        <w:right w:val="none" w:sz="0" w:space="0" w:color="auto"/>
      </w:divBdr>
    </w:div>
    <w:div w:id="1681737315">
      <w:bodyDiv w:val="1"/>
      <w:marLeft w:val="0"/>
      <w:marRight w:val="0"/>
      <w:marTop w:val="0"/>
      <w:marBottom w:val="0"/>
      <w:divBdr>
        <w:top w:val="none" w:sz="0" w:space="0" w:color="auto"/>
        <w:left w:val="none" w:sz="0" w:space="0" w:color="auto"/>
        <w:bottom w:val="none" w:sz="0" w:space="0" w:color="auto"/>
        <w:right w:val="none" w:sz="0" w:space="0" w:color="auto"/>
      </w:divBdr>
    </w:div>
    <w:div w:id="1827431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49D43C-F611-4B47-85DD-B89DE5D512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1525</Words>
  <Characters>8696</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
  <dc:description/>
  <cp:lastModifiedBy>Davit Khachatryan</cp:lastModifiedBy>
  <cp:revision>7</cp:revision>
  <cp:lastPrinted>2022-04-28T13:50:00Z</cp:lastPrinted>
  <dcterms:created xsi:type="dcterms:W3CDTF">2022-06-08T11:40:00Z</dcterms:created>
  <dcterms:modified xsi:type="dcterms:W3CDTF">2022-06-08T16:04:00Z</dcterms:modified>
</cp:coreProperties>
</file>