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3CE4" w:rsidRDefault="00045567">
      <w:pPr>
        <w:shd w:val="clear" w:color="auto" w:fill="FFFFFF"/>
        <w:spacing w:line="276" w:lineRule="auto"/>
        <w:ind w:firstLine="567"/>
        <w:jc w:val="center"/>
        <w:rPr>
          <w:rStyle w:val="Strong"/>
          <w:rFonts w:ascii="GHEA Grapalat" w:eastAsia="Times New Roman" w:hAnsi="GHEA Grapalat" w:cs="Sylfaen"/>
          <w:lang w:val="hy-AM" w:eastAsia="ru-RU"/>
        </w:rPr>
      </w:pPr>
      <w:bookmarkStart w:id="0" w:name="_GoBack"/>
      <w:bookmarkEnd w:id="0"/>
      <w:r>
        <w:rPr>
          <w:rStyle w:val="Strong"/>
          <w:rFonts w:ascii="GHEA Grapalat" w:eastAsia="Times New Roman" w:hAnsi="GHEA Grapalat" w:cs="Arial"/>
          <w:lang w:val="hy-AM" w:eastAsia="ru-RU"/>
        </w:rPr>
        <w:t>ԱՄՓՈՓԱԹԵՐԹ</w:t>
      </w:r>
    </w:p>
    <w:p w:rsidR="004C3CE4" w:rsidRDefault="00045567">
      <w:pPr>
        <w:shd w:val="clear" w:color="auto" w:fill="FFFFFF"/>
        <w:spacing w:after="0" w:line="240" w:lineRule="auto"/>
        <w:jc w:val="center"/>
        <w:rPr>
          <w:rFonts w:ascii="GHEA Grapalat" w:eastAsia="Times New Roman" w:hAnsi="GHEA Grapalat" w:cs="Sylfaen"/>
          <w:b/>
          <w:lang w:val="hy-AM" w:eastAsia="ru-RU"/>
        </w:rPr>
      </w:pPr>
      <w:r>
        <w:rPr>
          <w:rFonts w:ascii="GHEA Grapalat" w:hAnsi="GHEA Grapalat"/>
          <w:b/>
          <w:lang w:val="hy-AM"/>
        </w:rPr>
        <w:t>«</w:t>
      </w:r>
      <w:r w:rsidR="007E7B62">
        <w:rPr>
          <w:rFonts w:ascii="GHEA Grapalat" w:eastAsia="Times New Roman" w:hAnsi="GHEA Grapalat" w:cs="Sylfaen"/>
          <w:b/>
          <w:lang w:val="hy-AM" w:eastAsia="ru-RU"/>
        </w:rPr>
        <w:t>Կ</w:t>
      </w:r>
      <w:r>
        <w:rPr>
          <w:rFonts w:ascii="GHEA Grapalat" w:eastAsia="Times New Roman" w:hAnsi="GHEA Grapalat" w:cs="Sylfaen"/>
          <w:b/>
          <w:lang w:val="hy-AM" w:eastAsia="ru-RU"/>
        </w:rPr>
        <w:t>ենսաթոշակառուներին անկանխիկ եղանակով վճարումներից հետվճար տրամադրելու պետություն-մասնավոր սոցիալական փոխգործակցության միջոցառման իրականացման կարգը հաստատելու և Հայաստանի Հանրապետության կառավարության 2022 թվականի մայիսի 19-ի n 723-լ որոշման մեջ փոփոխություններ և լրացումներ կատարելու մասին» հայաստանի հանրապետության կառավարության որոշման նախագծի վերաբերյալ</w:t>
      </w:r>
    </w:p>
    <w:p w:rsidR="004C3CE4" w:rsidRDefault="004C3CE4">
      <w:pPr>
        <w:shd w:val="clear" w:color="auto" w:fill="FFFFFF"/>
        <w:spacing w:after="0" w:line="240" w:lineRule="auto"/>
        <w:jc w:val="center"/>
        <w:rPr>
          <w:rFonts w:ascii="GHEA Grapalat" w:eastAsia="Times New Roman" w:hAnsi="GHEA Grapalat" w:cs="Sylfaen"/>
          <w:b/>
          <w:lang w:val="hy-AM" w:eastAsia="ru-RU"/>
        </w:rPr>
      </w:pPr>
    </w:p>
    <w:p w:rsidR="004C3CE4" w:rsidRDefault="004C3CE4">
      <w:pPr>
        <w:shd w:val="clear" w:color="auto" w:fill="FFFFFF"/>
        <w:spacing w:after="0" w:line="240" w:lineRule="auto"/>
        <w:jc w:val="center"/>
        <w:rPr>
          <w:rFonts w:ascii="GHEA Grapalat" w:hAnsi="GHEA Grapalat"/>
          <w:b/>
          <w:bCs/>
          <w:color w:val="000000"/>
          <w:lang w:val="hy-AM"/>
        </w:rPr>
      </w:pPr>
    </w:p>
    <w:tbl>
      <w:tblPr>
        <w:tblStyle w:val="TableGrid"/>
        <w:tblW w:w="14205" w:type="dxa"/>
        <w:jc w:val="center"/>
        <w:tblLook w:val="04A0" w:firstRow="1" w:lastRow="0" w:firstColumn="1" w:lastColumn="0" w:noHBand="0" w:noVBand="1"/>
      </w:tblPr>
      <w:tblGrid>
        <w:gridCol w:w="9776"/>
        <w:gridCol w:w="4429"/>
      </w:tblGrid>
      <w:tr w:rsidR="004C3CE4">
        <w:trPr>
          <w:jc w:val="center"/>
        </w:trPr>
        <w:tc>
          <w:tcPr>
            <w:tcW w:w="9776" w:type="dxa"/>
          </w:tcPr>
          <w:p w:rsidR="004C3CE4" w:rsidRDefault="00045567">
            <w:pPr>
              <w:pStyle w:val="ListParagraph"/>
              <w:numPr>
                <w:ilvl w:val="0"/>
                <w:numId w:val="27"/>
              </w:numPr>
              <w:jc w:val="center"/>
              <w:rPr>
                <w:rFonts w:ascii="GHEA Grapalat" w:hAnsi="GHEA Grapalat"/>
                <w:b/>
                <w:lang w:val="hy-AM"/>
              </w:rPr>
            </w:pPr>
            <w:r>
              <w:rPr>
                <w:rFonts w:ascii="GHEA Grapalat" w:hAnsi="GHEA Grapalat"/>
                <w:b/>
              </w:rPr>
              <w:t>ՀՀ ֆ</w:t>
            </w:r>
            <w:r>
              <w:rPr>
                <w:rFonts w:ascii="GHEA Grapalat" w:hAnsi="GHEA Grapalat"/>
                <w:b/>
                <w:lang w:val="hy-AM"/>
              </w:rPr>
              <w:t>ինանսների նախարարություն</w:t>
            </w:r>
          </w:p>
        </w:tc>
        <w:tc>
          <w:tcPr>
            <w:tcW w:w="4429" w:type="dxa"/>
          </w:tcPr>
          <w:p w:rsidR="004C3CE4" w:rsidRDefault="00045567">
            <w:pPr>
              <w:jc w:val="both"/>
              <w:rPr>
                <w:rFonts w:ascii="GHEA Grapalat" w:hAnsi="GHEA Grapalat"/>
                <w:lang w:val="hy-AM"/>
              </w:rPr>
            </w:pPr>
            <w:r>
              <w:rPr>
                <w:rFonts w:ascii="GHEA Grapalat" w:hAnsi="GHEA Grapalat"/>
                <w:lang w:val="hy-AM"/>
              </w:rPr>
              <w:t>20.06.2022</w:t>
            </w:r>
          </w:p>
          <w:p w:rsidR="004C3CE4" w:rsidRDefault="00045567">
            <w:pPr>
              <w:jc w:val="both"/>
              <w:rPr>
                <w:rFonts w:ascii="GHEA Grapalat" w:hAnsi="GHEA Grapalat"/>
                <w:b/>
                <w:lang w:val="hy-AM"/>
              </w:rPr>
            </w:pPr>
            <w:r>
              <w:rPr>
                <w:rFonts w:ascii="Verdana" w:hAnsi="Verdana"/>
                <w:color w:val="000000"/>
                <w:shd w:val="clear" w:color="auto" w:fill="FFFFFF"/>
              </w:rPr>
              <w:t>01/8-3/11210-2022</w:t>
            </w:r>
          </w:p>
        </w:tc>
      </w:tr>
      <w:tr w:rsidR="004C3CE4">
        <w:trPr>
          <w:jc w:val="center"/>
        </w:trPr>
        <w:tc>
          <w:tcPr>
            <w:tcW w:w="9776" w:type="dxa"/>
          </w:tcPr>
          <w:p w:rsidR="004C3CE4" w:rsidRDefault="00045567">
            <w:pPr>
              <w:spacing w:line="259" w:lineRule="auto"/>
              <w:ind w:firstLine="284"/>
              <w:jc w:val="both"/>
              <w:rPr>
                <w:rFonts w:ascii="GHEA Grapalat" w:hAnsi="GHEA Grapalat"/>
                <w:b/>
                <w:color w:val="000000"/>
                <w:shd w:val="clear" w:color="auto" w:fill="FFFFFF"/>
                <w:lang w:val="hy-AM"/>
              </w:rPr>
            </w:pPr>
            <w:r>
              <w:rPr>
                <w:rFonts w:ascii="GHEA Grapalat" w:hAnsi="GHEA Grapalat"/>
                <w:color w:val="000000"/>
                <w:shd w:val="clear" w:color="auto" w:fill="FFFFFF"/>
                <w:lang w:val="hy-AM"/>
              </w:rPr>
              <w:t>Ուսումնասիրելով Ձեր ս.թ. հունիսի 20-ի N ՄՆ/ԺՍ-2-1/14206-2022 գրությամբ ներկայացված «Անկանխիկ եղանակով վճարումներից կենսաթոշակառուներին տրամադրվող հետվճարը հաշվարկելու և տրամադրելու կարգը հաստատելու և Հայաստանի Հանրապետության Կառավարության 2022 թվականի մայիսի 19-ի N 723-Լ որոշման մեջ փոփոխություններ և լրացումներ կատարելու մասին» ՀՀ կառավարության որոշման նախագիծը հայտնում ենք, որ դիտողություններ և առաջարկություններ չունենք:</w:t>
            </w:r>
          </w:p>
        </w:tc>
        <w:tc>
          <w:tcPr>
            <w:tcW w:w="4429" w:type="dxa"/>
          </w:tcPr>
          <w:p w:rsidR="004C3CE4" w:rsidRDefault="00045567">
            <w:pPr>
              <w:pStyle w:val="ListParagraph"/>
              <w:tabs>
                <w:tab w:val="left" w:pos="1170"/>
              </w:tabs>
              <w:ind w:left="411"/>
              <w:jc w:val="both"/>
              <w:rPr>
                <w:rFonts w:ascii="GHEA Grapalat" w:hAnsi="GHEA Grapalat"/>
                <w:lang w:val="hy-AM"/>
              </w:rPr>
            </w:pPr>
            <w:r>
              <w:rPr>
                <w:rFonts w:ascii="GHEA Grapalat" w:hAnsi="GHEA Grapalat"/>
                <w:color w:val="000000"/>
                <w:shd w:val="clear" w:color="auto" w:fill="FFFFFF"/>
                <w:lang w:val="hy-AM"/>
              </w:rPr>
              <w:t>Ընդունվել է ի գիտություն</w:t>
            </w:r>
          </w:p>
        </w:tc>
      </w:tr>
      <w:tr w:rsidR="004C3CE4">
        <w:trPr>
          <w:jc w:val="center"/>
        </w:trPr>
        <w:tc>
          <w:tcPr>
            <w:tcW w:w="9776" w:type="dxa"/>
          </w:tcPr>
          <w:p w:rsidR="004C3CE4" w:rsidRDefault="00045567">
            <w:pPr>
              <w:pStyle w:val="ListParagraph"/>
              <w:numPr>
                <w:ilvl w:val="0"/>
                <w:numId w:val="27"/>
              </w:numPr>
              <w:jc w:val="center"/>
              <w:rPr>
                <w:rFonts w:ascii="GHEA Grapalat" w:hAnsi="GHEA Grapalat"/>
                <w:b/>
              </w:rPr>
            </w:pPr>
            <w:r>
              <w:rPr>
                <w:rFonts w:ascii="GHEA Grapalat" w:hAnsi="GHEA Grapalat"/>
                <w:b/>
              </w:rPr>
              <w:t>ՀՀ կենտրոնական բանկ</w:t>
            </w:r>
          </w:p>
        </w:tc>
        <w:tc>
          <w:tcPr>
            <w:tcW w:w="4429" w:type="dxa"/>
          </w:tcPr>
          <w:p w:rsidR="004C3CE4" w:rsidRDefault="00045567">
            <w:pPr>
              <w:jc w:val="both"/>
              <w:rPr>
                <w:rFonts w:ascii="GHEA Grapalat" w:hAnsi="GHEA Grapalat"/>
                <w:lang w:val="hy-AM"/>
              </w:rPr>
            </w:pPr>
            <w:r>
              <w:rPr>
                <w:rFonts w:ascii="GHEA Grapalat" w:hAnsi="GHEA Grapalat"/>
                <w:lang w:val="hy-AM"/>
              </w:rPr>
              <w:t>20.06.2022</w:t>
            </w:r>
          </w:p>
          <w:p w:rsidR="004C3CE4" w:rsidRDefault="00045567">
            <w:pPr>
              <w:jc w:val="both"/>
              <w:rPr>
                <w:rFonts w:ascii="GHEA Grapalat" w:hAnsi="GHEA Grapalat"/>
                <w:lang w:val="hy-AM"/>
              </w:rPr>
            </w:pPr>
            <w:r>
              <w:rPr>
                <w:rFonts w:ascii="GHEA Grapalat" w:hAnsi="GHEA Grapalat"/>
                <w:lang w:val="hy-AM"/>
              </w:rPr>
              <w:t>15.1-07/0438-22</w:t>
            </w:r>
          </w:p>
        </w:tc>
      </w:tr>
      <w:tr w:rsidR="004C3CE4" w:rsidRPr="007E7B62">
        <w:trPr>
          <w:jc w:val="center"/>
        </w:trPr>
        <w:tc>
          <w:tcPr>
            <w:tcW w:w="9776" w:type="dxa"/>
          </w:tcPr>
          <w:p w:rsidR="004C3CE4" w:rsidRDefault="00045567">
            <w:pPr>
              <w:jc w:val="both"/>
              <w:rPr>
                <w:rFonts w:ascii="GHEA Grapalat" w:eastAsia="MS Gothic" w:hAnsi="GHEA Grapalat" w:cs="MS Gothic"/>
                <w:lang w:val="hy-AM"/>
              </w:rPr>
            </w:pPr>
            <w:r>
              <w:rPr>
                <w:rFonts w:ascii="GHEA Grapalat" w:eastAsia="Calibri" w:hAnsi="GHEA Grapalat" w:cs="Times New Roman"/>
                <w:lang w:val="hy-AM"/>
              </w:rPr>
              <w:t xml:space="preserve">Ուսումնասիրելով գրությամբ ներկայացված </w:t>
            </w:r>
            <w:r>
              <w:rPr>
                <w:rFonts w:ascii="GHEA Grapalat" w:eastAsia="Calibri" w:hAnsi="GHEA Grapalat" w:cs="Sylfaen"/>
                <w:lang w:val="hy-AM"/>
              </w:rPr>
              <w:t>Անկանխիկ եղանակով վճարումներից կենսաթոշակառուներին տրամադրվող հետվճարը հաշվարկելու և տրամադրելու կարգը հաստատելու և Հայաստանի Հանրապետության Կառավարության 2022 թվականի մայիսի 19-ի N 723-Լ որոշման մեջ փոփոխություններ և լրացումներ կատարելու մասին» Հայաստանի Հանրապետության Կառավարության որոշման նախագիծը</w:t>
            </w:r>
            <w:r>
              <w:rPr>
                <w:rFonts w:ascii="MS Gothic" w:eastAsia="MS Gothic" w:hAnsi="MS Gothic" w:cs="MS Gothic" w:hint="eastAsia"/>
                <w:lang w:val="hy-AM"/>
              </w:rPr>
              <w:t>,</w:t>
            </w:r>
            <w:r>
              <w:rPr>
                <w:rFonts w:ascii="GHEA Grapalat" w:eastAsia="MS Gothic" w:hAnsi="GHEA Grapalat" w:cs="MS Gothic"/>
                <w:lang w:val="hy-AM"/>
              </w:rPr>
              <w:t>հայտնում ենք հետևյալը</w:t>
            </w:r>
            <w:r>
              <w:rPr>
                <w:rFonts w:ascii="Cambria Math" w:eastAsia="MS Gothic" w:hAnsi="Cambria Math" w:cs="Cambria Math"/>
                <w:lang w:val="hy-AM"/>
              </w:rPr>
              <w:t>․</w:t>
            </w:r>
          </w:p>
          <w:p w:rsidR="004C3CE4" w:rsidRDefault="00045567">
            <w:pPr>
              <w:numPr>
                <w:ilvl w:val="0"/>
                <w:numId w:val="49"/>
              </w:numPr>
              <w:ind w:left="709"/>
              <w:contextualSpacing/>
              <w:jc w:val="both"/>
              <w:rPr>
                <w:rFonts w:ascii="GHEA Grapalat" w:eastAsia="MS Gothic" w:hAnsi="GHEA Grapalat" w:cs="Courier New"/>
                <w:lang w:val="hy-AM"/>
              </w:rPr>
            </w:pPr>
            <w:r>
              <w:rPr>
                <w:rFonts w:ascii="GHEA Grapalat" w:eastAsia="MS Gothic" w:hAnsi="GHEA Grapalat" w:cs="Courier New"/>
                <w:lang w:val="hy-AM"/>
              </w:rPr>
              <w:t>Որոշման նախագծի 2-րդ կետի 3)-րդ ենթակետում «</w:t>
            </w:r>
            <w:r>
              <w:rPr>
                <w:rFonts w:ascii="GHEA Grapalat" w:eastAsia="Calibri" w:hAnsi="GHEA Grapalat" w:cs="Times New Roman"/>
                <w:color w:val="000000"/>
                <w:shd w:val="clear" w:color="auto" w:fill="FFFFFF"/>
                <w:lang w:val="hy-AM"/>
              </w:rPr>
              <w:t>ԱԳՍ</w:t>
            </w:r>
            <w:r>
              <w:rPr>
                <w:rFonts w:ascii="GHEA Grapalat" w:eastAsia="MS Gothic" w:hAnsi="GHEA Grapalat" w:cs="Courier New"/>
                <w:lang w:val="hy-AM"/>
              </w:rPr>
              <w:t xml:space="preserve">» բառը փոխարինել </w:t>
            </w:r>
            <w:r>
              <w:rPr>
                <w:rFonts w:ascii="GHEA Grapalat" w:eastAsia="Calibri" w:hAnsi="GHEA Grapalat" w:cs="Times New Roman"/>
                <w:color w:val="000000"/>
                <w:shd w:val="clear" w:color="auto" w:fill="FFFFFF"/>
                <w:lang w:val="hy-AM"/>
              </w:rPr>
              <w:t>ՊՈՍ-տերմինալ» բառով։</w:t>
            </w:r>
          </w:p>
          <w:p w:rsidR="004C3CE4" w:rsidRDefault="00045567">
            <w:pPr>
              <w:numPr>
                <w:ilvl w:val="0"/>
                <w:numId w:val="49"/>
              </w:numPr>
              <w:ind w:left="709"/>
              <w:contextualSpacing/>
              <w:jc w:val="both"/>
              <w:rPr>
                <w:rFonts w:ascii="GHEA Grapalat" w:eastAsia="MS Gothic" w:hAnsi="GHEA Grapalat" w:cs="Courier New"/>
                <w:lang w:val="hy-AM"/>
              </w:rPr>
            </w:pPr>
            <w:r>
              <w:rPr>
                <w:rFonts w:ascii="GHEA Grapalat" w:eastAsia="MS Gothic" w:hAnsi="GHEA Grapalat" w:cs="Courier New"/>
                <w:lang w:val="hy-AM"/>
              </w:rPr>
              <w:t xml:space="preserve">  Որոշման նախագծի 2-րդ կետում ավելացնել նոր ենթակետ հետևյալ բովանդակությամբ «Միջոցառման 4-րդ կետի 6-րդ ենթակետում, ինչպես նաև ամբողջ տեքստում, որտեղ օգտագործվում է՝ </w:t>
            </w:r>
            <w:r>
              <w:rPr>
                <w:rFonts w:ascii="GHEA Grapalat" w:eastAsia="Calibri" w:hAnsi="GHEA Grapalat" w:cs="Times New Roman"/>
                <w:color w:val="000000"/>
                <w:shd w:val="clear" w:color="auto" w:fill="FFFFFF"/>
                <w:lang w:val="hy-AM"/>
              </w:rPr>
              <w:t xml:space="preserve">ավտոմատ գանձման սարք (նաև՝ ԱԳՍ)  բառերը, փոխարինել՝ </w:t>
            </w:r>
            <w:r>
              <w:rPr>
                <w:rFonts w:ascii="GHEA Grapalat" w:eastAsia="MS Gothic" w:hAnsi="GHEA Grapalat" w:cs="Courier New"/>
                <w:lang w:val="hy-AM"/>
              </w:rPr>
              <w:t>«</w:t>
            </w:r>
            <w:r>
              <w:rPr>
                <w:rFonts w:ascii="GHEA Grapalat" w:eastAsia="Calibri" w:hAnsi="GHEA Grapalat" w:cs="Times New Roman"/>
                <w:color w:val="000000"/>
                <w:shd w:val="clear" w:color="auto" w:fill="FFFFFF"/>
                <w:lang w:val="hy-AM"/>
              </w:rPr>
              <w:t xml:space="preserve">ՊՈՍ-տերմինալ» բառերով» </w:t>
            </w:r>
          </w:p>
          <w:p w:rsidR="004C3CE4" w:rsidRDefault="00045567">
            <w:pPr>
              <w:numPr>
                <w:ilvl w:val="0"/>
                <w:numId w:val="49"/>
              </w:numPr>
              <w:ind w:left="709"/>
              <w:contextualSpacing/>
              <w:jc w:val="both"/>
              <w:rPr>
                <w:rFonts w:ascii="GHEA Grapalat" w:eastAsia="MS Gothic" w:hAnsi="GHEA Grapalat" w:cs="Courier New"/>
                <w:lang w:val="hy-AM"/>
              </w:rPr>
            </w:pPr>
            <w:r>
              <w:rPr>
                <w:rFonts w:ascii="GHEA Grapalat" w:eastAsia="MS Gothic" w:hAnsi="GHEA Grapalat" w:cs="Courier New"/>
                <w:lang w:val="hy-AM"/>
              </w:rPr>
              <w:t xml:space="preserve">Որոշման նախագծի 1-ին կետով հաստատվող՝ «Անկանխիկ եղանակով վճարումներից </w:t>
            </w:r>
            <w:r>
              <w:rPr>
                <w:rFonts w:ascii="GHEA Grapalat" w:eastAsia="Calibri" w:hAnsi="GHEA Grapalat" w:cs="Times New Roman"/>
                <w:color w:val="000000"/>
                <w:shd w:val="clear" w:color="auto" w:fill="FFFFFF"/>
                <w:lang w:val="hy-AM"/>
              </w:rPr>
              <w:t>կենսաթոշակառուներին</w:t>
            </w:r>
            <w:r>
              <w:rPr>
                <w:rFonts w:ascii="GHEA Grapalat" w:eastAsia="MS Gothic" w:hAnsi="GHEA Grapalat" w:cs="Courier New"/>
                <w:lang w:val="hy-AM"/>
              </w:rPr>
              <w:t xml:space="preserve"> հետվճար հաշվարկելու և տրամադրելու կարգի» (այսուհետ՝ Կարգի նախագիծ) անհրաժեշտ է կատարել հետևյալ հստակեցումները </w:t>
            </w:r>
          </w:p>
          <w:p w:rsidR="004C3CE4" w:rsidRDefault="00045567">
            <w:pPr>
              <w:ind w:left="851" w:hanging="284"/>
              <w:contextualSpacing/>
              <w:jc w:val="both"/>
              <w:rPr>
                <w:rFonts w:ascii="GHEA Grapalat" w:eastAsia="MS Gothic" w:hAnsi="GHEA Grapalat" w:cs="Courier New"/>
                <w:lang w:val="hy-AM"/>
              </w:rPr>
            </w:pPr>
            <w:r>
              <w:rPr>
                <w:rFonts w:ascii="GHEA Grapalat" w:eastAsia="MS Gothic" w:hAnsi="GHEA Grapalat" w:cs="Courier New"/>
                <w:lang w:val="hy-AM"/>
              </w:rPr>
              <w:lastRenderedPageBreak/>
              <w:t xml:space="preserve">ա/ Կարգի նախագծում՝ 2-րդ կետի 8)-րդ ենթակով նշված «հետվճար» հասկացության սահմանման մեջ նշվում է Միջոցառման մեջ սահմանված «բացառության մասին»։ Սակայն Միջոցառման ծրագրում բացառություն սահմանված չէ և նախագծով չի ավելացվում։ Անհրաժեշտ է Միջոցառման մեջ և Կարգի նախագծում տրված «Հետվճարի» մասին հաստակությունները համապատասխանեցնել։ </w:t>
            </w:r>
          </w:p>
          <w:p w:rsidR="004C3CE4" w:rsidRDefault="00045567">
            <w:pPr>
              <w:ind w:left="851" w:hanging="284"/>
              <w:contextualSpacing/>
              <w:jc w:val="both"/>
              <w:rPr>
                <w:rFonts w:ascii="GHEA Grapalat" w:eastAsia="MS Gothic" w:hAnsi="GHEA Grapalat" w:cs="Courier New"/>
                <w:lang w:val="hy-AM"/>
              </w:rPr>
            </w:pPr>
            <w:r>
              <w:rPr>
                <w:rFonts w:ascii="GHEA Grapalat" w:eastAsia="MS Gothic" w:hAnsi="GHEA Grapalat" w:cs="Courier New"/>
                <w:lang w:val="hy-AM"/>
              </w:rPr>
              <w:t>բ/ Միջոցառման մեջ «Հետվճարի» սահմանման մեջ շեշտադրվում են «ՊՈՍ-տերմինալ»-ով գործարքները, սակայն  Կարգի նախագծում այդ մասին չի հիշատակվում, որի արդյունքում մեկնաբանվում է որ հետվճարը տրամադրվում է նաև այլ միջոցներով քարտերով կատարված գործարքների դիմաց։  Առաջարկում ենք նախագծում և Միջոցառման մեջ հստակեցնել այս սկզբունքը։</w:t>
            </w:r>
          </w:p>
          <w:p w:rsidR="004C3CE4" w:rsidRDefault="00045567">
            <w:pPr>
              <w:numPr>
                <w:ilvl w:val="0"/>
                <w:numId w:val="49"/>
              </w:numPr>
              <w:ind w:left="709"/>
              <w:contextualSpacing/>
              <w:jc w:val="both"/>
              <w:rPr>
                <w:rFonts w:ascii="GHEA Grapalat" w:eastAsia="MS Gothic" w:hAnsi="GHEA Grapalat" w:cs="Courier New"/>
                <w:lang w:val="hy-AM"/>
              </w:rPr>
            </w:pPr>
            <w:r>
              <w:rPr>
                <w:rFonts w:ascii="GHEA Grapalat" w:eastAsia="Calibri" w:hAnsi="GHEA Grapalat" w:cs="Times New Roman"/>
                <w:color w:val="000000"/>
                <w:shd w:val="clear" w:color="auto" w:fill="FFFFFF"/>
                <w:lang w:val="hy-AM"/>
              </w:rPr>
              <w:t xml:space="preserve">Առաջարկում ենք Որոշման Նախագծում օգտագործել՝ </w:t>
            </w:r>
            <w:r>
              <w:rPr>
                <w:rFonts w:ascii="GHEA Grapalat" w:eastAsia="Calibri" w:hAnsi="GHEA Grapalat" w:cs="Sylfaen"/>
                <w:lang w:val="hy-AM"/>
              </w:rPr>
              <w:t>Սի-Բի-Էյ-Նեթ ֆինանսական տեղեկատվության փոխանակման համակարգի (այսուհետ՝ Սի-Բի-Էյ-Նեթ համակարգ) հասկացությունը։</w:t>
            </w:r>
          </w:p>
          <w:p w:rsidR="004C3CE4" w:rsidRDefault="004C3CE4">
            <w:pPr>
              <w:ind w:firstLine="567"/>
              <w:jc w:val="both"/>
              <w:rPr>
                <w:rFonts w:ascii="GHEA Grapalat" w:hAnsi="GHEA Grapalat"/>
                <w:color w:val="000000"/>
                <w:lang w:val="hy-AM"/>
              </w:rPr>
            </w:pPr>
          </w:p>
        </w:tc>
        <w:tc>
          <w:tcPr>
            <w:tcW w:w="4429" w:type="dxa"/>
          </w:tcPr>
          <w:p w:rsidR="004C3CE4" w:rsidRDefault="00045567">
            <w:pPr>
              <w:pStyle w:val="ListParagraph"/>
              <w:numPr>
                <w:ilvl w:val="0"/>
                <w:numId w:val="35"/>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lastRenderedPageBreak/>
              <w:t>Առաջարկությունն ընդունվել է</w:t>
            </w:r>
            <w:r>
              <w:rPr>
                <w:rFonts w:ascii="GHEA Grapalat" w:hAnsi="GHEA Grapalat" w:cs="Sylfaen"/>
                <w:color w:val="000000" w:themeColor="text1"/>
                <w:lang w:val="hy-AM"/>
              </w:rPr>
              <w:t>, կատարվել է փոփոխությունը</w:t>
            </w:r>
            <w:r>
              <w:rPr>
                <w:rFonts w:ascii="GHEA Grapalat" w:hAnsi="GHEA Grapalat"/>
                <w:color w:val="000000"/>
                <w:shd w:val="clear" w:color="auto" w:fill="FFFFFF"/>
                <w:lang w:val="hy-AM"/>
              </w:rPr>
              <w:t>,</w:t>
            </w:r>
          </w:p>
          <w:p w:rsidR="004C3CE4" w:rsidRDefault="00045567">
            <w:pPr>
              <w:pStyle w:val="ListParagraph"/>
              <w:numPr>
                <w:ilvl w:val="0"/>
                <w:numId w:val="35"/>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r>
              <w:rPr>
                <w:rFonts w:ascii="GHEA Grapalat" w:hAnsi="GHEA Grapalat"/>
                <w:color w:val="000000"/>
                <w:shd w:val="clear" w:color="auto" w:fill="FFFFFF"/>
                <w:lang w:val="hy-AM"/>
              </w:rPr>
              <w:t>,</w:t>
            </w:r>
          </w:p>
          <w:p w:rsidR="004C3CE4" w:rsidRDefault="00045567">
            <w:pPr>
              <w:pStyle w:val="ListParagraph"/>
              <w:numPr>
                <w:ilvl w:val="0"/>
                <w:numId w:val="35"/>
              </w:numPr>
              <w:tabs>
                <w:tab w:val="left" w:pos="1170"/>
              </w:tabs>
              <w:jc w:val="both"/>
              <w:rPr>
                <w:rFonts w:ascii="GHEA Grapalat" w:hAnsi="GHEA Grapalat"/>
                <w:bCs/>
                <w:color w:val="000000"/>
                <w:shd w:val="clear" w:color="auto" w:fill="FFFFFF"/>
                <w:lang w:val="hy-AM"/>
              </w:rPr>
            </w:pPr>
            <w:r>
              <w:rPr>
                <w:rFonts w:ascii="GHEA Grapalat" w:hAnsi="GHEA Grapalat" w:cs="Sylfaen"/>
                <w:b/>
                <w:color w:val="000000" w:themeColor="text1"/>
                <w:lang w:val="hy-AM"/>
              </w:rPr>
              <w:t>Առաջարկություններն ընդունվել են</w:t>
            </w:r>
            <w:r>
              <w:rPr>
                <w:rFonts w:ascii="GHEA Grapalat" w:hAnsi="GHEA Grapalat" w:cs="Sylfaen"/>
                <w:color w:val="000000" w:themeColor="text1"/>
                <w:lang w:val="hy-AM"/>
              </w:rPr>
              <w:t>, կատարվել են փոփոխությունները</w:t>
            </w:r>
            <w:r>
              <w:rPr>
                <w:rFonts w:ascii="GHEA Grapalat" w:hAnsi="GHEA Grapalat"/>
                <w:color w:val="000000"/>
                <w:shd w:val="clear" w:color="auto" w:fill="FFFFFF"/>
                <w:lang w:val="hy-AM"/>
              </w:rPr>
              <w:t>,</w:t>
            </w:r>
          </w:p>
          <w:p w:rsidR="004C3CE4" w:rsidRDefault="00045567">
            <w:pPr>
              <w:pStyle w:val="ListParagraph"/>
              <w:numPr>
                <w:ilvl w:val="0"/>
                <w:numId w:val="35"/>
              </w:numPr>
              <w:tabs>
                <w:tab w:val="left" w:pos="1170"/>
              </w:tabs>
              <w:jc w:val="both"/>
              <w:rPr>
                <w:rFonts w:ascii="GHEA Grapalat" w:hAnsi="GHEA Grapalat"/>
                <w:lang w:val="hy-AM"/>
              </w:rPr>
            </w:pPr>
            <w:r>
              <w:rPr>
                <w:rFonts w:ascii="GHEA Grapalat" w:hAnsi="GHEA Grapalat" w:cs="Sylfaen"/>
                <w:b/>
                <w:color w:val="000000" w:themeColor="text1"/>
                <w:lang w:val="hy-AM"/>
              </w:rPr>
              <w:t>Առաջարկությունն ընդունվել է</w:t>
            </w:r>
            <w:r>
              <w:rPr>
                <w:rFonts w:ascii="GHEA Grapalat" w:hAnsi="GHEA Grapalat" w:cs="Sylfaen"/>
                <w:color w:val="000000" w:themeColor="text1"/>
                <w:lang w:val="hy-AM"/>
              </w:rPr>
              <w:t>, կատարվել է փոփոխությունը։</w:t>
            </w:r>
          </w:p>
        </w:tc>
      </w:tr>
      <w:tr w:rsidR="004C3CE4">
        <w:trPr>
          <w:jc w:val="center"/>
        </w:trPr>
        <w:tc>
          <w:tcPr>
            <w:tcW w:w="9776" w:type="dxa"/>
          </w:tcPr>
          <w:p w:rsidR="004C3CE4" w:rsidRDefault="00045567">
            <w:pPr>
              <w:ind w:left="360"/>
              <w:jc w:val="center"/>
              <w:rPr>
                <w:rFonts w:ascii="GHEA Grapalat" w:hAnsi="GHEA Grapalat"/>
                <w:b/>
                <w:lang w:val="hy-AM"/>
              </w:rPr>
            </w:pPr>
            <w:r>
              <w:rPr>
                <w:rFonts w:ascii="GHEA Grapalat" w:hAnsi="GHEA Grapalat"/>
                <w:b/>
                <w:lang w:val="hy-AM"/>
              </w:rPr>
              <w:lastRenderedPageBreak/>
              <w:t>3. ՀՀ Արդարադատության նախարարություն</w:t>
            </w:r>
          </w:p>
        </w:tc>
        <w:tc>
          <w:tcPr>
            <w:tcW w:w="4429" w:type="dxa"/>
          </w:tcPr>
          <w:p w:rsidR="004C3CE4" w:rsidRDefault="00045567">
            <w:pPr>
              <w:jc w:val="both"/>
              <w:rPr>
                <w:rFonts w:ascii="GHEA Grapalat" w:hAnsi="GHEA Grapalat"/>
                <w:lang w:val="hy-AM"/>
              </w:rPr>
            </w:pPr>
            <w:r>
              <w:rPr>
                <w:rFonts w:ascii="GHEA Grapalat" w:hAnsi="GHEA Grapalat"/>
                <w:lang w:val="hy-AM"/>
              </w:rPr>
              <w:t>21.06.2022</w:t>
            </w:r>
            <w:r>
              <w:rPr>
                <w:rFonts w:ascii="GHEA Grapalat" w:hAnsi="GHEA Grapalat"/>
                <w:lang w:val="hy-AM"/>
              </w:rPr>
              <w:br/>
              <w:t>Մ/24195-2022</w:t>
            </w:r>
          </w:p>
        </w:tc>
      </w:tr>
      <w:tr w:rsidR="004C3CE4" w:rsidRPr="007E7B62">
        <w:trPr>
          <w:jc w:val="center"/>
        </w:trPr>
        <w:tc>
          <w:tcPr>
            <w:tcW w:w="9776" w:type="dxa"/>
          </w:tcPr>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«Անկանխիկ եղանակով վճարումներից կենսաթոշակառուներին տրամադրվող հետվճարը հաշվարկելու և տրամադրելու կարգը հաստատելու և Հայաստանի Հանրապետության Կառավարության 2022 թվականի մայիսի 19-ի N 723-Լ որոշման մեջ փոփոխություններ և լրացումներ կատարելու մասին» ՀՀ կառավարության որոշման նախագծի (այսուհետ՝ Նախագիծ) վերաբերյալ հայտնում ենք հետևյալը.</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 Նախագծի նախաբանում անհրաժեշտ է հղում կատարել նաև «Նորմատիվ իրավական ակտերի մասին» օրենքի 33-րդ կամ 34-րդ հոդվածներին:</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2. Նախագծի 2-րդ կետում անհրաժեշտ է սահմանել ՀՀ կառավարության որոշման լրիվ անվանումը՝ հիմք ընդունելով «Նորմատիվ իրավական ակտերի մասին» օրենքի 17-րդ հոդվածի 8-րդ մասը, որի համաձայն՝ 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w:t>
            </w:r>
            <w:r>
              <w:rPr>
                <w:rFonts w:ascii="Calibri" w:hAnsi="Calibri" w:cs="Calibri"/>
                <w:color w:val="000000"/>
                <w:shd w:val="clear" w:color="auto" w:fill="FFFFFF"/>
                <w:lang w:val="hy-AM"/>
              </w:rPr>
              <w:t> </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3. Նախագծի 2-րդ կետի 1-ին ենթակետով նախատեսվում է Հայաստանի Հանրապետության կառավարության 2022 թվականի մայիսի 19-ի թիվ 723-Լ որոշմամբ (այսուհետ՝ Որոշում) </w:t>
            </w:r>
            <w:r>
              <w:rPr>
                <w:rFonts w:ascii="GHEA Grapalat" w:hAnsi="GHEA Grapalat"/>
                <w:color w:val="000000"/>
                <w:shd w:val="clear" w:color="auto" w:fill="FFFFFF"/>
                <w:lang w:val="hy-AM"/>
              </w:rPr>
              <w:lastRenderedPageBreak/>
              <w:t>հաստատված հավելվածի 4-րդ կետի 7-րդ ենթակետը «բանկի բանկոմատներում» բառերից հետո լրացնել «և նույն բանկի էլեկտրոնային հավելվածի միջոցով» բառերով։</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Այս առումով, անհրաժեշտ է նշված լրացումը նախատեսել նաև Որոշման համանման  կարգավորումներում (Մասնավորապես Որոշմամբ հաստատված հավելվածի 11-րդ կետում):</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4. Նախագծի 2-րդ կետի 4-րդ ենթակետում «ՊՈՍ-տերմինալ» արտահայտությունը անհրաժեշտ է խմբագրել՝ հիմք ընդունելով «Նորմատիվ իրավական ակտերի մասին» օրենքի 21-րդ հոդվածի 2-րդ մասը, որի համաձայն՝ արգելվում են նորմատիվ իրավական ակտում կատարել բառերի կամ տերմինների անհարկի կրճատումներ, ինչպես նաև բառերի կամ տերմինների հապավումներ:</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Սույն դիտողությունը վերաբերում է նաև Նախագծով հաստատվող հավելվածի (ահշյսուհետ՝ Հավելված) 2-րդ կետի 8-րդ ենթակետին:</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5. Հարկ է նշել նաև, որ քննարկվող ենթակետում անհրաժեշտ է հանել «, որտեղ օգտագործվում է՝» բառերը:</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6. Բացի այդ, նշված ենթակետն անհրաժեշտ է սահմանել Նախագծի 2-րդ կետի 1-ին ենթակետից հետո:</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7. Նախագծի 4-րդ կետի 2-րդ ենթակետում անհրաժեշտ է հստակեցնել, թե Հայաստանի Հանրապետության աշխատանքի և սոցիալական հարցերի նախարարը երբվանից սկսված 5 աշխատանքային օրում պետք է ներկայացնի համապատասխան առաջարկությունը:</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8. Հավելվածի 2-րդ կետի 8-րդ ենթակետում նշված «և/կամ» բառը առաջարկում ենք փոխարինել «և» կամ «կամ» բառով՝ հիմք ընդունելով «Նորմատիվ իրավական ակտերի մասին» օրենքի 16-րդ հոդվածի 5-րդ մասը, համաձայն որի՝</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եթե նորմատիվ իրավական ակտում նշված նորմի կիրառումը պայմանավորված է ստորակետերով կամ «և» կամ «ու», ինչպես նաև «կամ» շաղկապով բաժանված պայմաններով, ապա ստորակետերով կամ «և» կամ «ու» շաղկապներով բաժանված պայմանների մասով այդ նորմի կիրառման համար անհրաժեշտ է բոլոր պայմանների առկայությունը, իսկ «կամ» շաղկապով բաժանված պայմանների մասով բավական է թվարկված պայմաններից առնվազն մեկի առկայությունը:</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Սույն դիտողությունը վերաբերում է նաև Նախագծի համանման կարգավորումներին:</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9. Հավելվածի 6-րդ կետում «հաշվի է առնվում» բառերն անհրաժեշտ է փոխարինել «հաշվի են առնում» բառերով:</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10. Հավելվածի 9-րդ կետի 2-րդ ենթակետում «մասնակցության գումարը» բառերն անհրաժեշտ է փոխարինել «մասնակցության գումարի» բառերով:</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11. Նախագծի 10-րդ կետում անհրաժեշտ է հստակեցնել, թե ինչ ընթացակարգով է Հայաստանի Հանրապետության աշխատանքի և սոցիալական հարցերի նախարարության միասնական սոցիալական ծառայությունը Նորք սոցիալական ծառայությունների տեխնոլո</w:t>
            </w:r>
            <w:r>
              <w:rPr>
                <w:rFonts w:ascii="GHEA Grapalat" w:hAnsi="GHEA Grapalat"/>
                <w:color w:val="000000"/>
                <w:shd w:val="clear" w:color="auto" w:fill="FFFFFF"/>
                <w:lang w:val="hy-AM"/>
              </w:rPr>
              <w:softHyphen/>
              <w:t>գիա</w:t>
            </w:r>
            <w:r>
              <w:rPr>
                <w:rFonts w:ascii="GHEA Grapalat" w:hAnsi="GHEA Grapalat"/>
                <w:color w:val="000000"/>
                <w:shd w:val="clear" w:color="auto" w:fill="FFFFFF"/>
                <w:lang w:val="hy-AM"/>
              </w:rPr>
              <w:softHyphen/>
              <w:t>կան և իրազեկման կենտրոն հիմնադրամին նախապես տրամադրելու տեղեկատվություն:</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12. Բացի այդ, նշված կետը շարադասության տեսանկյունից խմբագրման կարիք ունի:</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13. Հավելվածի 14-րդ կետով սահմանված կարգավորումն ունի լրացուցիչ պարզաբանման կարիք: </w:t>
            </w:r>
          </w:p>
          <w:p w:rsidR="004C3CE4" w:rsidRDefault="00045567">
            <w:pPr>
              <w:spacing w:line="259" w:lineRule="auto"/>
              <w:ind w:firstLine="284"/>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14. Հավելվածի 15-րդ կետում «օրենքով» բառից առաջ անհրաժեշտ է հանել «Հայաստանի Հանրապետության» բառերը՝ հիմք ընդունելով «Նորմատիվ իրավական ակտերի մասին» օրենքի 18-րդ հոդվածի 3-րդ մասը, որի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w:t>
            </w:r>
          </w:p>
          <w:p w:rsidR="004C3CE4" w:rsidRDefault="004C3CE4">
            <w:pPr>
              <w:spacing w:line="259" w:lineRule="auto"/>
              <w:ind w:firstLine="284"/>
              <w:jc w:val="both"/>
              <w:rPr>
                <w:rFonts w:ascii="GHEA Grapalat" w:hAnsi="GHEA Grapalat"/>
                <w:color w:val="000000"/>
                <w:shd w:val="clear" w:color="auto" w:fill="FFFFFF"/>
                <w:lang w:val="hy-AM"/>
              </w:rPr>
            </w:pPr>
          </w:p>
          <w:p w:rsidR="004C3CE4" w:rsidRDefault="004C3CE4">
            <w:pPr>
              <w:spacing w:line="259" w:lineRule="auto"/>
              <w:ind w:firstLine="284"/>
              <w:jc w:val="both"/>
              <w:rPr>
                <w:rFonts w:ascii="GHEA Grapalat" w:hAnsi="GHEA Grapalat"/>
                <w:color w:val="000000"/>
                <w:shd w:val="clear" w:color="auto" w:fill="FFFFFF"/>
                <w:lang w:val="hy-AM"/>
              </w:rPr>
            </w:pPr>
          </w:p>
        </w:tc>
        <w:tc>
          <w:tcPr>
            <w:tcW w:w="4429" w:type="dxa"/>
          </w:tcPr>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lastRenderedPageBreak/>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lastRenderedPageBreak/>
              <w:t>Առաջարկն ընդունվել է,</w:t>
            </w:r>
            <w:r>
              <w:rPr>
                <w:rFonts w:ascii="GHEA Grapalat" w:hAnsi="GHEA Grapalat"/>
                <w:lang w:val="hy-AM"/>
              </w:rPr>
              <w:t xml:space="preserve"> կատարվել են փոփոխություններ։</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Առաջարկն ընդունվել է,</w:t>
            </w:r>
            <w:r>
              <w:rPr>
                <w:rFonts w:ascii="GHEA Grapalat" w:hAnsi="GHEA Grapalat"/>
                <w:lang w:val="hy-AM"/>
              </w:rPr>
              <w:t xml:space="preserve"> կատարվել են փոփոխությունները։</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 xml:space="preserve">Առաջարկն ընդունվել է, </w:t>
            </w:r>
            <w:r>
              <w:rPr>
                <w:rFonts w:ascii="GHEA Grapalat" w:hAnsi="GHEA Grapalat"/>
                <w:lang w:val="hy-AM"/>
              </w:rPr>
              <w:t>10-րդ կետը վերաշարադրվել է։</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 xml:space="preserve">Առաջարկն ընդունվել է, </w:t>
            </w:r>
            <w:r>
              <w:rPr>
                <w:rFonts w:ascii="GHEA Grapalat" w:hAnsi="GHEA Grapalat"/>
                <w:lang w:val="hy-AM"/>
              </w:rPr>
              <w:t>10-րդ կետը վերաշարադրվել է։</w:t>
            </w:r>
          </w:p>
          <w:p w:rsidR="004C3CE4" w:rsidRDefault="00045567">
            <w:pPr>
              <w:pStyle w:val="ListParagraph"/>
              <w:numPr>
                <w:ilvl w:val="0"/>
                <w:numId w:val="48"/>
              </w:numPr>
              <w:tabs>
                <w:tab w:val="left" w:pos="1170"/>
              </w:tabs>
              <w:ind w:left="376"/>
              <w:jc w:val="both"/>
              <w:rPr>
                <w:rFonts w:ascii="GHEA Grapalat" w:hAnsi="GHEA Grapalat"/>
                <w:lang w:val="hy-AM"/>
              </w:rPr>
            </w:pPr>
            <w:r>
              <w:rPr>
                <w:rFonts w:ascii="GHEA Grapalat" w:hAnsi="GHEA Grapalat"/>
                <w:b/>
                <w:lang w:val="hy-AM"/>
              </w:rPr>
              <w:t xml:space="preserve">Առաջարկն ընդունվել է, </w:t>
            </w:r>
            <w:r>
              <w:rPr>
                <w:rFonts w:ascii="GHEA Grapalat" w:hAnsi="GHEA Grapalat"/>
                <w:lang w:val="hy-AM"/>
              </w:rPr>
              <w:t>կատարվել են փոփոխությունները։</w:t>
            </w:r>
          </w:p>
        </w:tc>
      </w:tr>
    </w:tbl>
    <w:p w:rsidR="004C3CE4" w:rsidRDefault="004C3CE4">
      <w:pPr>
        <w:shd w:val="clear" w:color="auto" w:fill="FFFFFF"/>
        <w:spacing w:after="0" w:line="240" w:lineRule="auto"/>
        <w:jc w:val="center"/>
        <w:rPr>
          <w:rFonts w:ascii="GHEA Grapalat" w:eastAsia="Times New Roman" w:hAnsi="GHEA Grapalat" w:cs="Sylfaen"/>
          <w:b/>
          <w:lang w:val="hy-AM" w:eastAsia="ru-RU"/>
        </w:rPr>
      </w:pPr>
    </w:p>
    <w:p w:rsidR="004C3CE4" w:rsidRDefault="004C3CE4">
      <w:pPr>
        <w:shd w:val="clear" w:color="auto" w:fill="FFFFFF"/>
        <w:spacing w:after="0" w:line="240" w:lineRule="auto"/>
        <w:jc w:val="center"/>
        <w:rPr>
          <w:rFonts w:ascii="GHEA Grapalat" w:eastAsia="Times New Roman" w:hAnsi="GHEA Grapalat" w:cs="Sylfaen"/>
          <w:b/>
          <w:lang w:val="hy-AM" w:eastAsia="ru-RU"/>
        </w:rPr>
      </w:pPr>
    </w:p>
    <w:p w:rsidR="004C3CE4" w:rsidRDefault="004C3CE4">
      <w:pPr>
        <w:shd w:val="clear" w:color="auto" w:fill="FFFFFF"/>
        <w:spacing w:after="0" w:line="240" w:lineRule="auto"/>
        <w:jc w:val="center"/>
        <w:rPr>
          <w:rFonts w:ascii="GHEA Grapalat" w:hAnsi="GHEA Grapalat"/>
          <w:b/>
          <w:bCs/>
          <w:color w:val="000000"/>
          <w:lang w:val="hy-AM"/>
        </w:rPr>
      </w:pPr>
    </w:p>
    <w:p w:rsidR="004C3CE4" w:rsidRDefault="004C3CE4">
      <w:pPr>
        <w:tabs>
          <w:tab w:val="left" w:pos="5490"/>
        </w:tabs>
        <w:spacing w:after="0"/>
        <w:rPr>
          <w:rFonts w:ascii="GHEA Grapalat" w:hAnsi="GHEA Grapalat"/>
          <w:lang w:val="hy-AM"/>
        </w:rPr>
      </w:pPr>
    </w:p>
    <w:sectPr w:rsidR="004C3CE4">
      <w:pgSz w:w="15840" w:h="12240" w:orient="landscape"/>
      <w:pgMar w:top="1530" w:right="709"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6311" w:rsidRDefault="00DE6311">
      <w:pPr>
        <w:spacing w:after="0" w:line="240" w:lineRule="auto"/>
      </w:pPr>
      <w:r>
        <w:separator/>
      </w:r>
    </w:p>
  </w:endnote>
  <w:endnote w:type="continuationSeparator" w:id="0">
    <w:p w:rsidR="00DE6311" w:rsidRDefault="00DE6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6311" w:rsidRDefault="00DE6311">
      <w:pPr>
        <w:spacing w:after="0" w:line="240" w:lineRule="auto"/>
      </w:pPr>
      <w:r>
        <w:separator/>
      </w:r>
    </w:p>
  </w:footnote>
  <w:footnote w:type="continuationSeparator" w:id="0">
    <w:p w:rsidR="00DE6311" w:rsidRDefault="00DE6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 w15:restartNumberingAfterBreak="0">
    <w:nsid w:val="02A6549C"/>
    <w:multiLevelType w:val="hybridMultilevel"/>
    <w:tmpl w:val="9F1A5A3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27340C"/>
    <w:multiLevelType w:val="hybridMultilevel"/>
    <w:tmpl w:val="A3E04AC2"/>
    <w:lvl w:ilvl="0" w:tplc="306E62EE">
      <w:start w:val="3"/>
      <w:numFmt w:val="decimal"/>
      <w:lvlText w:val="%1."/>
      <w:lvlJc w:val="left"/>
      <w:pPr>
        <w:ind w:left="2985" w:hanging="360"/>
      </w:pPr>
      <w:rPr>
        <w:rFonts w:hint="default"/>
      </w:rPr>
    </w:lvl>
    <w:lvl w:ilvl="1" w:tplc="04090019" w:tentative="1">
      <w:start w:val="1"/>
      <w:numFmt w:val="lowerLetter"/>
      <w:lvlText w:val="%2."/>
      <w:lvlJc w:val="left"/>
      <w:pPr>
        <w:ind w:left="3705" w:hanging="360"/>
      </w:pPr>
    </w:lvl>
    <w:lvl w:ilvl="2" w:tplc="0409001B" w:tentative="1">
      <w:start w:val="1"/>
      <w:numFmt w:val="lowerRoman"/>
      <w:lvlText w:val="%3."/>
      <w:lvlJc w:val="right"/>
      <w:pPr>
        <w:ind w:left="4425" w:hanging="180"/>
      </w:pPr>
    </w:lvl>
    <w:lvl w:ilvl="3" w:tplc="0409000F" w:tentative="1">
      <w:start w:val="1"/>
      <w:numFmt w:val="decimal"/>
      <w:lvlText w:val="%4."/>
      <w:lvlJc w:val="left"/>
      <w:pPr>
        <w:ind w:left="5145" w:hanging="360"/>
      </w:pPr>
    </w:lvl>
    <w:lvl w:ilvl="4" w:tplc="04090019" w:tentative="1">
      <w:start w:val="1"/>
      <w:numFmt w:val="lowerLetter"/>
      <w:lvlText w:val="%5."/>
      <w:lvlJc w:val="left"/>
      <w:pPr>
        <w:ind w:left="5865" w:hanging="360"/>
      </w:pPr>
    </w:lvl>
    <w:lvl w:ilvl="5" w:tplc="0409001B" w:tentative="1">
      <w:start w:val="1"/>
      <w:numFmt w:val="lowerRoman"/>
      <w:lvlText w:val="%6."/>
      <w:lvlJc w:val="right"/>
      <w:pPr>
        <w:ind w:left="6585" w:hanging="180"/>
      </w:pPr>
    </w:lvl>
    <w:lvl w:ilvl="6" w:tplc="0409000F" w:tentative="1">
      <w:start w:val="1"/>
      <w:numFmt w:val="decimal"/>
      <w:lvlText w:val="%7."/>
      <w:lvlJc w:val="left"/>
      <w:pPr>
        <w:ind w:left="7305" w:hanging="360"/>
      </w:pPr>
    </w:lvl>
    <w:lvl w:ilvl="7" w:tplc="04090019" w:tentative="1">
      <w:start w:val="1"/>
      <w:numFmt w:val="lowerLetter"/>
      <w:lvlText w:val="%8."/>
      <w:lvlJc w:val="left"/>
      <w:pPr>
        <w:ind w:left="8025" w:hanging="360"/>
      </w:pPr>
    </w:lvl>
    <w:lvl w:ilvl="8" w:tplc="0409001B" w:tentative="1">
      <w:start w:val="1"/>
      <w:numFmt w:val="lowerRoman"/>
      <w:lvlText w:val="%9."/>
      <w:lvlJc w:val="right"/>
      <w:pPr>
        <w:ind w:left="8745" w:hanging="180"/>
      </w:pPr>
    </w:lvl>
  </w:abstractNum>
  <w:abstractNum w:abstractNumId="7"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10" w15:restartNumberingAfterBreak="0">
    <w:nsid w:val="0995542A"/>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1" w15:restartNumberingAfterBreak="0">
    <w:nsid w:val="0C041BCD"/>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2" w15:restartNumberingAfterBreak="0">
    <w:nsid w:val="0D6B78A6"/>
    <w:multiLevelType w:val="hybridMultilevel"/>
    <w:tmpl w:val="F68C0282"/>
    <w:lvl w:ilvl="0" w:tplc="8C6E02E6">
      <w:start w:val="1"/>
      <w:numFmt w:val="decimal"/>
      <w:lvlText w:val="%1."/>
      <w:lvlJc w:val="left"/>
      <w:pPr>
        <w:ind w:left="810" w:hanging="45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4" w15:restartNumberingAfterBreak="0">
    <w:nsid w:val="0DBD3DCC"/>
    <w:multiLevelType w:val="hybridMultilevel"/>
    <w:tmpl w:val="04C44576"/>
    <w:lvl w:ilvl="0" w:tplc="FA2AD0C8">
      <w:start w:val="1"/>
      <w:numFmt w:val="decimal"/>
      <w:lvlText w:val="%1."/>
      <w:lvlJc w:val="left"/>
      <w:pPr>
        <w:ind w:left="879" w:hanging="360"/>
      </w:pPr>
      <w:rPr>
        <w:rFonts w:cs="Sylfaen" w:hint="default"/>
        <w:b/>
        <w:color w:val="000000" w:themeColor="text1"/>
      </w:rPr>
    </w:lvl>
    <w:lvl w:ilvl="1" w:tplc="04090019" w:tentative="1">
      <w:start w:val="1"/>
      <w:numFmt w:val="lowerLetter"/>
      <w:lvlText w:val="%2."/>
      <w:lvlJc w:val="left"/>
      <w:pPr>
        <w:ind w:left="1599" w:hanging="360"/>
      </w:pPr>
    </w:lvl>
    <w:lvl w:ilvl="2" w:tplc="0409001B" w:tentative="1">
      <w:start w:val="1"/>
      <w:numFmt w:val="lowerRoman"/>
      <w:lvlText w:val="%3."/>
      <w:lvlJc w:val="right"/>
      <w:pPr>
        <w:ind w:left="2319" w:hanging="180"/>
      </w:pPr>
    </w:lvl>
    <w:lvl w:ilvl="3" w:tplc="0409000F" w:tentative="1">
      <w:start w:val="1"/>
      <w:numFmt w:val="decimal"/>
      <w:lvlText w:val="%4."/>
      <w:lvlJc w:val="left"/>
      <w:pPr>
        <w:ind w:left="3039" w:hanging="360"/>
      </w:pPr>
    </w:lvl>
    <w:lvl w:ilvl="4" w:tplc="04090019" w:tentative="1">
      <w:start w:val="1"/>
      <w:numFmt w:val="lowerLetter"/>
      <w:lvlText w:val="%5."/>
      <w:lvlJc w:val="left"/>
      <w:pPr>
        <w:ind w:left="3759" w:hanging="360"/>
      </w:pPr>
    </w:lvl>
    <w:lvl w:ilvl="5" w:tplc="0409001B" w:tentative="1">
      <w:start w:val="1"/>
      <w:numFmt w:val="lowerRoman"/>
      <w:lvlText w:val="%6."/>
      <w:lvlJc w:val="right"/>
      <w:pPr>
        <w:ind w:left="4479" w:hanging="180"/>
      </w:pPr>
    </w:lvl>
    <w:lvl w:ilvl="6" w:tplc="0409000F" w:tentative="1">
      <w:start w:val="1"/>
      <w:numFmt w:val="decimal"/>
      <w:lvlText w:val="%7."/>
      <w:lvlJc w:val="left"/>
      <w:pPr>
        <w:ind w:left="5199" w:hanging="360"/>
      </w:pPr>
    </w:lvl>
    <w:lvl w:ilvl="7" w:tplc="04090019" w:tentative="1">
      <w:start w:val="1"/>
      <w:numFmt w:val="lowerLetter"/>
      <w:lvlText w:val="%8."/>
      <w:lvlJc w:val="left"/>
      <w:pPr>
        <w:ind w:left="5919" w:hanging="360"/>
      </w:pPr>
    </w:lvl>
    <w:lvl w:ilvl="8" w:tplc="0409001B" w:tentative="1">
      <w:start w:val="1"/>
      <w:numFmt w:val="lowerRoman"/>
      <w:lvlText w:val="%9."/>
      <w:lvlJc w:val="right"/>
      <w:pPr>
        <w:ind w:left="6639" w:hanging="180"/>
      </w:pPr>
    </w:lvl>
  </w:abstractNum>
  <w:abstractNum w:abstractNumId="15" w15:restartNumberingAfterBreak="0">
    <w:nsid w:val="0E627EF5"/>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6"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7" w15:restartNumberingAfterBreak="0">
    <w:nsid w:val="12296718"/>
    <w:multiLevelType w:val="hybridMultilevel"/>
    <w:tmpl w:val="5A0E2546"/>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8" w15:restartNumberingAfterBreak="0">
    <w:nsid w:val="15756C4D"/>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19" w15:restartNumberingAfterBreak="0">
    <w:nsid w:val="18077345"/>
    <w:multiLevelType w:val="hybridMultilevel"/>
    <w:tmpl w:val="BCEE9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ECF357A"/>
    <w:multiLevelType w:val="hybridMultilevel"/>
    <w:tmpl w:val="069CE922"/>
    <w:lvl w:ilvl="0" w:tplc="DDEEA276">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8625957"/>
    <w:multiLevelType w:val="hybridMultilevel"/>
    <w:tmpl w:val="AA9EF846"/>
    <w:lvl w:ilvl="0" w:tplc="1A7A2C6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6"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41F9406E"/>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29"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0"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1"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2" w15:restartNumberingAfterBreak="0">
    <w:nsid w:val="482C74AF"/>
    <w:multiLevelType w:val="hybridMultilevel"/>
    <w:tmpl w:val="2542A5CE"/>
    <w:lvl w:ilvl="0" w:tplc="C3729C14">
      <w:start w:val="1"/>
      <w:numFmt w:val="decimal"/>
      <w:lvlText w:val="%1)"/>
      <w:lvlJc w:val="left"/>
      <w:pPr>
        <w:ind w:left="1260" w:hanging="360"/>
      </w:pPr>
      <w:rPr>
        <w:rFonts w:cs="GHEA Grapalat" w:hint="default"/>
        <w:b w:val="0"/>
        <w:color w:val="auto"/>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1C66749"/>
    <w:multiLevelType w:val="hybridMultilevel"/>
    <w:tmpl w:val="BCEE96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38039E"/>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39" w15:restartNumberingAfterBreak="0">
    <w:nsid w:val="61942394"/>
    <w:multiLevelType w:val="hybridMultilevel"/>
    <w:tmpl w:val="5A0E2546"/>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40"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2"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3"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44" w15:restartNumberingAfterBreak="0">
    <w:nsid w:val="7803637F"/>
    <w:multiLevelType w:val="hybridMultilevel"/>
    <w:tmpl w:val="A8FAFFE2"/>
    <w:lvl w:ilvl="0" w:tplc="60120308">
      <w:start w:val="1"/>
      <w:numFmt w:val="decimal"/>
      <w:lvlText w:val="%1."/>
      <w:lvlJc w:val="left"/>
      <w:pPr>
        <w:ind w:left="411" w:hanging="375"/>
      </w:pPr>
      <w:rPr>
        <w:rFonts w:hint="default"/>
      </w:rPr>
    </w:lvl>
    <w:lvl w:ilvl="1" w:tplc="04090019" w:tentative="1">
      <w:start w:val="1"/>
      <w:numFmt w:val="lowerLetter"/>
      <w:lvlText w:val="%2."/>
      <w:lvlJc w:val="left"/>
      <w:pPr>
        <w:ind w:left="1116" w:hanging="360"/>
      </w:pPr>
    </w:lvl>
    <w:lvl w:ilvl="2" w:tplc="0409001B" w:tentative="1">
      <w:start w:val="1"/>
      <w:numFmt w:val="lowerRoman"/>
      <w:lvlText w:val="%3."/>
      <w:lvlJc w:val="right"/>
      <w:pPr>
        <w:ind w:left="1836" w:hanging="180"/>
      </w:pPr>
    </w:lvl>
    <w:lvl w:ilvl="3" w:tplc="0409000F" w:tentative="1">
      <w:start w:val="1"/>
      <w:numFmt w:val="decimal"/>
      <w:lvlText w:val="%4."/>
      <w:lvlJc w:val="left"/>
      <w:pPr>
        <w:ind w:left="2556" w:hanging="360"/>
      </w:pPr>
    </w:lvl>
    <w:lvl w:ilvl="4" w:tplc="04090019" w:tentative="1">
      <w:start w:val="1"/>
      <w:numFmt w:val="lowerLetter"/>
      <w:lvlText w:val="%5."/>
      <w:lvlJc w:val="left"/>
      <w:pPr>
        <w:ind w:left="3276" w:hanging="360"/>
      </w:pPr>
    </w:lvl>
    <w:lvl w:ilvl="5" w:tplc="0409001B" w:tentative="1">
      <w:start w:val="1"/>
      <w:numFmt w:val="lowerRoman"/>
      <w:lvlText w:val="%6."/>
      <w:lvlJc w:val="right"/>
      <w:pPr>
        <w:ind w:left="3996" w:hanging="180"/>
      </w:pPr>
    </w:lvl>
    <w:lvl w:ilvl="6" w:tplc="0409000F" w:tentative="1">
      <w:start w:val="1"/>
      <w:numFmt w:val="decimal"/>
      <w:lvlText w:val="%7."/>
      <w:lvlJc w:val="left"/>
      <w:pPr>
        <w:ind w:left="4716" w:hanging="360"/>
      </w:pPr>
    </w:lvl>
    <w:lvl w:ilvl="7" w:tplc="04090019" w:tentative="1">
      <w:start w:val="1"/>
      <w:numFmt w:val="lowerLetter"/>
      <w:lvlText w:val="%8."/>
      <w:lvlJc w:val="left"/>
      <w:pPr>
        <w:ind w:left="5436" w:hanging="360"/>
      </w:pPr>
    </w:lvl>
    <w:lvl w:ilvl="8" w:tplc="0409001B" w:tentative="1">
      <w:start w:val="1"/>
      <w:numFmt w:val="lowerRoman"/>
      <w:lvlText w:val="%9."/>
      <w:lvlJc w:val="right"/>
      <w:pPr>
        <w:ind w:left="6156" w:hanging="180"/>
      </w:pPr>
    </w:lvl>
  </w:abstractNum>
  <w:abstractNum w:abstractNumId="4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37"/>
  </w:num>
  <w:num w:numId="2">
    <w:abstractNumId w:val="26"/>
  </w:num>
  <w:num w:numId="3">
    <w:abstractNumId w:val="0"/>
  </w:num>
  <w:num w:numId="4">
    <w:abstractNumId w:val="21"/>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1"/>
  </w:num>
  <w:num w:numId="10">
    <w:abstractNumId w:val="29"/>
  </w:num>
  <w:num w:numId="11">
    <w:abstractNumId w:val="43"/>
  </w:num>
  <w:num w:numId="12">
    <w:abstractNumId w:val="25"/>
  </w:num>
  <w:num w:numId="13">
    <w:abstractNumId w:val="4"/>
  </w:num>
  <w:num w:numId="14">
    <w:abstractNumId w:val="45"/>
  </w:num>
  <w:num w:numId="15">
    <w:abstractNumId w:val="31"/>
  </w:num>
  <w:num w:numId="16">
    <w:abstractNumId w:val="30"/>
  </w:num>
  <w:num w:numId="17">
    <w:abstractNumId w:val="13"/>
  </w:num>
  <w:num w:numId="18">
    <w:abstractNumId w:val="8"/>
  </w:num>
  <w:num w:numId="19">
    <w:abstractNumId w:val="22"/>
  </w:num>
  <w:num w:numId="20">
    <w:abstractNumId w:val="41"/>
  </w:num>
  <w:num w:numId="21">
    <w:abstractNumId w:val="42"/>
  </w:num>
  <w:num w:numId="22">
    <w:abstractNumId w:val="5"/>
  </w:num>
  <w:num w:numId="23">
    <w:abstractNumId w:val="3"/>
  </w:num>
  <w:num w:numId="24">
    <w:abstractNumId w:val="23"/>
  </w:num>
  <w:num w:numId="25">
    <w:abstractNumId w:val="35"/>
  </w:num>
  <w:num w:numId="26">
    <w:abstractNumId w:val="33"/>
  </w:num>
  <w:num w:numId="27">
    <w:abstractNumId w:val="19"/>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num>
  <w:num w:numId="30">
    <w:abstractNumId w:val="7"/>
  </w:num>
  <w:num w:numId="31">
    <w:abstractNumId w:val="6"/>
  </w:num>
  <w:num w:numId="32">
    <w:abstractNumId w:val="9"/>
  </w:num>
  <w:num w:numId="33">
    <w:abstractNumId w:val="24"/>
  </w:num>
  <w:num w:numId="34">
    <w:abstractNumId w:val="32"/>
  </w:num>
  <w:num w:numId="35">
    <w:abstractNumId w:val="44"/>
  </w:num>
  <w:num w:numId="36">
    <w:abstractNumId w:val="14"/>
  </w:num>
  <w:num w:numId="37">
    <w:abstractNumId w:val="11"/>
  </w:num>
  <w:num w:numId="38">
    <w:abstractNumId w:val="10"/>
  </w:num>
  <w:num w:numId="39">
    <w:abstractNumId w:val="15"/>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7"/>
  </w:num>
  <w:num w:numId="42">
    <w:abstractNumId w:val="38"/>
  </w:num>
  <w:num w:numId="43">
    <w:abstractNumId w:val="18"/>
  </w:num>
  <w:num w:numId="44">
    <w:abstractNumId w:val="20"/>
  </w:num>
  <w:num w:numId="45">
    <w:abstractNumId w:val="28"/>
  </w:num>
  <w:num w:numId="46">
    <w:abstractNumId w:val="2"/>
  </w:num>
  <w:num w:numId="47">
    <w:abstractNumId w:val="34"/>
  </w:num>
  <w:num w:numId="48">
    <w:abstractNumId w:val="12"/>
  </w:num>
  <w:num w:numId="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CE4"/>
    <w:rsid w:val="00045567"/>
    <w:rsid w:val="004C3CE4"/>
    <w:rsid w:val="00753228"/>
    <w:rsid w:val="007E7B62"/>
    <w:rsid w:val="00DE6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pPr>
      <w:ind w:left="720"/>
      <w:contextualSpacing/>
    </w:pPr>
  </w:style>
  <w:style w:type="character" w:customStyle="1" w:styleId="mechtexChar">
    <w:name w:val="mechtex Char"/>
    <w:link w:val="mechtex"/>
    <w:locked/>
    <w:rPr>
      <w:rFonts w:ascii="Arial Armenian" w:eastAsia="Times New Roman" w:hAnsi="Arial Armenian" w:cs="Times New Roman"/>
      <w:szCs w:val="24"/>
      <w:lang w:val="ru-RU" w:eastAsia="ru-RU"/>
    </w:rPr>
  </w:style>
  <w:style w:type="paragraph" w:customStyle="1" w:styleId="mechtex">
    <w:name w:val="mechtex"/>
    <w:basedOn w:val="Normal"/>
    <w:link w:val="mechtexChar"/>
    <w:qFormat/>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Pr>
      <w:rFonts w:ascii="Times New Roman" w:eastAsia="Times New Roman" w:hAnsi="Times New Roman" w:cs="Times New Roman"/>
      <w:sz w:val="24"/>
      <w:szCs w:val="24"/>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Pr>
      <w:sz w:val="20"/>
      <w:szCs w:val="20"/>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0563C1" w:themeColor="hyperlink"/>
      <w:u w:val="single"/>
    </w:rPr>
  </w:style>
  <w:style w:type="character" w:styleId="Emphasis">
    <w:name w:val="Emphasis"/>
    <w:qFormat/>
    <w:rPr>
      <w:i/>
      <w:iCs/>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NoSpacing">
    <w:name w:val="No Spacing"/>
    <w:uiPriority w:val="1"/>
    <w:qFormat/>
    <w:pPr>
      <w:spacing w:after="0" w:line="240" w:lineRule="auto"/>
    </w:pPr>
    <w:rPr>
      <w:rFonts w:ascii="Calibri" w:eastAsia="Calibri" w:hAnsi="Calibri" w:cs="Times New Roman"/>
    </w:rPr>
  </w:style>
  <w:style w:type="paragraph" w:styleId="BodyText">
    <w:name w:val="Body Text"/>
    <w:basedOn w:val="Normal"/>
    <w:link w:val="BodyTextChar"/>
    <w:unhideWhenUsed/>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70743986">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50547504">
      <w:bodyDiv w:val="1"/>
      <w:marLeft w:val="0"/>
      <w:marRight w:val="0"/>
      <w:marTop w:val="0"/>
      <w:marBottom w:val="0"/>
      <w:divBdr>
        <w:top w:val="none" w:sz="0" w:space="0" w:color="auto"/>
        <w:left w:val="none" w:sz="0" w:space="0" w:color="auto"/>
        <w:bottom w:val="none" w:sz="0" w:space="0" w:color="auto"/>
        <w:right w:val="none" w:sz="0" w:space="0" w:color="auto"/>
      </w:divBdr>
    </w:div>
    <w:div w:id="822937908">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854153319">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78554761">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1884068">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99564125">
      <w:bodyDiv w:val="1"/>
      <w:marLeft w:val="0"/>
      <w:marRight w:val="0"/>
      <w:marTop w:val="0"/>
      <w:marBottom w:val="0"/>
      <w:divBdr>
        <w:top w:val="none" w:sz="0" w:space="0" w:color="auto"/>
        <w:left w:val="none" w:sz="0" w:space="0" w:color="auto"/>
        <w:bottom w:val="none" w:sz="0" w:space="0" w:color="auto"/>
        <w:right w:val="none" w:sz="0" w:space="0" w:color="auto"/>
      </w:divBdr>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1740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1118</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https:/mul2-mss.gov.am/tasks/628664/oneclick/ampopatert.docx?token=cd94ac622673b7b9e5acf71ea467c292</cp:keywords>
  <cp:lastModifiedBy>Tatevik Stepanyan</cp:lastModifiedBy>
  <cp:revision>2</cp:revision>
  <cp:lastPrinted>2022-06-22T05:34:00Z</cp:lastPrinted>
  <dcterms:created xsi:type="dcterms:W3CDTF">2022-06-22T05:48:00Z</dcterms:created>
  <dcterms:modified xsi:type="dcterms:W3CDTF">2022-06-22T05:48:00Z</dcterms:modified>
</cp:coreProperties>
</file>