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23E4" w14:textId="56C07A2C" w:rsidR="000A688C" w:rsidRPr="004B5A73" w:rsidRDefault="00641B38" w:rsidP="004B5A73">
      <w:pPr>
        <w:pStyle w:val="NormalWeb"/>
        <w:shd w:val="clear" w:color="auto" w:fill="FFFFFF"/>
        <w:spacing w:before="0" w:after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  <w:r w:rsidRPr="004B5A73">
        <w:rPr>
          <w:rStyle w:val="Strong"/>
          <w:rFonts w:ascii="GHEA Grapalat" w:hAnsi="GHEA Grapalat"/>
          <w:color w:val="000000"/>
        </w:rPr>
        <w:t>ԱՄՓՈՓԱԹԵՐԹ</w:t>
      </w:r>
    </w:p>
    <w:p w14:paraId="481E2D37" w14:textId="311BD9EE" w:rsidR="00567F77" w:rsidRPr="004B5A73" w:rsidRDefault="00F0309A" w:rsidP="004B5A73">
      <w:pPr>
        <w:pStyle w:val="NormalWeb"/>
        <w:shd w:val="clear" w:color="auto" w:fill="FFFFFF"/>
        <w:spacing w:before="0" w:after="0" w:line="360" w:lineRule="auto"/>
        <w:ind w:firstLine="567"/>
        <w:jc w:val="center"/>
        <w:rPr>
          <w:rFonts w:ascii="GHEA Grapalat" w:hAnsi="GHEA Grapalat"/>
          <w:b/>
          <w:color w:val="000000"/>
          <w:lang w:val="hy-AM"/>
        </w:rPr>
      </w:pPr>
      <w:r w:rsidRPr="004B5A73">
        <w:rPr>
          <w:rFonts w:ascii="GHEA Grapalat" w:hAnsi="GHEA Grapalat" w:cs="GHEA Grapalat"/>
          <w:b/>
          <w:color w:val="000000"/>
          <w:lang w:val="es-ES"/>
        </w:rPr>
        <w:t>«</w:t>
      </w:r>
      <w:r w:rsidRPr="004B5A73">
        <w:rPr>
          <w:rFonts w:ascii="GHEA Grapalat" w:hAnsi="GHEA Grapalat"/>
          <w:b/>
          <w:bCs/>
          <w:color w:val="000000"/>
          <w:lang w:val="ru-RU"/>
        </w:rPr>
        <w:t>Գ</w:t>
      </w:r>
      <w:proofErr w:type="spellStart"/>
      <w:r w:rsidRPr="004B5A73">
        <w:rPr>
          <w:rFonts w:ascii="GHEA Grapalat" w:hAnsi="GHEA Grapalat"/>
          <w:b/>
          <w:bCs/>
          <w:color w:val="000000"/>
        </w:rPr>
        <w:t>նման</w:t>
      </w:r>
      <w:proofErr w:type="spellEnd"/>
      <w:r w:rsidRPr="004B5A73">
        <w:rPr>
          <w:rFonts w:ascii="GHEA Grapalat" w:hAnsi="GHEA Grapalat"/>
          <w:b/>
          <w:bCs/>
          <w:color w:val="000000"/>
          <w:lang w:val="af-ZA"/>
        </w:rPr>
        <w:t xml:space="preserve"> </w:t>
      </w:r>
      <w:proofErr w:type="spellStart"/>
      <w:r w:rsidRPr="004B5A73">
        <w:rPr>
          <w:rFonts w:ascii="GHEA Grapalat" w:hAnsi="GHEA Grapalat"/>
          <w:b/>
          <w:bCs/>
          <w:color w:val="000000"/>
        </w:rPr>
        <w:t>գործընթաց</w:t>
      </w:r>
      <w:proofErr w:type="spellEnd"/>
      <w:r w:rsidRPr="004B5A73">
        <w:rPr>
          <w:rFonts w:ascii="GHEA Grapalat" w:hAnsi="GHEA Grapalat"/>
          <w:b/>
          <w:bCs/>
          <w:color w:val="000000"/>
          <w:lang w:val="ru-RU"/>
        </w:rPr>
        <w:t>ը</w:t>
      </w:r>
      <w:r w:rsidRPr="004B5A73">
        <w:rPr>
          <w:rFonts w:ascii="GHEA Grapalat" w:hAnsi="GHEA Grapalat"/>
          <w:b/>
          <w:bCs/>
          <w:color w:val="000000"/>
          <w:lang w:val="af-ZA"/>
        </w:rPr>
        <w:t xml:space="preserve"> </w:t>
      </w:r>
      <w:proofErr w:type="spellStart"/>
      <w:r w:rsidRPr="004B5A73">
        <w:rPr>
          <w:rFonts w:ascii="GHEA Grapalat" w:hAnsi="GHEA Grapalat"/>
          <w:b/>
          <w:bCs/>
          <w:color w:val="000000"/>
        </w:rPr>
        <w:t>կազմակերպելու</w:t>
      </w:r>
      <w:proofErr w:type="spellEnd"/>
      <w:r w:rsidRPr="004B5A73">
        <w:rPr>
          <w:rFonts w:ascii="GHEA Grapalat" w:hAnsi="GHEA Grapalat"/>
          <w:b/>
          <w:bCs/>
          <w:color w:val="000000"/>
          <w:lang w:val="af-ZA"/>
        </w:rPr>
        <w:t xml:space="preserve"> </w:t>
      </w:r>
      <w:proofErr w:type="spellStart"/>
      <w:r w:rsidRPr="004B5A73">
        <w:rPr>
          <w:rFonts w:ascii="GHEA Grapalat" w:hAnsi="GHEA Grapalat"/>
          <w:b/>
          <w:bCs/>
          <w:color w:val="000000"/>
        </w:rPr>
        <w:t>մասին</w:t>
      </w:r>
      <w:proofErr w:type="spellEnd"/>
      <w:r w:rsidRPr="004B5A73">
        <w:rPr>
          <w:rFonts w:ascii="GHEA Grapalat" w:hAnsi="GHEA Grapalat" w:cs="GHEA Grapalat"/>
          <w:b/>
          <w:color w:val="000000"/>
          <w:lang w:val="es-ES"/>
        </w:rPr>
        <w:t>»</w:t>
      </w:r>
      <w:r w:rsidR="00567F77" w:rsidRPr="004B5A73">
        <w:rPr>
          <w:rFonts w:ascii="GHEA Grapalat" w:hAnsi="GHEA Grapalat" w:cs="GHEA Grapalat"/>
          <w:b/>
          <w:color w:val="000000"/>
          <w:lang w:val="hy-AM"/>
        </w:rPr>
        <w:t xml:space="preserve"> Հ</w:t>
      </w:r>
      <w:r w:rsidR="00641B38" w:rsidRPr="004B5A73">
        <w:rPr>
          <w:rFonts w:ascii="GHEA Grapalat" w:hAnsi="GHEA Grapalat" w:cs="Miriam"/>
          <w:b/>
          <w:color w:val="000000"/>
          <w:lang w:val="hy-AM"/>
        </w:rPr>
        <w:t xml:space="preserve">Հ </w:t>
      </w:r>
      <w:r w:rsidR="00567F77" w:rsidRPr="004B5A73">
        <w:rPr>
          <w:rFonts w:ascii="GHEA Grapalat" w:hAnsi="GHEA Grapalat" w:cs="Miriam"/>
          <w:b/>
          <w:color w:val="000000"/>
          <w:lang w:val="hy-AM"/>
        </w:rPr>
        <w:t xml:space="preserve">կառավարության որոշման </w:t>
      </w:r>
      <w:proofErr w:type="spellStart"/>
      <w:r w:rsidR="00567F77" w:rsidRPr="004B5A73">
        <w:rPr>
          <w:rStyle w:val="Strong"/>
          <w:rFonts w:ascii="GHEA Grapalat" w:hAnsi="GHEA Grapalat"/>
          <w:bCs w:val="0"/>
          <w:color w:val="000000"/>
        </w:rPr>
        <w:t>նախագծի</w:t>
      </w:r>
      <w:proofErr w:type="spellEnd"/>
      <w:r w:rsidR="00567F77" w:rsidRPr="004B5A73">
        <w:rPr>
          <w:rStyle w:val="Strong"/>
          <w:rFonts w:ascii="GHEA Grapalat" w:hAnsi="GHEA Grapalat"/>
          <w:bCs w:val="0"/>
          <w:color w:val="000000"/>
          <w:lang w:val="af-ZA"/>
        </w:rPr>
        <w:t xml:space="preserve"> </w:t>
      </w:r>
      <w:r w:rsidR="00567F77" w:rsidRPr="004B5A73">
        <w:rPr>
          <w:rStyle w:val="Strong"/>
          <w:rFonts w:ascii="GHEA Grapalat" w:hAnsi="GHEA Grapalat"/>
          <w:bCs w:val="0"/>
          <w:color w:val="000000"/>
          <w:lang w:val="hy-AM"/>
        </w:rPr>
        <w:t>վերաբերյալ</w:t>
      </w:r>
    </w:p>
    <w:p w14:paraId="4974FB2D" w14:textId="77777777" w:rsidR="000A688C" w:rsidRPr="004B5A73" w:rsidRDefault="000A688C" w:rsidP="004B5A73">
      <w:pPr>
        <w:pStyle w:val="NormalWeb"/>
        <w:shd w:val="clear" w:color="auto" w:fill="FFFFFF"/>
        <w:spacing w:before="0" w:after="0" w:line="360" w:lineRule="auto"/>
        <w:ind w:firstLine="567"/>
        <w:jc w:val="center"/>
        <w:rPr>
          <w:rFonts w:ascii="GHEA Grapalat" w:hAnsi="GHEA Grapalat"/>
          <w:bCs/>
          <w:lang w:val="hy-AM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17"/>
        <w:gridCol w:w="9"/>
        <w:gridCol w:w="8655"/>
        <w:gridCol w:w="5173"/>
      </w:tblGrid>
      <w:tr w:rsidR="00C95EDB" w:rsidRPr="004B5A73" w14:paraId="0B1A1759" w14:textId="77777777" w:rsidTr="008C6E13">
        <w:trPr>
          <w:trHeight w:val="455"/>
        </w:trPr>
        <w:tc>
          <w:tcPr>
            <w:tcW w:w="31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C206EF" w14:textId="713A7B61" w:rsidR="004771A8" w:rsidRPr="004B5A73" w:rsidRDefault="00567F77" w:rsidP="008C6E13">
            <w:pPr>
              <w:tabs>
                <w:tab w:val="left" w:pos="3375"/>
                <w:tab w:val="center" w:pos="5316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1. 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ՀՀ </w:t>
            </w:r>
            <w:r w:rsidR="00F0309A"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>ֆինանսերի նախարարություն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90CD1F" w14:textId="5512F4D8" w:rsidR="004771A8" w:rsidRPr="004B5A73" w:rsidRDefault="00F0309A" w:rsidP="004B5A7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.0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.202</w:t>
            </w:r>
            <w:r w:rsidR="00902DFD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թ.</w:t>
            </w:r>
          </w:p>
        </w:tc>
      </w:tr>
      <w:tr w:rsidR="00C95EDB" w:rsidRPr="004B5A73" w14:paraId="6C4008A9" w14:textId="77777777" w:rsidTr="008C6E13">
        <w:trPr>
          <w:trHeight w:val="434"/>
        </w:trPr>
        <w:tc>
          <w:tcPr>
            <w:tcW w:w="31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FE7931" w14:textId="77777777" w:rsidR="004771A8" w:rsidRPr="004B5A73" w:rsidRDefault="004771A8" w:rsidP="004B5A7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7C07B1" w14:textId="3FE12D5C" w:rsidR="004771A8" w:rsidRPr="004B5A73" w:rsidRDefault="00641B38" w:rsidP="004B5A7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N </w:t>
            </w:r>
            <w:r w:rsidR="00F0309A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>01/26/10211-2022</w:t>
            </w:r>
          </w:p>
        </w:tc>
      </w:tr>
      <w:tr w:rsidR="00DC584D" w:rsidRPr="004B5A73" w14:paraId="4D870ED8" w14:textId="77777777" w:rsidTr="008C6E13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39CC" w14:textId="77777777" w:rsidR="004771A8" w:rsidRPr="004B5A73" w:rsidRDefault="004771A8" w:rsidP="004B5A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06" w:hanging="28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3F93" w14:textId="09169E3D" w:rsidR="00021F31" w:rsidRPr="004B5A73" w:rsidRDefault="00F0309A" w:rsidP="004B5A73">
            <w:pPr>
              <w:pStyle w:val="mechtex"/>
              <w:spacing w:line="360" w:lineRule="auto"/>
              <w:ind w:left="1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Ուսումնասիրելով 2</w:t>
            </w:r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  <w:r w:rsidRPr="004B5A7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/05/2022թ. թիվ </w:t>
            </w:r>
            <w:r w:rsidRPr="004B5A73">
              <w:rPr>
                <w:rFonts w:ascii="GHEA Grapalat" w:hAnsi="GHEA Grapalat" w:cs="Arial"/>
                <w:sz w:val="24"/>
                <w:szCs w:val="24"/>
                <w:lang w:val="af-ZA"/>
              </w:rPr>
              <w:t>01/21/4157</w:t>
            </w:r>
            <w:r w:rsidRPr="004B5A7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-2022 գրությամբ 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>ներկայացված ՀՀ         կառավարության որոշման նախագիծը</w:t>
            </w:r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առաջարկում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սահմանել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կապալառուին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յուրաքանչյուր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հատկացումների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հաշվին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համաձայնագրերի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կնքման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հիմք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հանդիսացած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ապահովումները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վերադարձվում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հատկացումների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շրջանակում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վերջինիս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համաձայնագիրը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կնքելուց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5A73">
              <w:rPr>
                <w:rFonts w:ascii="GHEA Grapalat" w:hAnsi="GHEA Grapalat"/>
                <w:sz w:val="24"/>
                <w:szCs w:val="24"/>
              </w:rPr>
              <w:t>հետո</w:t>
            </w:r>
            <w:proofErr w:type="spellEnd"/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B27C" w14:textId="125B7531" w:rsidR="004771A8" w:rsidRPr="004B5A73" w:rsidRDefault="002407F4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B5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Pr="004B5A7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նդունվել  է</w:t>
            </w:r>
          </w:p>
        </w:tc>
      </w:tr>
      <w:tr w:rsidR="00C95EDB" w:rsidRPr="004B5A73" w14:paraId="526914DD" w14:textId="77777777" w:rsidTr="008C6E13">
        <w:trPr>
          <w:trHeight w:val="416"/>
        </w:trPr>
        <w:tc>
          <w:tcPr>
            <w:tcW w:w="31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515F77" w14:textId="1397A26F" w:rsidR="004771A8" w:rsidRPr="004B5A73" w:rsidRDefault="00641B38" w:rsidP="008C6E13">
            <w:pPr>
              <w:spacing w:after="0" w:line="360" w:lineRule="auto"/>
              <w:ind w:left="36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2. ՀՀ </w:t>
            </w:r>
            <w:r w:rsidR="00F0309A"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>արդարադատության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C840C2" w14:textId="2F4139C2" w:rsidR="004771A8" w:rsidRPr="004B5A73" w:rsidRDefault="00021E68" w:rsidP="004B5A7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>06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0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202</w:t>
            </w:r>
            <w:r w:rsidR="00CC2BFC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թ.</w:t>
            </w:r>
          </w:p>
        </w:tc>
      </w:tr>
      <w:tr w:rsidR="00C95EDB" w:rsidRPr="004B5A73" w14:paraId="674F51B7" w14:textId="77777777" w:rsidTr="008C6E13">
        <w:trPr>
          <w:trHeight w:val="197"/>
        </w:trPr>
        <w:tc>
          <w:tcPr>
            <w:tcW w:w="31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523994" w14:textId="77777777" w:rsidR="004771A8" w:rsidRPr="004B5A73" w:rsidRDefault="004771A8" w:rsidP="004B5A7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77ADB3" w14:textId="419FD460" w:rsidR="004771A8" w:rsidRPr="004B5A73" w:rsidRDefault="00021E68" w:rsidP="004B5A73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N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 xml:space="preserve"> 01/27.4/24488-2022</w:t>
            </w:r>
          </w:p>
        </w:tc>
      </w:tr>
      <w:tr w:rsidR="00F0309A" w:rsidRPr="004B5A73" w14:paraId="620E47AF" w14:textId="77777777" w:rsidTr="008C6E13">
        <w:trPr>
          <w:trHeight w:val="276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EC154" w14:textId="77777777" w:rsidR="00F0309A" w:rsidRPr="004B5A73" w:rsidRDefault="00F0309A" w:rsidP="004B5A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D8BEC" w14:textId="77777777" w:rsidR="00F0309A" w:rsidRPr="004B5A73" w:rsidRDefault="00F0309A" w:rsidP="004B5A73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Ներկայացված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Գնման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գործընթացի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ընթացակարգը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կազմակերպելու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մասին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»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Հայաստանի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Հանրապետության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կառավարության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որոշման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նախագծի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վերաբերյալ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հարկ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ենք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համարում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ներկայացնել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հետևյալ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դիտողություններն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ու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առաջարկությունները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.</w:t>
            </w:r>
          </w:p>
          <w:p w14:paraId="54A8AB64" w14:textId="54DF3EEC" w:rsidR="00F0309A" w:rsidRPr="004B5A73" w:rsidRDefault="00F0309A" w:rsidP="004B5A73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Նախագծի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վերնագրում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Գնման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գործընթացի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ընթացակարգը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»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բառերն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առաջարկում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ենք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փոխարինել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Գնման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գործընթացը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»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բառերով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: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3F3AB" w14:textId="77CDB5E9" w:rsidR="00F0309A" w:rsidRPr="004B5A73" w:rsidRDefault="00F0309A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Ընդունվել է</w:t>
            </w:r>
          </w:p>
          <w:p w14:paraId="29C8B12B" w14:textId="13418C7A" w:rsidR="00F0309A" w:rsidRPr="004B5A73" w:rsidRDefault="00F0309A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54B6CD3B" w14:textId="03EC3105" w:rsidR="00F0309A" w:rsidRPr="004B5A73" w:rsidRDefault="00F0309A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6397C521" w14:textId="50726AC3" w:rsidR="00F0309A" w:rsidRPr="004B5A73" w:rsidRDefault="00F0309A" w:rsidP="004B5A73">
            <w:pPr>
              <w:spacing w:after="0" w:line="36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4B42F06C" w14:textId="14B42078" w:rsidR="00F0309A" w:rsidRPr="004B5A73" w:rsidRDefault="00F0309A" w:rsidP="004B5A7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0309A" w:rsidRPr="004B5A73" w14:paraId="2B0CA6A5" w14:textId="77777777" w:rsidTr="008C6E13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2ACBA" w14:textId="77777777" w:rsidR="00F0309A" w:rsidRPr="004B5A73" w:rsidRDefault="00F0309A" w:rsidP="004B5A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F8F5B" w14:textId="77777777" w:rsidR="00F0309A" w:rsidRPr="004B5A73" w:rsidRDefault="00F0309A" w:rsidP="004B5A73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Նախագծի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նախաբանում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որպես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իրավական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ակտի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ընդունման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իրավական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հիմք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նշված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է 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Գնումների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մասին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»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օրենքի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5-րդ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հոդվածը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:</w:t>
            </w:r>
          </w:p>
          <w:p w14:paraId="4DB91916" w14:textId="732C9E3D" w:rsidR="00F0309A" w:rsidRPr="004B5A73" w:rsidRDefault="00F0309A" w:rsidP="004B5A73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Այս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առումով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նկատի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ունենալով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Նախագծի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կարգավորումները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, 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Գնումների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մասին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»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օրենքի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5-րդ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հոդվածով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Հայաստանի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Հանրապետության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կառավարությանը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վերապահված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իրավասությունները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ինչպես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նաև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հիմք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ընդունելով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Նորմատիվ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իրավական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ակտերի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մասին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»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օրենքի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2-րդ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հոդվածի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1-ին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մասի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5-րդ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կետի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պահանջները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՝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առաջարկում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ենք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Նախագծի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նախաբանից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 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Գնումների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մասին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»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օրենքի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5-րդ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հոդվածին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կատարված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հղումը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հանել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: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396AE2" w14:textId="77777777" w:rsidR="00F0309A" w:rsidRPr="004B5A73" w:rsidRDefault="00F0309A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4B5A73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Ընդունվել է</w:t>
            </w:r>
          </w:p>
          <w:p w14:paraId="54D824AF" w14:textId="77777777" w:rsidR="000A688C" w:rsidRPr="004B5A73" w:rsidRDefault="000A688C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</w:p>
          <w:p w14:paraId="51210269" w14:textId="77777777" w:rsidR="000A688C" w:rsidRPr="004B5A73" w:rsidRDefault="000A688C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</w:p>
          <w:p w14:paraId="45F7129B" w14:textId="77777777" w:rsidR="000A688C" w:rsidRPr="004B5A73" w:rsidRDefault="000A688C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</w:p>
          <w:p w14:paraId="51043FB3" w14:textId="7A6669D5" w:rsidR="000A688C" w:rsidRPr="004B5A73" w:rsidRDefault="000A688C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F0309A" w:rsidRPr="004B5A73" w14:paraId="2A7F165D" w14:textId="77777777" w:rsidTr="008C6E13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0184" w14:textId="77777777" w:rsidR="00F0309A" w:rsidRPr="004B5A73" w:rsidRDefault="00F0309A" w:rsidP="004B5A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9CAE" w14:textId="5976F7CF" w:rsidR="00F0309A" w:rsidRPr="004B5A73" w:rsidRDefault="00F0309A" w:rsidP="004B5A73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Նախագծի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2-րդ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կետով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առաջարկվում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է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նախատեսել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որ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նույն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որոշման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գործողությունը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տարածվում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է 2021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թվականի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դեկտեմբերի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30-ից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փաստացի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ծագած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հարաբերությունների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վրա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:</w:t>
            </w:r>
          </w:p>
          <w:p w14:paraId="255596BB" w14:textId="77777777" w:rsidR="00F0309A" w:rsidRPr="004B5A73" w:rsidRDefault="00F0309A" w:rsidP="004B5A73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Այս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առումով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հարկ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ենք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համարում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նշել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որ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Նախագծով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առաջարկվում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է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Նախագծի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գործողությունը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տարածել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2021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թվականի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դեկտեմբերի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30-ից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ծագած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հարաբերությունների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վրա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մինչդեռ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տվյալ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պարագայում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հարկ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է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նկատի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ունենալ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որ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Նախագծին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կից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ներկայացված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հիմնավորման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մեջ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հիշյալ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կարգավորման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վերաբերյալ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համապատասխան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վերլուծությունները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բացակայում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են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ինչը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սակայն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կարևոր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նշանակություն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ունի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առաջարկվող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կարգավորումների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իրավաչափությունը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և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նպատակահարմարությունը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գնահատելու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համար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:</w:t>
            </w:r>
          </w:p>
          <w:p w14:paraId="5F843D67" w14:textId="77777777" w:rsidR="00F0309A" w:rsidRPr="004B5A73" w:rsidRDefault="00F0309A" w:rsidP="004B5A73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Ուստի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նկատի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ունենալով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վերոգրյալը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՝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հարկ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ենք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համարում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նշել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որ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lastRenderedPageBreak/>
              <w:t>Նախագծի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2-րդ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կետով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առաջարկվող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կարգավորումը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Նախագծով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լրացուցիչ</w:t>
            </w:r>
            <w:proofErr w:type="spellEnd"/>
            <w:proofErr w:type="gram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հիմնավորման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կարիք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ունի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:</w:t>
            </w:r>
          </w:p>
          <w:p w14:paraId="7BFF12A5" w14:textId="440DAF9E" w:rsidR="00F0309A" w:rsidRPr="004B5A73" w:rsidRDefault="00F0309A" w:rsidP="004B5A73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Միևնույն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ժամանակ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հարկ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ենք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համարում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նաև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նշել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որ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Նախագիծն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անհրաժեշտ է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համաձայնեցնել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Ֆինանսների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նախարարության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հետ</w:t>
            </w:r>
            <w:proofErr w:type="spellEnd"/>
            <w:r w:rsidRPr="004B5A73">
              <w:rPr>
                <w:rFonts w:ascii="GHEA Grapalat" w:hAnsi="GHEA Grapalat" w:cs="GHEA Grapalat"/>
                <w:bCs/>
                <w:sz w:val="24"/>
                <w:szCs w:val="24"/>
              </w:rPr>
              <w:t>: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4127" w14:textId="2D5F54BA" w:rsidR="00F0309A" w:rsidRPr="004B5A73" w:rsidRDefault="00F0309A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lastRenderedPageBreak/>
              <w:t>Ընդունվել է</w:t>
            </w:r>
          </w:p>
        </w:tc>
      </w:tr>
      <w:tr w:rsidR="000A688C" w:rsidRPr="004B5A73" w14:paraId="008C3329" w14:textId="77777777" w:rsidTr="008C6E13">
        <w:trPr>
          <w:trHeight w:val="416"/>
        </w:trPr>
        <w:tc>
          <w:tcPr>
            <w:tcW w:w="31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58C4FC" w14:textId="27766C57" w:rsidR="000A688C" w:rsidRPr="004B5A73" w:rsidRDefault="000A688C" w:rsidP="008C6E13">
            <w:pPr>
              <w:spacing w:after="0" w:line="360" w:lineRule="auto"/>
              <w:ind w:left="36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ՀՀ  վարչապետի աշխատակազմի իրավաբանական վարչություն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89BFB4" w14:textId="12EB2E36" w:rsidR="000A688C" w:rsidRPr="004B5A73" w:rsidRDefault="000A688C" w:rsidP="004B5A7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14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0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2022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թ.</w:t>
            </w:r>
          </w:p>
        </w:tc>
      </w:tr>
      <w:tr w:rsidR="000A688C" w:rsidRPr="004B5A73" w14:paraId="52B095F1" w14:textId="77777777" w:rsidTr="008C6E13">
        <w:trPr>
          <w:trHeight w:val="197"/>
        </w:trPr>
        <w:tc>
          <w:tcPr>
            <w:tcW w:w="31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936C69" w14:textId="77777777" w:rsidR="000A688C" w:rsidRPr="004B5A73" w:rsidRDefault="000A688C" w:rsidP="004B5A7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B2BAAF" w14:textId="609EBEE6" w:rsidR="000A688C" w:rsidRPr="004B5A73" w:rsidRDefault="000A688C" w:rsidP="004B5A73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N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B5A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>02/16.4/19724-2022</w:t>
            </w:r>
          </w:p>
        </w:tc>
      </w:tr>
      <w:tr w:rsidR="000A688C" w:rsidRPr="00B97CC0" w14:paraId="77104DE0" w14:textId="77777777" w:rsidTr="008C6E13"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B192A" w14:textId="4B67CC93" w:rsidR="000A688C" w:rsidRPr="004B5A73" w:rsidRDefault="000A688C" w:rsidP="004B5A73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3184D" w14:textId="2B713B33" w:rsidR="000A688C" w:rsidRPr="004B5A73" w:rsidRDefault="000A688C" w:rsidP="004B5A73">
            <w:pPr>
              <w:shd w:val="clear" w:color="auto" w:fill="FFFFFF"/>
              <w:tabs>
                <w:tab w:val="left" w:pos="567"/>
                <w:tab w:val="left" w:pos="810"/>
                <w:tab w:val="left" w:pos="993"/>
              </w:tabs>
              <w:suppressAutoHyphens w:val="0"/>
              <w:overflowPunct/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</w:pPr>
            <w:r w:rsidRPr="004B5A73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 xml:space="preserve">Ներկայացված նախագծի 1-ին կետի 1-ին ենթակետով նախատեսվում է 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սահմանել, որ 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բարձր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տեխնոլոգիական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արդյունաբերության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նախարարության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կողմից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կազմակերպված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«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>ԲՏԱՆ-</w:t>
            </w:r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>ԲՄԱՇՁԲ-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>022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4B5A73">
              <w:rPr>
                <w:rFonts w:ascii="GHEA Grapalat" w:hAnsi="GHEA Grapalat"/>
                <w:sz w:val="24"/>
                <w:szCs w:val="24"/>
                <w:lang w:val="af-ZA"/>
              </w:rPr>
              <w:t>01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»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ծածկագրով բաց մրցույթի արդյունքում ընտրված մասնակցի հետ պայմանագիր կնքելիս </w:t>
            </w:r>
            <w:r w:rsidRPr="004B5A73">
              <w:rPr>
                <w:rFonts w:ascii="GHEA Grapalat" w:hAnsi="GHEA Grapalat"/>
                <w:i/>
                <w:sz w:val="24"/>
                <w:szCs w:val="24"/>
                <w:u w:val="single"/>
                <w:lang w:val="hy-AM"/>
              </w:rPr>
              <w:t>չեն կիրառվում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կառավարության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2017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թվականի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մայիսի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4-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N 526-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որոշման  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N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1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ավելվածի 32-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րդ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կետի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10-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րդ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ենթակետի</w:t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պահանջները: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Առաջարկվող կարգավորումը չի բխում «Նորմատիվ իրավական ակտերի մասին» ՀՀ օրենքի պահանջներից, հաշվի առնելով այն հանգամանքը, որ հիշյալ օրենքում առկա չէ գործող որևէ իրավական նորմի  </w:t>
            </w:r>
            <w:r w:rsidRPr="004B5A73">
              <w:rPr>
                <w:rFonts w:ascii="GHEA Grapalat" w:hAnsi="GHEA Grapalat"/>
                <w:i/>
                <w:sz w:val="24"/>
                <w:szCs w:val="24"/>
                <w:u w:val="single"/>
                <w:lang w:val="hy-AM"/>
              </w:rPr>
              <w:t>չկիրառելու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կապված կարգավորում: 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06EE" w14:textId="77777777" w:rsidR="000A688C" w:rsidRPr="004B5A73" w:rsidRDefault="00C16712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14:paraId="6484BA92" w14:textId="77777777" w:rsidR="00334F29" w:rsidRPr="004B5A73" w:rsidRDefault="00C16712" w:rsidP="004B5A7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Ներկայացված նախագծով ՀՀ կառավարության 2017 թվականի մայիսի 4-ի թիվ 526-Ն որոշման հավելվածի 3-րդ կետի համաձայն  սահմանվում են կարգով չնախատեսված նորմեր՝ կապված կանխավճարի ներկայացման հետ: Չնախատեսված նորմի սահմանման պարագայում վերանում է կարգում արդեն սահմանված նորմի կիրառելիության անհրաժեշտությունը: </w:t>
            </w:r>
            <w:r w:rsidR="00334F29"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Հետևաբար 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նախագծով </w:t>
            </w:r>
            <w:r w:rsidR="00334F29" w:rsidRPr="004B5A73">
              <w:rPr>
                <w:rFonts w:ascii="GHEA Grapalat" w:hAnsi="GHEA Grapalat"/>
                <w:sz w:val="24"/>
                <w:szCs w:val="24"/>
                <w:lang w:val="hy-AM"/>
              </w:rPr>
              <w:t>անդրադարձ է կատարվում համապատասխան նորմի կիրառելի չլինելուն:</w:t>
            </w:r>
          </w:p>
          <w:p w14:paraId="3925076C" w14:textId="77777777" w:rsidR="00334F29" w:rsidRPr="004B5A73" w:rsidRDefault="00334F29" w:rsidP="004B5A7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 վերաբերում է, որ «Նորմատիվ 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իրավական ակտերի մասին» ՀՀ օրենքում առկա չէ գործող որևէ իրավական նորմի  </w:t>
            </w:r>
            <w:r w:rsidRPr="004B5A7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չկիրառելու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կապված կարգավորում, գտնում ենք, որ նորմի կիրառելի լինելու կամ չլինելու հետ կապված հարաբերությունները չեն սահմանափակվում միայն հիշյալ օրենքով:   </w:t>
            </w:r>
          </w:p>
          <w:p w14:paraId="65A1463C" w14:textId="7BAAA377" w:rsidR="00C16712" w:rsidRPr="004B5A73" w:rsidRDefault="00334F29" w:rsidP="004B5A7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Հարկ է նկատի ունենալ, որ ՀՀ կառավարությունն </w:t>
            </w:r>
            <w:r w:rsidR="00803F64" w:rsidRPr="004B5A73">
              <w:rPr>
                <w:rFonts w:ascii="GHEA Grapalat" w:hAnsi="GHEA Grapalat"/>
                <w:sz w:val="24"/>
                <w:szCs w:val="24"/>
                <w:lang w:val="hy-AM"/>
              </w:rPr>
              <w:t>արդեն իսկ իր մի շարք որոշումներով սահմանել է, որ առանձին դեպքերում կարգում գործող դրույթները չեն կիրառվում (օրինակ՝ ՀՀ կառավարության 19.05.2022թ. թիվ 693-Ա որոշում,  ՀՀ կառավարության 13.01.2022թ. թիվ 38-Ն որոշում,  ՀՀ կառավարության 04.11.2021թ. թիվ 1815-Ա որոշում</w:t>
            </w:r>
            <w:r w:rsidR="00562C6B"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այլն</w:t>
            </w:r>
            <w:r w:rsidR="00803F64" w:rsidRPr="004B5A73">
              <w:rPr>
                <w:rFonts w:ascii="GHEA Grapalat" w:hAnsi="GHEA Grapalat"/>
                <w:sz w:val="24"/>
                <w:szCs w:val="24"/>
                <w:lang w:val="hy-AM"/>
              </w:rPr>
              <w:t>):</w:t>
            </w:r>
            <w:r w:rsidR="00C16712"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562C6B" w:rsidRPr="00B97CC0" w14:paraId="6B167DFE" w14:textId="77777777" w:rsidTr="008C6E13"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D9009" w14:textId="449E8090" w:rsidR="00562C6B" w:rsidRPr="004B5A73" w:rsidRDefault="00562C6B" w:rsidP="004B5A73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BA115" w14:textId="135C4977" w:rsidR="00562C6B" w:rsidRPr="004B5A73" w:rsidRDefault="00562C6B" w:rsidP="004B5A73">
            <w:pPr>
              <w:pStyle w:val="BodyText"/>
              <w:spacing w:after="0" w:line="360" w:lineRule="auto"/>
              <w:ind w:firstLine="36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Նախագծի 2-րդ կետով առաջարկվում է որոշման գործողությունը տարածել 2021 թվականի դեկտեմբերի 30-ից փաստացի ծագած հարաբերությունների վրա, այսինքն </w:t>
            </w:r>
            <w:r w:rsidRPr="004B5A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նախագծով նախատեսված կարգավորումներին տալիս ենք հետադարձ ուժ: </w:t>
            </w:r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Այս առումով հարկ է նկատի ունենալ ՀՀ վարչապետի 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4B5A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02/10.39/6541-2022 հանձնարարականը, համաձայն որի՝ </w:t>
            </w:r>
            <w:r w:rsidRPr="004B5A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սույն թվականի ապրիլի 1-ից սկսած նմանատիպ նախագծերը կընթացքավորվեն և կներառվեն նախարարական կոմիտեների օրակարգերում միայն այն դեպքում, երբ հարցը ներկայացնող նախարարը (մարմնի ղեկավարը) անձամբ նախապես վարչապետի հետ կհամաձայնեցնի նախագիծը՝ ներկայացնելով նման իրավիճակի ստեղծման պատճառներն ու հիմնավորումները: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DFA0" w14:textId="5085E859" w:rsidR="00504988" w:rsidRDefault="00562C6B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0498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33AF6730" w14:textId="7CDB976E" w:rsidR="00562C6B" w:rsidRPr="00504988" w:rsidRDefault="00C3777F" w:rsidP="004B5A7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777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504988" w:rsidRPr="00504988">
              <w:rPr>
                <w:rFonts w:ascii="GHEA Grapalat" w:hAnsi="GHEA Grapalat"/>
                <w:sz w:val="24"/>
                <w:szCs w:val="24"/>
                <w:lang w:val="hy-AM"/>
              </w:rPr>
              <w:t>ախագիծը համաձայնեցվել է</w:t>
            </w:r>
            <w:r w:rsidR="00B97CC0" w:rsidRPr="00B97CC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Վարչապետի հե</w:t>
            </w:r>
            <w:r w:rsidR="00B97CC0" w:rsidRPr="00C3777F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504988" w:rsidRPr="00504988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504988" w:rsidRPr="0050498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ներկայացնելով իրավիճակի ստեղծման պատճառներն ու հիմնավորումները:</w:t>
            </w:r>
          </w:p>
        </w:tc>
      </w:tr>
      <w:tr w:rsidR="00562C6B" w:rsidRPr="00B97CC0" w14:paraId="15626DAB" w14:textId="77777777" w:rsidTr="008C6E13"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2848C" w14:textId="7172CC1F" w:rsidR="00562C6B" w:rsidRPr="004B5A73" w:rsidRDefault="00562C6B" w:rsidP="004B5A73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3.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3C51B" w14:textId="5BADFF49" w:rsidR="00562C6B" w:rsidRPr="004B5A73" w:rsidRDefault="00562C6B" w:rsidP="004B5A73">
            <w:pPr>
              <w:pStyle w:val="BodyText"/>
              <w:spacing w:after="0" w:line="360" w:lineRule="auto"/>
              <w:ind w:firstLine="360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Բացի այդ նախագծով սահմանված դրույթները ժամկետների առումով համադրելի չեն «Գնումների մասին» օրենքի 36-րդ հոդվածով նախատեսված կարգավորումների հետ, համաձայն որի՝  եթե ընտրված մասնակիցը պայմանագիր կնքելու մասին ծանուցումը և պայմանագրի նախագիծը ստանալուց հետո սույն օրենքի 35-րդ հոդվածի 1-ին մասով նախատեսված ժամկետում չի ստորագրում պայմանագիրը կամ պատվիրատուին չի ներկայացնում պայմանագրի և (կամ) որակավորման ապահովումը, իսկ կնքվելիք պայմանագրով կանխավճար նախատեսված լինելու դեպքում՝ նաև կանխավճարի ապահովումը, ապա նա զրկվում է պայմանագիրը ստորագրելու իրավունքից: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93F6" w14:textId="77777777" w:rsidR="00562C6B" w:rsidRPr="004B5A73" w:rsidRDefault="00562C6B" w:rsidP="004B5A7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Չի ընդունվել </w:t>
            </w:r>
          </w:p>
          <w:p w14:paraId="6F851F11" w14:textId="77777777" w:rsidR="0010795A" w:rsidRPr="004B5A73" w:rsidRDefault="00562C6B" w:rsidP="004B5A7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 տվյալ համակարգի բացառիկ կարևորությունը և առանձնահատկությունը Հայաստանի Հանրապետության  համար, մի շարք քննարկումներ են եղել գերմանական հեղինակավոր </w:t>
            </w:r>
            <w:r w:rsidRPr="004B5A7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Rohde &amp; Schwarz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ընկերության հետ՝ այդ թվում ընկերության ներկայացուցիչների հետ հանդիպումներ ՀՀ-ում, քննարկումներ տեսակապի միջոցով: Տևական բանակցությունների արդյունքում ընկերությունը համաձայնել է կնքել պայմանագիր՝ կատարել համակարգի ներդրման աշխատանքները և ներկայացնել </w:t>
            </w: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միայն յուրաքանչյուր տարվա հատկացված միջոցների չափով բանկային երաշխիքներ՝ պայմանագրի ապահովում 10 տոկոս և որակավորման ապահովում 30 տոկոս: Ավելին ընկերությունը ներկայացրել է նաև </w:t>
            </w:r>
            <w:r w:rsidR="0010795A"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հեղինակավոր  Deutsche Bank-ի կողմից </w:t>
            </w:r>
            <w:r w:rsidR="0010795A" w:rsidRPr="004B5A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շնորհված վարկունակության վարկանիշ, ինչը սակայն գնումների մասին օրենսդրության տեսանկյունից ընդունելի չի եղել:</w:t>
            </w:r>
          </w:p>
          <w:p w14:paraId="54FD52E8" w14:textId="0F4D4C4D" w:rsidR="00562C6B" w:rsidRPr="004B5A73" w:rsidRDefault="0010795A" w:rsidP="004B5A7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Այսպիսով ընկերության հետ պայմանագիր հնարավոր կլինի կնքել միայն 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ընդհանուր պայմանագրի համար պայմանագրի և որակավորման ապահովումներ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ներկայացնելու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պահանջը (միակողմանի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հաստատված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տուժանքի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, 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կամ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կանխիկ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փողի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ձևով)</w:t>
            </w:r>
            <w:r w:rsidRPr="004B5A73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="00756823" w:rsidRPr="004B5A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չներկայացնելու դեպքում, ինչն էլ առաջարկվում է կարգավորել նշված նախագծով: Հակառակ դեպքում կառաջանա նշված ընկերությանը </w:t>
            </w:r>
            <w:r w:rsidR="00756823" w:rsidRPr="004B5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6823" w:rsidRPr="004B5A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գնումների գործընթացին մասնակցելու </w:t>
            </w:r>
            <w:r w:rsidR="00756823" w:rsidRPr="004B5A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իրավունք չունեցող մասնակիցների ցուցակում ընդգրկելու գործընթաց, ինչը նպատակահարմար չէ՝ հաշվի առնելով համակ</w:t>
            </w:r>
            <w:r w:rsidR="00C3777F">
              <w:rPr>
                <w:rFonts w:ascii="GHEA Grapalat" w:hAnsi="GHEA Grapalat" w:cs="Sylfaen"/>
                <w:bCs/>
                <w:sz w:val="24"/>
                <w:szCs w:val="24"/>
              </w:rPr>
              <w:t>ա</w:t>
            </w:r>
            <w:r w:rsidR="00756823" w:rsidRPr="004B5A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րգի ներդրման կարևորությունը: </w:t>
            </w:r>
          </w:p>
        </w:tc>
      </w:tr>
    </w:tbl>
    <w:p w14:paraId="15AC7DA7" w14:textId="7D348AC1" w:rsidR="000A688C" w:rsidRPr="004B5A73" w:rsidRDefault="000A688C" w:rsidP="004B5A73">
      <w:pPr>
        <w:tabs>
          <w:tab w:val="left" w:pos="348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3BC01BA" w14:textId="77777777" w:rsidR="00562C6B" w:rsidRPr="004B5A73" w:rsidRDefault="00562C6B" w:rsidP="004B5A73">
      <w:pPr>
        <w:tabs>
          <w:tab w:val="left" w:pos="348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540CE5A" w14:textId="77777777" w:rsidR="000A688C" w:rsidRPr="004B5A73" w:rsidRDefault="000A688C" w:rsidP="004B5A73">
      <w:pPr>
        <w:tabs>
          <w:tab w:val="left" w:pos="348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A31CCD2" w14:textId="77777777" w:rsidR="000A688C" w:rsidRPr="004B5A73" w:rsidRDefault="000A688C" w:rsidP="004B5A73">
      <w:pPr>
        <w:tabs>
          <w:tab w:val="left" w:pos="348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5F7063B" w14:textId="77777777" w:rsidR="00F0309A" w:rsidRPr="004B5A73" w:rsidRDefault="00F0309A" w:rsidP="004B5A73">
      <w:pPr>
        <w:tabs>
          <w:tab w:val="left" w:pos="348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F0309A" w:rsidRPr="004B5A73" w:rsidSect="008C6E13">
      <w:pgSz w:w="15840" w:h="12240" w:orient="landscape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Arabic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Armenian"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D15"/>
    <w:multiLevelType w:val="hybridMultilevel"/>
    <w:tmpl w:val="CE5894E2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4FCF06DD"/>
    <w:multiLevelType w:val="multilevel"/>
    <w:tmpl w:val="DB22343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0421BFD"/>
    <w:multiLevelType w:val="multilevel"/>
    <w:tmpl w:val="DEA27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7D15B8"/>
    <w:multiLevelType w:val="multilevel"/>
    <w:tmpl w:val="E6BC37A2"/>
    <w:lvl w:ilvl="0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68AD7042"/>
    <w:multiLevelType w:val="hybridMultilevel"/>
    <w:tmpl w:val="A538C99A"/>
    <w:lvl w:ilvl="0" w:tplc="2256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26259"/>
    <w:multiLevelType w:val="hybridMultilevel"/>
    <w:tmpl w:val="2E026CDA"/>
    <w:lvl w:ilvl="0" w:tplc="95AA14E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autoHyphenation/>
  <w:hyphenationZone w:val="141"/>
  <w:characterSpacingControl w:val="doNotCompress"/>
  <w:compat>
    <w:compatSetting w:name="compatibilityMode" w:uri="http://schemas.microsoft.com/office/word" w:val="12"/>
  </w:compat>
  <w:rsids>
    <w:rsidRoot w:val="004771A8"/>
    <w:rsid w:val="00021E68"/>
    <w:rsid w:val="00021F31"/>
    <w:rsid w:val="00037C56"/>
    <w:rsid w:val="0007679D"/>
    <w:rsid w:val="00082DB7"/>
    <w:rsid w:val="000A4579"/>
    <w:rsid w:val="000A688C"/>
    <w:rsid w:val="000F545E"/>
    <w:rsid w:val="00102379"/>
    <w:rsid w:val="0010363E"/>
    <w:rsid w:val="0010795A"/>
    <w:rsid w:val="00136A9A"/>
    <w:rsid w:val="00173769"/>
    <w:rsid w:val="00182B90"/>
    <w:rsid w:val="00195CFB"/>
    <w:rsid w:val="001A35DF"/>
    <w:rsid w:val="001D139C"/>
    <w:rsid w:val="002407F4"/>
    <w:rsid w:val="00272A68"/>
    <w:rsid w:val="002C6FD5"/>
    <w:rsid w:val="002F2EBF"/>
    <w:rsid w:val="00300C91"/>
    <w:rsid w:val="003270DF"/>
    <w:rsid w:val="00334F29"/>
    <w:rsid w:val="00380BF5"/>
    <w:rsid w:val="0038306C"/>
    <w:rsid w:val="00410CA4"/>
    <w:rsid w:val="00467F37"/>
    <w:rsid w:val="004771A8"/>
    <w:rsid w:val="004B5A73"/>
    <w:rsid w:val="004D27DD"/>
    <w:rsid w:val="004E7761"/>
    <w:rsid w:val="00504988"/>
    <w:rsid w:val="0051764E"/>
    <w:rsid w:val="00530245"/>
    <w:rsid w:val="0053114B"/>
    <w:rsid w:val="005366BE"/>
    <w:rsid w:val="00562C6B"/>
    <w:rsid w:val="00567F77"/>
    <w:rsid w:val="005700F6"/>
    <w:rsid w:val="005A46F3"/>
    <w:rsid w:val="005B145C"/>
    <w:rsid w:val="005B3774"/>
    <w:rsid w:val="005C29D0"/>
    <w:rsid w:val="005F3BB1"/>
    <w:rsid w:val="00624406"/>
    <w:rsid w:val="00641B38"/>
    <w:rsid w:val="006968EB"/>
    <w:rsid w:val="006A5688"/>
    <w:rsid w:val="007028E4"/>
    <w:rsid w:val="0073123C"/>
    <w:rsid w:val="00736757"/>
    <w:rsid w:val="00756823"/>
    <w:rsid w:val="00770A30"/>
    <w:rsid w:val="007A7D25"/>
    <w:rsid w:val="007B5EE1"/>
    <w:rsid w:val="007D2431"/>
    <w:rsid w:val="007E20BF"/>
    <w:rsid w:val="007F5A7F"/>
    <w:rsid w:val="00803F64"/>
    <w:rsid w:val="00810B18"/>
    <w:rsid w:val="00836B82"/>
    <w:rsid w:val="00850668"/>
    <w:rsid w:val="00866311"/>
    <w:rsid w:val="00890C1E"/>
    <w:rsid w:val="008B12D0"/>
    <w:rsid w:val="008C6E13"/>
    <w:rsid w:val="00902DFD"/>
    <w:rsid w:val="009078B0"/>
    <w:rsid w:val="009306A6"/>
    <w:rsid w:val="0093650C"/>
    <w:rsid w:val="00972BA4"/>
    <w:rsid w:val="00994862"/>
    <w:rsid w:val="00A07F54"/>
    <w:rsid w:val="00A22CB9"/>
    <w:rsid w:val="00A414AD"/>
    <w:rsid w:val="00A61F2E"/>
    <w:rsid w:val="00A95602"/>
    <w:rsid w:val="00AA1FE1"/>
    <w:rsid w:val="00B45577"/>
    <w:rsid w:val="00B97CC0"/>
    <w:rsid w:val="00C13E01"/>
    <w:rsid w:val="00C16712"/>
    <w:rsid w:val="00C16E6D"/>
    <w:rsid w:val="00C3777F"/>
    <w:rsid w:val="00C665D4"/>
    <w:rsid w:val="00C8588A"/>
    <w:rsid w:val="00C933A1"/>
    <w:rsid w:val="00C95EDB"/>
    <w:rsid w:val="00CC2BFC"/>
    <w:rsid w:val="00D07344"/>
    <w:rsid w:val="00D27111"/>
    <w:rsid w:val="00D50D94"/>
    <w:rsid w:val="00D62ED8"/>
    <w:rsid w:val="00D80559"/>
    <w:rsid w:val="00DC584D"/>
    <w:rsid w:val="00DD7AD7"/>
    <w:rsid w:val="00E02D6F"/>
    <w:rsid w:val="00E311CB"/>
    <w:rsid w:val="00E4737A"/>
    <w:rsid w:val="00EB3CE1"/>
    <w:rsid w:val="00EE13DA"/>
    <w:rsid w:val="00F0309A"/>
    <w:rsid w:val="00F0562A"/>
    <w:rsid w:val="00F53C5C"/>
    <w:rsid w:val="00F75C44"/>
    <w:rsid w:val="00FA4858"/>
    <w:rsid w:val="00FC1268"/>
    <w:rsid w:val="00FE0E1D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C3EE"/>
  <w15:docId w15:val="{20CCC5CB-8610-4670-B1AD-4BB60D44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Noto Sans Arabic U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NormalWebChar">
    <w:name w:val="Normal (Web) Char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Body">
    <w:name w:val="Body"/>
    <w:aliases w:val="Text,3"/>
    <w:basedOn w:val="Header"/>
    <w:qFormat/>
    <w:rsid w:val="00866311"/>
    <w:pPr>
      <w:tabs>
        <w:tab w:val="clear" w:pos="4513"/>
        <w:tab w:val="clear" w:pos="9026"/>
        <w:tab w:val="center" w:pos="4677"/>
        <w:tab w:val="right" w:pos="9355"/>
      </w:tabs>
      <w:suppressAutoHyphens w:val="0"/>
      <w:overflowPunct/>
    </w:pPr>
    <w:rPr>
      <w:rFonts w:ascii="Times Armenian" w:eastAsia="Times New Roman" w:hAnsi="Times Armenian" w:cs="Times New Roman"/>
      <w:sz w:val="24"/>
      <w:szCs w:val="24"/>
      <w:lang w:val="x-none" w:eastAsia="x-none"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866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31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7F"/>
    <w:rPr>
      <w:rFonts w:ascii="Segoe UI" w:hAnsi="Segoe UI" w:cs="Segoe UI"/>
      <w:sz w:val="18"/>
      <w:szCs w:val="18"/>
    </w:rPr>
  </w:style>
  <w:style w:type="paragraph" w:customStyle="1" w:styleId="mechtex">
    <w:name w:val="mechtex"/>
    <w:basedOn w:val="Normal"/>
    <w:link w:val="mechtexChar"/>
    <w:qFormat/>
    <w:rsid w:val="00F0309A"/>
    <w:pPr>
      <w:suppressAutoHyphens w:val="0"/>
      <w:overflowPunct/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F0309A"/>
    <w:rPr>
      <w:rFonts w:ascii="Arial Armenian" w:eastAsia="Times New Roman" w:hAnsi="Arial Armenian" w:cs="Times New Rom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0A688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Melkonyan</dc:creator>
  <dc:description/>
  <cp:lastModifiedBy>Ashot Pirumyan</cp:lastModifiedBy>
  <cp:revision>163</cp:revision>
  <cp:lastPrinted>2022-05-18T12:17:00Z</cp:lastPrinted>
  <dcterms:created xsi:type="dcterms:W3CDTF">2021-03-10T06:58:00Z</dcterms:created>
  <dcterms:modified xsi:type="dcterms:W3CDTF">2022-06-24T07:45:00Z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