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1130" w:rsidRPr="008B54BE" w:rsidRDefault="00A630C1">
      <w:pPr>
        <w:pStyle w:val="headingtitleStyle"/>
      </w:pPr>
      <w:bookmarkStart w:id="0" w:name="_Toc1"/>
      <w:r w:rsidRPr="008B54BE">
        <w:t>Ամփոփաթերթ</w:t>
      </w:r>
      <w:bookmarkEnd w:id="0"/>
    </w:p>
    <w:p w:rsidR="008B54BE" w:rsidRPr="008B54BE" w:rsidRDefault="008B54BE" w:rsidP="008B54BE">
      <w:pPr>
        <w:pStyle w:val="NormalWeb"/>
        <w:shd w:val="clear" w:color="auto" w:fill="FFFFFF"/>
        <w:spacing w:before="0" w:beforeAutospacing="0" w:after="0" w:afterAutospacing="0" w:line="276" w:lineRule="auto"/>
        <w:jc w:val="center"/>
        <w:rPr>
          <w:rFonts w:ascii="GHEA Grapalat" w:eastAsia="GHEA Grapalat" w:hAnsi="GHEA Grapalat" w:cs="GHEA Grapalat"/>
          <w:b/>
          <w:bCs/>
          <w:caps/>
          <w:color w:val="000000"/>
          <w:sz w:val="28"/>
          <w:szCs w:val="28"/>
        </w:rPr>
      </w:pPr>
      <w:bookmarkStart w:id="1" w:name="_Toc2"/>
      <w:r w:rsidRPr="008B54BE">
        <w:rPr>
          <w:rFonts w:ascii="GHEA Grapalat" w:eastAsia="GHEA Grapalat" w:hAnsi="GHEA Grapalat" w:cs="GHEA Grapalat"/>
          <w:b/>
          <w:caps/>
          <w:sz w:val="28"/>
          <w:szCs w:val="28"/>
        </w:rPr>
        <w:t> ՀԱՅԱՍՏԱՆԻ ՀԱՆՐԱՊԵՏՈՒԹՅԱՆ ԴԱՏԱԿԱՆ ԵՎ ԻՐԱՎԱԿԱՆ ԲԱՐԵՓՈԽՈՒՄՆԵՐԻ 2022-2026 ԹՎԱԿԱՆՆԵՐԻ ՌԱԶՄԱՎԱՐՈՒԹՅՈՒՆԸ ԵՎ ԴՐԱՆԻՑ ԲԽՈՂ ԳՈՐԾՈՂՈՒԹՅՈՒՆՆԵՐԻ ԾՐԱԳԻՐԸ ՀԱՍՏԱՏԵԼՈՒ ԵՎ ՀԱՅԱՍՏԱՆԻ ՀԱՆՐԱՊԵՏՈՒԹՅԱՆ ԿԱՌԱՎԱՐՈՒԹՅԱՆ 2019 ԹՎԱԿԱՆԻ ՀՈԿՏԵՄԲԵՐԻ 10-Ի N 1441-Լ ՈՐՈՇՈՒՄՆ ՈՒԺԸ ԿՈՐՑՐԱԾ ՃԱՆԱՉԵԼՈՒ ՄԱՍԻՆ</w:t>
      </w:r>
    </w:p>
    <w:p w:rsidR="008F1130" w:rsidRPr="008B54BE" w:rsidRDefault="008B54BE">
      <w:pPr>
        <w:pStyle w:val="headingtitleStyle"/>
      </w:pPr>
      <w:r w:rsidRPr="008B54BE">
        <w:t>ԿԱՌԱՎԱՐՈՒԹՅԱՆ ՈՐՈՇՄԱՆ</w:t>
      </w:r>
      <w:r w:rsidR="00A630C1" w:rsidRPr="008B54BE">
        <w:t xml:space="preserve"> նախագծի վերաբերյալ</w:t>
      </w:r>
      <w:bookmarkEnd w:id="1"/>
    </w:p>
    <w:p w:rsidR="008F1130" w:rsidRDefault="008F1130"/>
    <w:p w:rsidR="008F1130" w:rsidRDefault="008F1130"/>
    <w:p w:rsidR="008F1130" w:rsidRDefault="008F1130"/>
    <w:tbl>
      <w:tblPr>
        <w:tblW w:w="0" w:type="auto"/>
        <w:tblCellMar>
          <w:left w:w="10" w:type="dxa"/>
          <w:right w:w="10" w:type="dxa"/>
        </w:tblCellMar>
        <w:tblLook w:val="0000"/>
      </w:tblPr>
      <w:tblGrid>
        <w:gridCol w:w="196"/>
        <w:gridCol w:w="1712"/>
        <w:gridCol w:w="7820"/>
        <w:gridCol w:w="1603"/>
        <w:gridCol w:w="2646"/>
      </w:tblGrid>
      <w:tr w:rsidR="008F1130">
        <w:tc>
          <w:tcPr>
            <w:tcW w:w="500" w:type="dxa"/>
            <w:tcBorders>
              <w:top w:val="single" w:sz="1" w:space="0" w:color="000000"/>
              <w:left w:val="single" w:sz="1" w:space="0" w:color="000000"/>
              <w:bottom w:val="single" w:sz="1" w:space="0" w:color="000000"/>
              <w:right w:val="single" w:sz="1" w:space="0" w:color="000000"/>
            </w:tcBorders>
          </w:tcPr>
          <w:p w:rsidR="008F1130" w:rsidRDefault="00A630C1">
            <w:pPr>
              <w:jc w:val="center"/>
            </w:pPr>
            <w:r>
              <w:rPr>
                <w:rFonts w:ascii="GHEA Grapalat" w:eastAsia="GHEA Grapalat" w:hAnsi="GHEA Grapalat" w:cs="GHEA Grapalat"/>
                <w:color w:val="000000"/>
                <w:sz w:val="22"/>
                <w:szCs w:val="22"/>
              </w:rPr>
              <w:t>հ/</w:t>
            </w:r>
          </w:p>
          <w:p w:rsidR="008F1130" w:rsidRDefault="00A630C1">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8F1130" w:rsidRDefault="00A630C1">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8F1130" w:rsidRDefault="00A630C1">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8F1130" w:rsidRDefault="00A630C1">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8F1130" w:rsidRDefault="00A630C1">
            <w:pPr>
              <w:jc w:val="center"/>
            </w:pPr>
            <w:r>
              <w:rPr>
                <w:rFonts w:ascii="GHEA Grapalat" w:eastAsia="GHEA Grapalat" w:hAnsi="GHEA Grapalat" w:cs="GHEA Grapalat"/>
                <w:color w:val="000000"/>
                <w:sz w:val="22"/>
                <w:szCs w:val="22"/>
              </w:rPr>
              <w:t>Կատարված փոփոխությունը</w:t>
            </w:r>
          </w:p>
        </w:tc>
      </w:tr>
      <w:tr w:rsidR="008F1130">
        <w:tc>
          <w:tcPr>
            <w:tcW w:w="500" w:type="dxa"/>
            <w:tcBorders>
              <w:top w:val="single" w:sz="1" w:space="0" w:color="000000"/>
              <w:left w:val="single" w:sz="1" w:space="0" w:color="000000"/>
              <w:bottom w:val="single" w:sz="1" w:space="0" w:color="000000"/>
              <w:right w:val="single" w:sz="1" w:space="0" w:color="000000"/>
            </w:tcBorders>
            <w:vAlign w:val="center"/>
          </w:tcPr>
          <w:p w:rsidR="008F1130" w:rsidRDefault="008F1130">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8F1130" w:rsidRDefault="00A630C1">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8F1130" w:rsidRDefault="00A630C1">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8F1130" w:rsidRDefault="00A630C1">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8F1130" w:rsidRDefault="00A630C1">
            <w:pPr>
              <w:jc w:val="center"/>
            </w:pPr>
            <w:r>
              <w:rPr>
                <w:rFonts w:ascii="GHEA Grapalat" w:eastAsia="GHEA Grapalat" w:hAnsi="GHEA Grapalat" w:cs="GHEA Grapalat"/>
                <w:color w:val="000000"/>
                <w:sz w:val="22"/>
                <w:szCs w:val="22"/>
              </w:rPr>
              <w:t>4</w:t>
            </w:r>
          </w:p>
        </w:tc>
      </w:tr>
      <w:tr w:rsidR="008F1130">
        <w:tc>
          <w:tcPr>
            <w:tcW w:w="500" w:type="dxa"/>
            <w:tcBorders>
              <w:top w:val="single" w:sz="1" w:space="0" w:color="000000"/>
              <w:left w:val="single" w:sz="1" w:space="0" w:color="000000"/>
              <w:bottom w:val="single" w:sz="1" w:space="0" w:color="000000"/>
              <w:right w:val="single" w:sz="1" w:space="0" w:color="000000"/>
            </w:tcBorders>
          </w:tcPr>
          <w:p w:rsidR="008F1130" w:rsidRDefault="00A630C1">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8F1130" w:rsidRDefault="00A630C1">
            <w:pPr>
              <w:jc w:val="center"/>
            </w:pPr>
            <w:r>
              <w:rPr>
                <w:rFonts w:ascii="GHEA Grapalat" w:eastAsia="GHEA Grapalat" w:hAnsi="GHEA Grapalat" w:cs="GHEA Grapalat"/>
                <w:color w:val="000000"/>
                <w:sz w:val="22"/>
                <w:szCs w:val="22"/>
              </w:rPr>
              <w:t>Իրավունքի զարգացման և պաշտպանության հիմնադրամ</w:t>
            </w:r>
          </w:p>
          <w:p w:rsidR="008F1130" w:rsidRDefault="00A630C1">
            <w:pPr>
              <w:jc w:val="center"/>
            </w:pPr>
            <w:r>
              <w:rPr>
                <w:rFonts w:ascii="GHEA Grapalat" w:eastAsia="GHEA Grapalat" w:hAnsi="GHEA Grapalat" w:cs="GHEA Grapalat"/>
                <w:color w:val="000000"/>
                <w:sz w:val="22"/>
                <w:szCs w:val="22"/>
              </w:rPr>
              <w:t xml:space="preserve">25.03.2022 </w:t>
            </w:r>
            <w:r>
              <w:rPr>
                <w:rFonts w:ascii="GHEA Grapalat" w:eastAsia="GHEA Grapalat" w:hAnsi="GHEA Grapalat" w:cs="GHEA Grapalat"/>
                <w:color w:val="000000"/>
                <w:sz w:val="22"/>
                <w:szCs w:val="22"/>
              </w:rPr>
              <w:lastRenderedPageBreak/>
              <w:t>20:26:41</w:t>
            </w:r>
          </w:p>
        </w:tc>
        <w:tc>
          <w:tcPr>
            <w:tcW w:w="5200" w:type="dxa"/>
            <w:tcBorders>
              <w:top w:val="single" w:sz="1" w:space="0" w:color="000000"/>
              <w:left w:val="single" w:sz="1" w:space="0" w:color="000000"/>
              <w:bottom w:val="single" w:sz="1" w:space="0" w:color="000000"/>
              <w:right w:val="single" w:sz="1" w:space="0" w:color="000000"/>
            </w:tcBorders>
          </w:tcPr>
          <w:p w:rsidR="008F1130" w:rsidRDefault="00A630C1">
            <w:pPr>
              <w:jc w:val="center"/>
            </w:pPr>
            <w:r>
              <w:rPr>
                <w:rFonts w:ascii="GHEA Grapalat" w:eastAsia="GHEA Grapalat" w:hAnsi="GHEA Grapalat" w:cs="GHEA Grapalat"/>
                <w:color w:val="000000"/>
                <w:sz w:val="22"/>
                <w:szCs w:val="22"/>
              </w:rPr>
              <w:lastRenderedPageBreak/>
              <w:t xml:space="preserve">Որպես լուծում՝ առաջարկվում է. 1.  Էթիկայի և կարգապահական հարցերի հանձնաժողովի բոլոր որոշումների (այդ թվում՝ արձանագրային) հրապարակման պահանջի նախատեսում՝ դրանք պատճառաբանված լինելու պարտադիր պայմանի սահմանմամբ: Միևնույն ժամանակ դատավորի հեղինակության պաշտպանությունը ապահովելու նպատակով կարող են սահմանվել հատուկ միջոցներ, օրինակ՝ դատավորի նկատմամբ </w:t>
            </w:r>
            <w:r>
              <w:rPr>
                <w:rFonts w:ascii="GHEA Grapalat" w:eastAsia="GHEA Grapalat" w:hAnsi="GHEA Grapalat" w:cs="GHEA Grapalat"/>
                <w:color w:val="000000"/>
                <w:sz w:val="22"/>
                <w:szCs w:val="22"/>
              </w:rPr>
              <w:lastRenderedPageBreak/>
              <w:t>կարգապահական վարույթ չհարուցելու վերաբերյալ որոշում կայացնելու դեպքում՝ դատավորի և այլ անձանց անուն-ազգանունների տվյալների չներառում (այս առաջարկը հիմնված է միջազգային համեմատական փորձի վրա) (Մանրամասն տե՛ս https://bit.ly/3iDZdDL:): Կամ 2. Էթիկայի և կարգապահական հարցերի հանձնաժողովի կողմից անհատական դիմումների հիման վրա դատավորի նկատմամբ կարգապահական վարույթ հարուցելու մասին որոշման կայացման համար անհրաժեշտ ձայների թվաքանակի վերանայում՝ առնվազն մեկ կամ երկու անդամի կողմ քվեարկությունը դիտարկելով որպես վարույթի հարուցման նախապայման (Վենետիկի հանձնաժողովը Մոլդովայի օրենսդրության վերաբերյալ տրված կարծիքով ողջունելի է համարել hամանման կարգավորումը, https://www.venice.coe.int/webforms/documents/default.aspx?pdffile=CDL-AD(2014)006-e :):  4.</w:t>
            </w:r>
            <w:r>
              <w:rPr>
                <w:rFonts w:ascii="GHEA Grapalat" w:eastAsia="GHEA Grapalat" w:hAnsi="GHEA Grapalat" w:cs="GHEA Grapalat"/>
                <w:color w:val="000000"/>
                <w:sz w:val="22"/>
                <w:szCs w:val="22"/>
              </w:rPr>
              <w:tab/>
              <w:t>Ռազմավարությամբ նախատեսվում են նաև որոշակի գործողություններ Հարկադիր կատարումն ապահովող ծառայության արդյունավետության բարձրացման ուղղությամբ, մասնավորապես  Ծառայության նոր մոդելի ներդրում, կատարողական վարույթների վերաբերյալ համապարփակ իրավակարգավորումների սահմանում, «Կատարողական վարույթի մասին» նոր օրենքի մշակում, կատարողական ծախսերի տարբերակված ամրագրում և այլն:        Գտնում ենք, որ ռազմավարության և  գործողությունների ծրագրի շրջանակներում քննարկման ենթակա պետք է դառնան նաև հետևյալ խնդիրների և դրանց լուծմանն ուղղված գործողությունները.  •</w:t>
            </w:r>
            <w:r>
              <w:rPr>
                <w:rFonts w:ascii="GHEA Grapalat" w:eastAsia="GHEA Grapalat" w:hAnsi="GHEA Grapalat" w:cs="GHEA Grapalat"/>
                <w:color w:val="000000"/>
                <w:sz w:val="22"/>
                <w:szCs w:val="22"/>
              </w:rPr>
              <w:tab/>
              <w:t xml:space="preserve">Խնդրահարույց է դատական ակտերի չկատարման կամ ձգձգումներով կատարման հետևանքով հասցված նյութական և ոչ նյութական վնասի հատուցման (ՀՀ քաղաքացիական օրենսգրքի 162.1 հոդվածով սահմանված արդար դատաքննության իրավունքի խախտման դեպքում ոչ նյութական վնասի </w:t>
            </w:r>
            <w:r>
              <w:rPr>
                <w:rFonts w:ascii="GHEA Grapalat" w:eastAsia="GHEA Grapalat" w:hAnsi="GHEA Grapalat" w:cs="GHEA Grapalat"/>
                <w:color w:val="000000"/>
                <w:sz w:val="22"/>
                <w:szCs w:val="22"/>
              </w:rPr>
              <w:lastRenderedPageBreak/>
              <w:t>հատուցմանն առնչվող կարգավորումը Մարդու իրավունքների եվրոպական կոնվենցիայի դրույթներին համահունչ մեկնաբանելու և կիրառելու դեպքում։)  ընթացակարգը, որը ՀՀ Վճռաբեկ դատարանի կողմից արտահայտված իրավական դիրքորոշումների շրջանակներում բացառում է Հարկադիր կատարումն ապահովող ծառայության գործողությունների (անգործության, վարչական ակտի) ոչ իրավաչափ ճանաչման շրջանակներում վնասի հատուցման պահանջի միաժամանակյա ներկայացումը: Կոնվենցիայի 6-րդ հոդվածից ուղղակիորեն բխող դատական ակտի՝ առանց չհիմնավորված ձգձգումների կատարման իրավունքի խախտման դեպքում տրամադրվող իրավական պաշտպանության միջոցը չի կարող արդյունավետ համարվել, եթե այն ենթադրում է որևէ իրավաչափ նպատակով չպայմանավորված լրացուցիչ վարչական և դատական ընթացակարգերի սպառման պահանջ, ինչպես նաև հանգեցնում է անորոշ ժամկետով փոխհատուցման տրամադրման հետաձգման:  Որպես խնդրի լուծում՝ առաջարկվում է վերանայել դատական ակտերի չկատարման կամ ձգձգումներով կատարման հետևանքով հասցված նյութական և ոչ նյութական վնասի հատուցման (ՀՀ քաղաքացիական օրենսգրքի 162.1 հոդվածով սահմանված արդար դատաքննության իրավունքի խախտման դեպքում ոչ նյութական վնասի հատուցմանն առնչվող կարգավորումը Մարդու իրավունքների եվրոպական կոնվենցիայի դրույթներին համահունչ մեկնաբանելու և կիրառելու դեպքում:) ընթացակարգը՝ Հարկադիր կատարումն ապահովող ծառայության գործողությունների (անգործության, վարչական ակտի) ոչ իրավաչափ ճանաչման պահանջի հետ համատեղ վնասի հատուցման պահանջի ներկայացման հնարավորության սահմանմամբ:   •</w:t>
            </w:r>
            <w:r>
              <w:rPr>
                <w:rFonts w:ascii="GHEA Grapalat" w:eastAsia="GHEA Grapalat" w:hAnsi="GHEA Grapalat" w:cs="GHEA Grapalat"/>
                <w:color w:val="000000"/>
                <w:sz w:val="22"/>
                <w:szCs w:val="22"/>
              </w:rPr>
              <w:tab/>
              <w:t xml:space="preserve">ՀՀ վարչական դատավարության օրենսգրքով սահմանված կարգավորումների շրջանակներում Հարկադիր կատարումն ապահովող ծառայության </w:t>
            </w:r>
            <w:r>
              <w:rPr>
                <w:rFonts w:ascii="GHEA Grapalat" w:eastAsia="GHEA Grapalat" w:hAnsi="GHEA Grapalat" w:cs="GHEA Grapalat"/>
                <w:color w:val="000000"/>
                <w:sz w:val="22"/>
                <w:szCs w:val="22"/>
              </w:rPr>
              <w:lastRenderedPageBreak/>
              <w:t>գործողությունները, անգործությունը, ինչպես նաև վարչական ակտերը կարող են բողոքարկվել Վարչական դատարան: Այնուամենայնիվ, օրենսգիրքը չի նախատեսում կատարողական վարույթի արագացմանը միտված հատուկ կարգավորումներ Վարչական դատարանում գործի քննության շրջանակներում: Այսինքն՝ Հարկադիր կատարումն ապահովող ծառայության անգործության դեմ ներկայացված հայցադիմումը կարող է տևական ժամանակահատված քննության առարկա լինել Վարչական դատարանում, այնուհետև կայացված դատական ակտը Ծառայության կողմից կարող է բողոքարկվել վերադաս դատարաններ, ինչն անխուսափելիորեն հանգեցնում է սույն գործընթացի իմաստազրկման՝ վերածելով այն իրավունքի պաշտպանության անարդյունավետ միջոցի:  -</w:t>
            </w:r>
            <w:r>
              <w:rPr>
                <w:rFonts w:ascii="GHEA Grapalat" w:eastAsia="GHEA Grapalat" w:hAnsi="GHEA Grapalat" w:cs="GHEA Grapalat"/>
                <w:color w:val="000000"/>
                <w:sz w:val="22"/>
                <w:szCs w:val="22"/>
              </w:rPr>
              <w:tab/>
              <w:t xml:space="preserve">         Ելնելով վերոգրյալից՝ գտնում ենք, որ անհրաժեշտ է Վարչական դատավարության օրենսգրքով սահմանել Հարկադիր կատարումն ապահովող ծառայության անգործության վիճարկմանն առնչվող գործերի քննության հստակ և սեղմ ժամկետներ, ինչպես նաև դրանց քննության արդյունավետությունը բարձրացնելուն ուղղված այլ կարգավորումներ: -</w:t>
            </w:r>
            <w:r>
              <w:rPr>
                <w:rFonts w:ascii="GHEA Grapalat" w:eastAsia="GHEA Grapalat" w:hAnsi="GHEA Grapalat" w:cs="GHEA Grapalat"/>
                <w:color w:val="000000"/>
                <w:sz w:val="22"/>
                <w:szCs w:val="22"/>
              </w:rPr>
              <w:tab/>
              <w:t xml:space="preserve">     Կատարողական վարույթի արդյունավետությունը բարձրացնելու, դատական ակտերի կատարման ժամկետները կրճատելու նպատակով անհրաժեշտ ենք համարում նաև Վարչական իրավախախտումների վերաբերյալ ՀՀ օրենսգրքի 2069-րդ և 2065-րդ հոդվածներով սահմանված զանցանքներով անձին վարչական պատասխանատվության ենթարկելու լիազորությունը վերապահել Հարկադիր կատարումն ապահովող ծառայությանը՝ այսպիսով մեկտեղելով իրավախախտումն արձանագրելու և դրա հիման վրա վարչական պատասխանատվության ենթարկելու գործառույթները (Արձանագրենք նաև, որ ՀՀ Սահմանադրական դատարանի 2021 թվականի փետրվարի 23-ի թիվ ՍԴՈ-1578 որոշմամբ նշվել է, որ ինչպես վարչական </w:t>
            </w:r>
            <w:r>
              <w:rPr>
                <w:rFonts w:ascii="GHEA Grapalat" w:eastAsia="GHEA Grapalat" w:hAnsi="GHEA Grapalat" w:cs="GHEA Grapalat"/>
                <w:color w:val="000000"/>
                <w:sz w:val="22"/>
                <w:szCs w:val="22"/>
              </w:rPr>
              <w:lastRenderedPageBreak/>
              <w:t>պատասխանատվության ենթարկելու լիազորությունը դատարանին վերապահելը, այնպես էլ համապատասխան օրենսդրական փոփոխություններով դատարանի նման լիազորության դադարեցումը Սահմանադրության 88-րդ հոդվածի 2-րդ մասով նախատեսված օրենսդիր իշխանության իրավազորության տիրույթում են։ Մասնավորապես Սահմանադրական դատարանը գտել է, որ վարչական պատասխանատվության ենթարկելու լիազորությունը դատարանին վերապահելը կամ արդեն իսկ գոյություն ունեցող նման լիազորության դադարեցումը չի հանգեցնում սահմանադրական որևէ սկզբունքի կամ իրավունքի խախտման, և այդ ընտրությունը լիովին համատեղելի է Սահմանադրության 88-րդ հոդվածի 2-րդ մասով նախատեսված՝ օրենսդիր իշխանության իրականացման համար Ազգային ժողովին վերապահված հայեցողության սահմանների հետ։):  •</w:t>
            </w:r>
            <w:r>
              <w:rPr>
                <w:rFonts w:ascii="GHEA Grapalat" w:eastAsia="GHEA Grapalat" w:hAnsi="GHEA Grapalat" w:cs="GHEA Grapalat"/>
                <w:color w:val="000000"/>
                <w:sz w:val="22"/>
                <w:szCs w:val="22"/>
              </w:rPr>
              <w:tab/>
              <w:t>Գտնում ենք, որ վերանայման է ենթակա նաև կատարողական վարույթի ընթացքում բռնագանձված գումարի բաշխման կարգի և պահանջների բավարարման սահմանված հերթականությունը՝ կատարողական ծախսերի գանձման առաջնահերթության տեսանկյունից: Կատարողական ծախսերի գանձումը պահանջատիրոջ պահանջներից, այդ թվում՝ աշխատանքային և հեղինակային պայմանագրերով վարձատրությունների վճարումներից  կամ պարտատիրոջ այլ պահանջներից առաջ, դրամական միջոցների անբավարարության պարագայում, կարող է հանգեցնել դատական ակտի կատարման անհնարինության և անձի՝ Սահմանադրությամբ երաշխավորված իրավունքների խախտմանը:   •</w:t>
            </w:r>
            <w:r>
              <w:rPr>
                <w:rFonts w:ascii="GHEA Grapalat" w:eastAsia="GHEA Grapalat" w:hAnsi="GHEA Grapalat" w:cs="GHEA Grapalat"/>
                <w:color w:val="000000"/>
                <w:sz w:val="22"/>
                <w:szCs w:val="22"/>
              </w:rPr>
              <w:tab/>
              <w:t xml:space="preserve">Էական բարեփոխման կարիք ունի նաև կատարողական թերթի պահանջները չկատարելու համար իրավական պատասխանատվության միջոցների  համակարգը՝ հաշվի առնելով դրա ցածր արդյունավետությունը, միաժամանակ հարկադիր </w:t>
            </w:r>
            <w:r>
              <w:rPr>
                <w:rFonts w:ascii="GHEA Grapalat" w:eastAsia="GHEA Grapalat" w:hAnsi="GHEA Grapalat" w:cs="GHEA Grapalat"/>
                <w:color w:val="000000"/>
                <w:sz w:val="22"/>
                <w:szCs w:val="22"/>
              </w:rPr>
              <w:lastRenderedPageBreak/>
              <w:t>կատարման ենթակա ակտերի կամովին կատարումը խթանելու նպատակով անհրաժեշտ է սահմանել լրացուցիչ գործուն միջոցներ, այդ թվում՝ սահմանելով դատական և այլ ակտերի կամավոր կատարման հնարավորություն հարկադիր կատարման սկզբնական փուլում՝ կատարողական ծախսերը չհաշվարկելու (կամ նվազագույն չափ հաշվարկելու պայմանով (որպես խրախուսման արդյունավետ մեխանիզմ):   •</w:t>
            </w:r>
            <w:r>
              <w:rPr>
                <w:rFonts w:ascii="GHEA Grapalat" w:eastAsia="GHEA Grapalat" w:hAnsi="GHEA Grapalat" w:cs="GHEA Grapalat"/>
                <w:color w:val="000000"/>
                <w:sz w:val="22"/>
                <w:szCs w:val="22"/>
              </w:rPr>
              <w:tab/>
              <w:t>Ծրագրային և ռազմավարական նպատակներից է կատարողական վարույթի թվայնացումը և կատարողական վարույթում էլեկտրոնային գործիքակազմի ընդլայնումը, որով պետք է նախատեսվի նաև կատարողական վարույթում ծանուցման գործիքակազմի արդյունավետության բարձրացում։  Այս կապակցությամբ հարկ ենք համարում արձանագրել, որ «Դատական ակտերի հարկադիր կատարման մասին» ՀՀ օրենքի գործող կարգավորումների պայմաններում ամրագրված չէ հարկադիր կատարողի բոլոր որոշումները վարույթի կողմերին ստացման մասին հավաստմամբ ծանուցելու պարտականությունը, ինչը խնդրահարույց է ՀՀ Սահմանադրության 50-րդ հոդվածով սահմանված պատշաճ վարչարարության իրավունքի ապահովման տեսանկյունից և մի շարք դեպքերում հանգեցնում է հասցեատիրոջ կողմից իր իրավունքների իրականացման հնարավորությունից զրկման: Նշված կարգավորումները խնդրահարույց են նաև ՀՀ սահմանադրական դատարանի  2020 թվականի մայիսի 12-ի թիվ ՍԴՈ-1529 և 2015 թվականի մայիսի 26-ի թիվ ՍԴՈ-1210 որոշումներով արտահայտված իրավական դիրքորոշումների տեսանկյունից:   5.</w:t>
            </w:r>
            <w:r>
              <w:rPr>
                <w:rFonts w:ascii="GHEA Grapalat" w:eastAsia="GHEA Grapalat" w:hAnsi="GHEA Grapalat" w:cs="GHEA Grapalat"/>
                <w:color w:val="000000"/>
                <w:sz w:val="22"/>
                <w:szCs w:val="22"/>
              </w:rPr>
              <w:tab/>
              <w:t xml:space="preserve">Հիմնավորված չենք համարում նաև դատավորների վարձատրության շարունակական բարձրացումը Վճռաբեկ դատարանից սկսելու տրամաբանությունը՝ հաշվի առնելով տարբեր դատական ատյանների իրական ծանրաբեռնվածությունը և վճռաբեկ բողոքների վարույթ ընդունման </w:t>
            </w:r>
            <w:r>
              <w:rPr>
                <w:rFonts w:ascii="GHEA Grapalat" w:eastAsia="GHEA Grapalat" w:hAnsi="GHEA Grapalat" w:cs="GHEA Grapalat"/>
                <w:color w:val="000000"/>
                <w:sz w:val="22"/>
                <w:szCs w:val="22"/>
              </w:rPr>
              <w:lastRenderedPageBreak/>
              <w:t>բնագավառում ձևավորված պրակտիկան (այդ թվում՝ վճռաբեկ բողոքը վարույթ ընդունելը մերժելու վերաբերյալ որոշումների պատճառաբանվածության աստիճանը) և վիճակագրությունը:    Իրավունքի զարգացման և պաշտպանության հիմնադրամ</w:t>
            </w:r>
          </w:p>
        </w:tc>
        <w:tc>
          <w:tcPr>
            <w:tcW w:w="3800" w:type="dxa"/>
            <w:tcBorders>
              <w:top w:val="single" w:sz="1" w:space="0" w:color="000000"/>
              <w:left w:val="single" w:sz="1" w:space="0" w:color="000000"/>
              <w:bottom w:val="single" w:sz="1" w:space="0" w:color="000000"/>
              <w:right w:val="single" w:sz="1" w:space="0" w:color="000000"/>
            </w:tcBorders>
          </w:tcPr>
          <w:p w:rsidR="008F1130" w:rsidRDefault="00A630C1">
            <w:pPr>
              <w:jc w:val="center"/>
            </w:pPr>
            <w:r>
              <w:rPr>
                <w:rFonts w:ascii="GHEA Grapalat" w:eastAsia="GHEA Grapalat" w:hAnsi="GHEA Grapalat" w:cs="GHEA Grapalat"/>
                <w:color w:val="000000"/>
                <w:sz w:val="22"/>
                <w:szCs w:val="22"/>
              </w:rPr>
              <w:lastRenderedPageBreak/>
              <w:t xml:space="preserve">1. Ընդունվել է ի գիտություն 2. Ընդունվել է ի գիտություն 3. 1. Չի ընդունվել 3.2. Ընդունվել </w:t>
            </w:r>
            <w:r>
              <w:rPr>
                <w:rFonts w:ascii="GHEA Grapalat" w:eastAsia="GHEA Grapalat" w:hAnsi="GHEA Grapalat" w:cs="GHEA Grapalat"/>
                <w:color w:val="000000"/>
                <w:sz w:val="22"/>
                <w:szCs w:val="22"/>
              </w:rPr>
              <w:lastRenderedPageBreak/>
              <w:t>է ի գիտություն 3.3. Ընդունվել է ի գիտություն 3.4. Չի ընդունվել 3.5. Ընդունվել է ի գիտություն 3.6. Ընդունվել է ի գիտություն 4. 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8F1130" w:rsidRDefault="00A630C1">
            <w:pPr>
              <w:jc w:val="center"/>
            </w:pPr>
            <w:r>
              <w:rPr>
                <w:rFonts w:ascii="GHEA Grapalat" w:eastAsia="GHEA Grapalat" w:hAnsi="GHEA Grapalat" w:cs="GHEA Grapalat"/>
                <w:color w:val="000000"/>
                <w:sz w:val="22"/>
                <w:szCs w:val="22"/>
              </w:rPr>
              <w:lastRenderedPageBreak/>
              <w:t xml:space="preserve">1. Առաջարկության՝ Ռազմավարությամբ նախատեսված գործողությունների շրջանակում ներառելու հարցը կդիտարկվի դրա </w:t>
            </w:r>
            <w:r>
              <w:rPr>
                <w:rFonts w:ascii="GHEA Grapalat" w:eastAsia="GHEA Grapalat" w:hAnsi="GHEA Grapalat" w:cs="GHEA Grapalat"/>
                <w:color w:val="000000"/>
                <w:sz w:val="22"/>
                <w:szCs w:val="22"/>
              </w:rPr>
              <w:lastRenderedPageBreak/>
              <w:t xml:space="preserve">լրացուցիչ ուսումնասիրության արդյունքում: Միևնույն ժամանակ հայտնում ենք, որ Արդարադատության նախարարությունը ստացել է Ձեր հիմնադրամի կողմից պատրաստված զեկույցը, որը նույնպես լրացուցիչ կուսումնասիրվի՝ դրանում առկա առաջարկությունները Ռազմավարությամբ նախատեսելու նպատակահարմարությունը քննարկելու համար: 2. Առաջարկության՝ Ռազմավարությամբ նախատեսված գործողությունների շրջանակում ներառելու հարցը կդիտարկվի դրա լրացուցիչ ուսումնասիրության արդյունքում: Միևնույն </w:t>
            </w:r>
            <w:r>
              <w:rPr>
                <w:rFonts w:ascii="GHEA Grapalat" w:eastAsia="GHEA Grapalat" w:hAnsi="GHEA Grapalat" w:cs="GHEA Grapalat"/>
                <w:color w:val="000000"/>
                <w:sz w:val="22"/>
                <w:szCs w:val="22"/>
              </w:rPr>
              <w:lastRenderedPageBreak/>
              <w:t xml:space="preserve">ժամանակ հայտնում ենք, որ Արդարադատության նախարարությունը ստացել է Ձեր հիմնադրամի կողմից պատրաստված զեկույցը, որը նույնպես լրացուցիչ կուսումնասիրվի՝ դրանում առկա առաջարկությունները Ռազմավարությամբ նախատեսելու նպատակահարմարությունը քննարկելու համար: 3.1. Կատարողական վարույթը վարչարարություն է, հետևաբար՝ կատարողական վարույթի շրջանակում կայացված վարչական ակտերի, հարկադիր կատարողի գործողության կամ անգործությամբ պատճառված վնասի </w:t>
            </w:r>
            <w:r>
              <w:rPr>
                <w:rFonts w:ascii="GHEA Grapalat" w:eastAsia="GHEA Grapalat" w:hAnsi="GHEA Grapalat" w:cs="GHEA Grapalat"/>
                <w:color w:val="000000"/>
                <w:sz w:val="22"/>
                <w:szCs w:val="22"/>
              </w:rPr>
              <w:lastRenderedPageBreak/>
              <w:t xml:space="preserve">հատուցման հարաբերությունների նկատմամբ կիրառելի են «Վարչարարության հիմունքների և վարչական վարույթի մասին» օրենքի պահանջները, այդ թվում՝ «Վարչարարության հիմունքների և վարչական վարույթի մասին» ՀՀ օրենքի 100-րդ հոդվածի 1-ին մասը, որը սահմանում է, որ վնասի հատուցման պահանջը պետք է ներկայացվի այն վարչական մարմին, որի վարչարարության հետևանքով պատճառվել է դա: օրենսդիրը սահմանել է վարչարարությամբ պատճառված վնասի հատուցման արտադատական կարգ՝ </w:t>
            </w:r>
            <w:r>
              <w:rPr>
                <w:rFonts w:ascii="GHEA Grapalat" w:eastAsia="GHEA Grapalat" w:hAnsi="GHEA Grapalat" w:cs="GHEA Grapalat"/>
                <w:color w:val="000000"/>
                <w:sz w:val="22"/>
                <w:szCs w:val="22"/>
              </w:rPr>
              <w:lastRenderedPageBreak/>
              <w:t xml:space="preserve">վարչարարությամբ վնաս պատճառած մարմնին ներկայացված դիմումի հիման վրա հարուցվող վարչական վարույթի ձևով, և միայն արտադատական կարգով վնասի հատուցման իրավունքի իրացման անհնարինության՝ վարչական մարմնի կողմից դիմումը չքնարկելու կամ մերժելու դեպքում է հնարավոր վնասի հատուցման իրավունքի իրացումը դատական կարգով: Այս հարցում իր արտահայտած դիրքորոշումներով կայուն դատական պրակտիկա է ձևավորել նաև Վճռաբեկ դատարանը:  Հարկադիր կատարողի որոշումներով, </w:t>
            </w:r>
            <w:r>
              <w:rPr>
                <w:rFonts w:ascii="GHEA Grapalat" w:eastAsia="GHEA Grapalat" w:hAnsi="GHEA Grapalat" w:cs="GHEA Grapalat"/>
                <w:color w:val="000000"/>
                <w:sz w:val="22"/>
                <w:szCs w:val="22"/>
              </w:rPr>
              <w:lastRenderedPageBreak/>
              <w:t xml:space="preserve">գործողություններով և անգործությամբ պատճառված վնասի հատուցման՝ այլ վարչական մարմինների կողմից իրականացվող վարչարարությամբ պատճառված վնասի հատուցման ընթացակարգի համեմատությամբ լիովին տարբեր ընթացակարգ սահմանելը որևէ ողջամիտ և օբյեկտիվ հիմնավորում չունի, իսկ ՀՀ քաղաքացիական օրենսգրքի հիշատակված դրույթները և առհասարակ վնասի հատուցման վերաբերյալ ՀՀ քաղաքացիական օրենսգրքի դրույթները վարչարարությամբ պատճառված վնասի հատուցման հարաբերությունների </w:t>
            </w:r>
            <w:r>
              <w:rPr>
                <w:rFonts w:ascii="GHEA Grapalat" w:eastAsia="GHEA Grapalat" w:hAnsi="GHEA Grapalat" w:cs="GHEA Grapalat"/>
                <w:color w:val="000000"/>
                <w:sz w:val="22"/>
                <w:szCs w:val="22"/>
              </w:rPr>
              <w:lastRenderedPageBreak/>
              <w:t xml:space="preserve">նկատմամբ կիրառելի համարվել չեն կարող։ 3.2. Առաջարկության՝ Ռազմավարությամբ նախատեսված գործողությունների շրջանակում ներառելու հարցը կդիտարկվի դրա լրացուցիչ ուսումնասիրության արդյունքում: 3.3. Դիտարկում հաշվի կառնվի «Կատարողական վարույթի մասին» օրենքի նախագծի մշակման գործընթացում։ 3.4. Բռնագանձված գումարների բաշխման վերաբերյալ ներկայիս իրավակարգավորումը չի կարող հանգեցնել դատական ակտի կատարման անհնարինության, քանի որ կատարողական </w:t>
            </w:r>
            <w:r>
              <w:rPr>
                <w:rFonts w:ascii="GHEA Grapalat" w:eastAsia="GHEA Grapalat" w:hAnsi="GHEA Grapalat" w:cs="GHEA Grapalat"/>
                <w:color w:val="000000"/>
                <w:sz w:val="22"/>
                <w:szCs w:val="22"/>
              </w:rPr>
              <w:lastRenderedPageBreak/>
              <w:t xml:space="preserve">ծախսերը գանձվում են բռնագանձված գումարների չափին համամասնորեն։ Նման մոտեցումն մոդելն արդարացված է, քանի որ հարկադիր կատարման գործընթացում ահռելի ֆինանսական ռեսուրսներ են պահանջվում, որոնց գանձման անհրաժեշտությունը չի կարող կասկածի տակ դրվել՝ հաշվի առնելով նաև այն հանգամանքը, որ հարկադիր կատարման ենթակա ակտի կատարման կատարողական վարույթ հարուցելը ենթադրում է պարտապանի կողմից իր պարտավորության ժամանակին ոչ կամովին կատարում, ինչը </w:t>
            </w:r>
            <w:r>
              <w:rPr>
                <w:rFonts w:ascii="GHEA Grapalat" w:eastAsia="GHEA Grapalat" w:hAnsi="GHEA Grapalat" w:cs="GHEA Grapalat"/>
                <w:color w:val="000000"/>
                <w:sz w:val="22"/>
                <w:szCs w:val="22"/>
              </w:rPr>
              <w:lastRenderedPageBreak/>
              <w:t xml:space="preserve">անխուսափելիորեն պետք է հանգեցնի նաև անբարենպաստ հետևանքների՝ այդ թվում՝ կատարողական ծախսերի գանձման ձևով։ 3.5. Դիտարկում հաշվի կառնվի «Կատարողական վարույթի մասին» օրենքի նախագծի մշակման գործընթացում։ 3.6. Առաջարկության՝ Ռազմավարությամբ նախատեսված գործողությունների շրջանակում ներառելու հարցը կդիտարկվի դրա լրացուցիչ ուսումնասիրության արդյունքում: 4. Դատավորների աշխատավարձերի և այլ սոցիալական երաշխիքների բարձրացումն ու </w:t>
            </w:r>
            <w:r>
              <w:rPr>
                <w:rFonts w:ascii="GHEA Grapalat" w:eastAsia="GHEA Grapalat" w:hAnsi="GHEA Grapalat" w:cs="GHEA Grapalat"/>
                <w:color w:val="000000"/>
                <w:sz w:val="22"/>
                <w:szCs w:val="22"/>
              </w:rPr>
              <w:lastRenderedPageBreak/>
              <w:t xml:space="preserve">բարելավումը շարունակական և պարբերական բնույթ են կրում: Ընդ որում, նախքան այս արդեն իսկ նախատեսվել են բարձր աշխատավարձով հաստիքներ հակակոռուպցիոն դատարանի դատավորների համար, բարձրացվել են վերաքննիչ դատարանի դատավորների աշխատավարձներ: Ուստի, ներկա փուլում և ռազմավարությամբ նախատեսված նպատակների համատեքստում առաջնահերթ ընդգծվել է բարձր ատյանների դատավորների աշխատավարձերի բարձրացման կարևորությունը: Սակայն </w:t>
            </w:r>
            <w:r>
              <w:rPr>
                <w:rFonts w:ascii="GHEA Grapalat" w:eastAsia="GHEA Grapalat" w:hAnsi="GHEA Grapalat" w:cs="GHEA Grapalat"/>
                <w:color w:val="000000"/>
                <w:sz w:val="22"/>
                <w:szCs w:val="22"/>
              </w:rPr>
              <w:lastRenderedPageBreak/>
              <w:t>նման միջոցառումը, կրելով շարունակական բնույթ, պարբերաբար իրականացվելու է բոլոր ատյանների դատավորների առնչությամբ:</w:t>
            </w:r>
          </w:p>
        </w:tc>
      </w:tr>
      <w:tr w:rsidR="008F1130">
        <w:tc>
          <w:tcPr>
            <w:tcW w:w="500" w:type="dxa"/>
            <w:tcBorders>
              <w:top w:val="single" w:sz="1" w:space="0" w:color="000000"/>
              <w:left w:val="single" w:sz="1" w:space="0" w:color="000000"/>
              <w:bottom w:val="single" w:sz="1" w:space="0" w:color="000000"/>
              <w:right w:val="single" w:sz="1" w:space="0" w:color="000000"/>
            </w:tcBorders>
          </w:tcPr>
          <w:p w:rsidR="008F1130" w:rsidRDefault="00A630C1">
            <w:pPr>
              <w:jc w:val="center"/>
            </w:pPr>
            <w:r>
              <w:rPr>
                <w:rFonts w:ascii="GHEA Grapalat" w:eastAsia="GHEA Grapalat" w:hAnsi="GHEA Grapalat" w:cs="GHEA Grapalat"/>
                <w:color w:val="000000"/>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8F1130" w:rsidRDefault="00A630C1">
            <w:pPr>
              <w:jc w:val="center"/>
            </w:pPr>
            <w:r>
              <w:rPr>
                <w:rFonts w:ascii="GHEA Grapalat" w:eastAsia="GHEA Grapalat" w:hAnsi="GHEA Grapalat" w:cs="GHEA Grapalat"/>
                <w:color w:val="000000"/>
                <w:sz w:val="22"/>
                <w:szCs w:val="22"/>
              </w:rPr>
              <w:t>Իրավունքի զարգացման և պաշտպանության հիմնադրամ</w:t>
            </w:r>
          </w:p>
          <w:p w:rsidR="008F1130" w:rsidRDefault="00A630C1">
            <w:pPr>
              <w:jc w:val="center"/>
            </w:pPr>
            <w:r>
              <w:rPr>
                <w:rFonts w:ascii="GHEA Grapalat" w:eastAsia="GHEA Grapalat" w:hAnsi="GHEA Grapalat" w:cs="GHEA Grapalat"/>
                <w:color w:val="000000"/>
                <w:sz w:val="22"/>
                <w:szCs w:val="22"/>
              </w:rPr>
              <w:t>25.03.2022 20:21:22</w:t>
            </w:r>
          </w:p>
        </w:tc>
        <w:tc>
          <w:tcPr>
            <w:tcW w:w="5200" w:type="dxa"/>
            <w:tcBorders>
              <w:top w:val="single" w:sz="1" w:space="0" w:color="000000"/>
              <w:left w:val="single" w:sz="1" w:space="0" w:color="000000"/>
              <w:bottom w:val="single" w:sz="1" w:space="0" w:color="000000"/>
              <w:right w:val="single" w:sz="1" w:space="0" w:color="000000"/>
            </w:tcBorders>
          </w:tcPr>
          <w:p w:rsidR="008F1130" w:rsidRDefault="00A630C1">
            <w:pPr>
              <w:jc w:val="center"/>
            </w:pPr>
            <w:r>
              <w:rPr>
                <w:rFonts w:ascii="GHEA Grapalat" w:eastAsia="GHEA Grapalat" w:hAnsi="GHEA Grapalat" w:cs="GHEA Grapalat"/>
                <w:color w:val="000000"/>
                <w:sz w:val="22"/>
                <w:szCs w:val="22"/>
              </w:rPr>
              <w:t xml:space="preserve">ԿԱՐԾԻՔ Հայաստանի Հանրապետության դատական և իրավական բարեփոխումների 2022-2026 թվականների ռազմավարությունը և դրանից բխող գործողությունների ծրագիրը հաստատելու մասին ՀՀ կառավարության որոշման նախագծի վերաբերյալ  11.03.2022 թ.-ին ՀՀ արդարադատության նախարարության կողմից հանրային քննարկման է դրվել Հայաստանի Հանրապետության դատական և իրավական բարեփոխումների 2022-2026 թվականների ռազմավարությունը և դրանից բխող գործողությունների ծրագիրը հաստատելու մասին ՀՀ կառավարության որոշման նախագիծը (https://www.e-draft.am/projects/4092/about?fbclid=IwAR1NOEVY_eoYDkpWbo0CdzathRevk54cuCJhc-XC9dYSd82bx0FuyFpbKyk) : Հարկ ենք համարում արձանագրել, որ ո՛չ դատական և իրավական բարեփոխումների ռազմավարությունը և ո՛չ էլ դրանից բխող գործողությունների ծրագիրը չեն ներառում որևէ կարգավորում դատավորների կարգապահական պատասխանատվության ընթացակարգերի բնագավառում:  Նշենք, որ  Հայաստանի Հանրապետության դատական և իրավական բարեփոխումների 2019-2023 թվականների ռազմավարությամբ և դրանից բխող գործողությունների ծրագրերով մանրամասն անդրադարձ է կատարվել դատավորի </w:t>
            </w:r>
            <w:r>
              <w:rPr>
                <w:rFonts w:ascii="GHEA Grapalat" w:eastAsia="GHEA Grapalat" w:hAnsi="GHEA Grapalat" w:cs="GHEA Grapalat"/>
                <w:color w:val="000000"/>
                <w:sz w:val="22"/>
                <w:szCs w:val="22"/>
              </w:rPr>
              <w:lastRenderedPageBreak/>
              <w:t>կարգապահական պատասխանատվության հետ կապված խնդիրներին, այդ թվում՝ պատասխանատվության հիմքերի հստակեցման անհրաժեշտության, կարգապահական հանձնաժողովի կազմավորման կարգին առնչվող հարցերին: Թեև ՀՀ դատական օրենսգրքում նախանշված ուղղություններով կատարվել են առանձին օրենսդրական փոփոխություններ, որոշակիորեն բարեփոխվել է էթիկայի և կարգապահական հանձնաժողովի կազմավորման կարգը, կատարվել են փոփոխություններ նաև կարգապահական պատասխանատվության համակարգում, այնուամենայնիվ, գտնում ենք, որ ձեռնարկված միջոցները բավարար չեն կարող համարվել նախանշված խնդիրները լուծված համարելու համար: 1.</w:t>
            </w:r>
            <w:r>
              <w:rPr>
                <w:rFonts w:ascii="GHEA Grapalat" w:eastAsia="GHEA Grapalat" w:hAnsi="GHEA Grapalat" w:cs="GHEA Grapalat"/>
                <w:color w:val="000000"/>
                <w:sz w:val="22"/>
                <w:szCs w:val="22"/>
              </w:rPr>
              <w:tab/>
              <w:t xml:space="preserve">Այսպես, 25.03.2020 թ.-ին ՀՀ դատական օրենսգրքում (այսուհետ՝ նաև Օրենսգիրք) կատարված փոփոխությունների արդյունքում  Օրենսգրքի 142-րդ հոդվածի 1-ին մասի 1-ին կետից  հանվեցին նյութական կամ դատավարական իրավունքի նորմի խախտման ակնհայտության և կոպիտ լինելու չափանիշները, փոխարենը խախտումը որպես կարգապահական որակելու հարցում շեշտը դրվեց այն դիտավորությամբ կամ կոպիտ անփութությամբ կատարելու հանգամանքի վրա: Խախտման ակնհայտության չափանիշի վերացումը չի բխել իրավական որոշակիության և կարգապահական պատասխանատվության կանխատեսելիության ապահովման նպատակներից՝ հանգեցնելով դատավորին կարգապահական պատասխանատվության ենթարկելու հարցում հայեցողական լիազորությունների ընդլայնման: Արձանագրենք նաև, որ նախկին խմբագրությամբ դատական օրենսգրքով բացահայտվում էր նաև այս չափանիշի բովանդակությունը, որը ենթադրում էր նյութական կամ դատավարական իրավունքի նորմի այնպիսի խախտման կատարում, որի առկայությունը չի կարող կասկածի տակ դրվել որևէ ողջամիտ իրավական ենթադրությամբ կամ փաստարկով: Նույն կերպ հանվել է </w:t>
            </w:r>
            <w:r>
              <w:rPr>
                <w:rFonts w:ascii="GHEA Grapalat" w:eastAsia="GHEA Grapalat" w:hAnsi="GHEA Grapalat" w:cs="GHEA Grapalat"/>
                <w:color w:val="000000"/>
                <w:sz w:val="22"/>
                <w:szCs w:val="22"/>
              </w:rPr>
              <w:lastRenderedPageBreak/>
              <w:t>խախտման կոպիտ լինելու չափանիշը, որի բովանդակությունը ևս բացահայտված էր դատական օրենսգրքով:  ԵԽ Վենետիկի հանձնաժողովը 2019 թ.-ին հոկտեմբերին անդրադարձել է կարգապահական պատասխանատվության հիմքերի հստակության հարցին՝ նշելով, որ «կոպիտ անփութության» ներառումը բավարար չէ՝ նպատակահարմար գտնելով նյութական կամ դատավարական իրավունքի նորմի խախտման ակնհայտ լինելու չափանիշի սահմանումը: Մասնավորապես Վենետիկի հանձնաժողովն արձանագրել է, որ միայն այն սխալները, որոնք ակնհայտ են ցանկացած իրավաբանի համար,  կարող են պատժելի լինել կարգապահական սանկցիայով (https://www.venice.coe.int/webforms/documents/default.aspx?pdffile=CDL-AD(2019)024-e)  (ԵԽ Վենետիկի հանձնաժողովի կարծիք թիվ CDL-AD(2019)024): Ուստի կատարված փոփոխությունները այս մասով, ընդհակառակը, հանգեցրել են դատավորին կարգապահական պատասխանատվության ենթարկելու հիմքերի անորոշության, և առկա է այս դրույթների վերանայման և հստակեցման անհրաժեշտություն:    2.</w:t>
            </w:r>
            <w:r>
              <w:rPr>
                <w:rFonts w:ascii="GHEA Grapalat" w:eastAsia="GHEA Grapalat" w:hAnsi="GHEA Grapalat" w:cs="GHEA Grapalat"/>
                <w:color w:val="000000"/>
                <w:sz w:val="22"/>
                <w:szCs w:val="22"/>
              </w:rPr>
              <w:tab/>
              <w:t xml:space="preserve"> Նույն փաթեթով փոփոխվեց նաև Էթիկայի և կարգապահական հարցերի հանձնաժողովի կազմավորման կարգը, ինչը թեև ուներ որոշակի դրական միտում, սակայն ակնհայտորեն բավարար չէր փոփոխությունների կատարմամբ հետապնդվող նպատակի իրագործման համար: Եթե մինչ այդ Դատական օրենսգրքով կարգապահական հարցերի հանձնաժողովը կազմված էր բացառապես դատավորներից (8 դատավոր), ապա փոփոխությունների արդյունքում հանձնաժողովի կազմում ներառվեցին նաև 2 ոչ դատավոր անդամներ:  Հաշվի առնելով այն հանգամանքը, որ Էթիկայի  և կարգապահական հարցերի հանձնաժողովը կազմված է 8 անդամներից, հանձնաժողովի կազմում 2 իրավաբանների (ոչ դատավոր անդամ) </w:t>
            </w:r>
            <w:r>
              <w:rPr>
                <w:rFonts w:ascii="GHEA Grapalat" w:eastAsia="GHEA Grapalat" w:hAnsi="GHEA Grapalat" w:cs="GHEA Grapalat"/>
                <w:color w:val="000000"/>
                <w:sz w:val="22"/>
                <w:szCs w:val="22"/>
              </w:rPr>
              <w:lastRenderedPageBreak/>
              <w:t>ներառումը որևէ էական ազդեցություն չէր կարող ունենալ հանձնաժողովի որոշումների կայացման գործընթացի վրա, քանի որ դատավոր անդամները, միևնույնն է, ունենում են գերակշիռ մասնակցություն հանձնաժողովի կազմում:  Արձանագրենք, որ Եվրոպայի խորհրդի Վենետիկի հանձնաժողովի կարծիքին ներկայացված Դատական օրենսգրքի փոփոխությունների նախնական տարբերակում հանձնաժողովի կազմում նախատեսված էր երեք ոչ դատավոր անդամների ներգրավում, ինչը Վենետիկի հանձնաժողովը ողջունելի էր համարել՝ հանձնաժողովի գործունեությունը արտաքին վերահսկողության/դիտարկման համար առավել բաց դարձնելու տեսանկյունից (ԵԽ Վենետիկի հանձնաժողովի կարծիք թիվ CDL-AD(2019)024 ) (https://www.venice.coe.int/webforms/documents/default.aspx?pdffile=CDL-AD(2019)024-e): Իսկ 2017 թ.-ի հոկտեմբերին ՀՀ դատական օրենսգրքի նախագծի վերաբերյալ տրված կարծիքում (ԵԽ Վենետիկի հանձնաժողովի կարծիք թիվ CDL-AD(2017)019 ) (https://www.venice.coe.int/webforms/documents/default.aspx?pdffile=CDL-AD(2017)019-e) շեշտել էր, որ Էթիկայի և կարգապահական հարցերի հանձնաժողովը կազմված է բացառապես դատավորներից, ինչը կորպորատիվ մոտեցում որդեգրելու ռիսկ է պարունակում և որպես նշված ռիսկի նվազեցման հնարավորություն առաջարկել էր հանձնաժողովի կազմի հավասարակշռումը ոչ դատավոր անդամների ընդգրկման միջոցով: Հաշվի առնելով էթիկայի և կարգապահական հարցերի հանձնաժողովի կողմից որոշումների ընդունման կարգը, ինչպես նաև նրա էական դերակատարությունը դատավորի նկատմամբ կարգապահական վարույթի ընթացակարգերի շրջանակներում՝ գտնում ենք, որ  հանձնաժողովի 8 անդամներից 4-ը պետք է լինեն դատավոր չհանդիսացող անդամներ:  3.</w:t>
            </w:r>
            <w:r>
              <w:rPr>
                <w:rFonts w:ascii="GHEA Grapalat" w:eastAsia="GHEA Grapalat" w:hAnsi="GHEA Grapalat" w:cs="GHEA Grapalat"/>
                <w:color w:val="000000"/>
                <w:sz w:val="22"/>
                <w:szCs w:val="22"/>
              </w:rPr>
              <w:lastRenderedPageBreak/>
              <w:tab/>
              <w:t>Հաջորդ խնդիրը կապված է Էթիկայի և կարգապահական հարցերի հանձնաժողովի գործունեության թափանցիկության հետ: Այսպես, վիճակագրությունը վկայում է այն մասին, որ ներկայացված հաղորդումների ճնշող մեծամասնությունը մերժվում է հանձնաժողովի կողմից: Հաշվի առնելով դատավորի նկատմամբ կարգապահական վարույթ հարուցելու վերաբերյալ հարցը լուծելու փուլի ոչ թափանցիկ լինելու հանգամանքը, կարգապահական վարույթ չհարուցելու վերաբերյալ հաղորդումը ներկայացրած անձանց ուղղված պատասխան գրությունների պատճառաբանվածության բացակայությունը, կարգապահական վարույթ չհարուցելու վերաբերյալ արձանագրային որոշումների անհասանելիությունը՝ բացառված է նաև արդյունավետ հանրային վերահսկողությունը Էթիկայի և կարգապահական հարցերի հանձնաժողովի գործունեության նկատմամբ՝ կարգապահական վարույթներին առնչվող որոշումների կայացման հարցերով: Ակնհայտ է, որ նման իրավակարգավորումների և իրավակիրառ պրակտիկայի առկայության պայմաններում դատավորի նկատմամբ կարգապահական վարույթ հարուցելու վերաբերյալ հարցը լուծելու փուլում ի հայտ են գալիս լուրջ կոռուպցիոն ռիսկեր, որոնք հնարավոր է չեզոքացնել միայն գործընթացի թափանցիկության և հանրային վերահսկողության բարձրացման միջոցով:</w:t>
            </w:r>
          </w:p>
        </w:tc>
        <w:tc>
          <w:tcPr>
            <w:tcW w:w="3800" w:type="dxa"/>
            <w:tcBorders>
              <w:top w:val="single" w:sz="1" w:space="0" w:color="000000"/>
              <w:left w:val="single" w:sz="1" w:space="0" w:color="000000"/>
              <w:bottom w:val="single" w:sz="1" w:space="0" w:color="000000"/>
              <w:right w:val="single" w:sz="1" w:space="0" w:color="000000"/>
            </w:tcBorders>
          </w:tcPr>
          <w:p w:rsidR="008F1130" w:rsidRDefault="00A630C1">
            <w:pPr>
              <w:jc w:val="center"/>
            </w:pPr>
            <w:r>
              <w:rPr>
                <w:rFonts w:ascii="GHEA Grapalat" w:eastAsia="GHEA Grapalat" w:hAnsi="GHEA Grapalat" w:cs="GHEA Grapalat"/>
                <w:color w:val="000000"/>
                <w:sz w:val="22"/>
                <w:szCs w:val="22"/>
              </w:rPr>
              <w:lastRenderedPageBreak/>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8F1130" w:rsidRDefault="00A630C1">
            <w:pPr>
              <w:jc w:val="center"/>
            </w:pPr>
            <w:r>
              <w:rPr>
                <w:rFonts w:ascii="GHEA Grapalat" w:eastAsia="GHEA Grapalat" w:hAnsi="GHEA Grapalat" w:cs="GHEA Grapalat"/>
                <w:color w:val="000000"/>
                <w:sz w:val="22"/>
                <w:szCs w:val="22"/>
              </w:rPr>
              <w:t xml:space="preserve">Առաջարկության՝ Ռազմավարությամբ նախատեսված գործողությունների շրջանակում ներառելու հարցը կդիտարկվի դրա լրացուցիչ ուսումնասիրության արդյունքում: Միևնույն ժամանակ հայտնում ենք, որ Արդարադատության նախարարությունը ստացել է Ձեր հիմնադրամի կողմից պատրաստված զեկույցը, որը նույնպես լրացուցիչ կուսումնասիրվի՝ դրանում առկա </w:t>
            </w:r>
            <w:r>
              <w:rPr>
                <w:rFonts w:ascii="GHEA Grapalat" w:eastAsia="GHEA Grapalat" w:hAnsi="GHEA Grapalat" w:cs="GHEA Grapalat"/>
                <w:color w:val="000000"/>
                <w:sz w:val="22"/>
                <w:szCs w:val="22"/>
              </w:rPr>
              <w:lastRenderedPageBreak/>
              <w:t>առաջարկությունները Ռազմավարությամբ նախատեսելու նպատակահարմարությունը քննարկելու համար:</w:t>
            </w:r>
          </w:p>
        </w:tc>
      </w:tr>
      <w:tr w:rsidR="008F1130">
        <w:tc>
          <w:tcPr>
            <w:tcW w:w="500" w:type="dxa"/>
            <w:tcBorders>
              <w:top w:val="single" w:sz="1" w:space="0" w:color="000000"/>
              <w:left w:val="single" w:sz="1" w:space="0" w:color="000000"/>
              <w:bottom w:val="single" w:sz="1" w:space="0" w:color="000000"/>
              <w:right w:val="single" w:sz="1" w:space="0" w:color="000000"/>
            </w:tcBorders>
          </w:tcPr>
          <w:p w:rsidR="008F1130" w:rsidRDefault="00A630C1">
            <w:pPr>
              <w:jc w:val="center"/>
            </w:pPr>
            <w:r>
              <w:rPr>
                <w:rFonts w:ascii="GHEA Grapalat" w:eastAsia="GHEA Grapalat" w:hAnsi="GHEA Grapalat" w:cs="GHEA Grapalat"/>
                <w:color w:val="000000"/>
                <w:sz w:val="22"/>
                <w:szCs w:val="22"/>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rsidR="008F1130" w:rsidRDefault="00A630C1">
            <w:pPr>
              <w:jc w:val="center"/>
            </w:pPr>
            <w:r>
              <w:rPr>
                <w:rFonts w:ascii="GHEA Grapalat" w:eastAsia="GHEA Grapalat" w:hAnsi="GHEA Grapalat" w:cs="GHEA Grapalat"/>
                <w:color w:val="000000"/>
                <w:sz w:val="22"/>
                <w:szCs w:val="22"/>
              </w:rPr>
              <w:t>Իրավաբանների հայկական ասոցիացիա</w:t>
            </w:r>
          </w:p>
          <w:p w:rsidR="008F1130" w:rsidRDefault="00A630C1">
            <w:pPr>
              <w:jc w:val="center"/>
            </w:pPr>
            <w:r>
              <w:rPr>
                <w:rFonts w:ascii="GHEA Grapalat" w:eastAsia="GHEA Grapalat" w:hAnsi="GHEA Grapalat" w:cs="GHEA Grapalat"/>
                <w:color w:val="000000"/>
                <w:sz w:val="22"/>
                <w:szCs w:val="22"/>
              </w:rPr>
              <w:t>24.03.2022 19:14:49</w:t>
            </w:r>
          </w:p>
        </w:tc>
        <w:tc>
          <w:tcPr>
            <w:tcW w:w="5200" w:type="dxa"/>
            <w:tcBorders>
              <w:top w:val="single" w:sz="1" w:space="0" w:color="000000"/>
              <w:left w:val="single" w:sz="1" w:space="0" w:color="000000"/>
              <w:bottom w:val="single" w:sz="1" w:space="0" w:color="000000"/>
              <w:right w:val="single" w:sz="1" w:space="0" w:color="000000"/>
            </w:tcBorders>
          </w:tcPr>
          <w:p w:rsidR="008F1130" w:rsidRDefault="00A630C1">
            <w:pPr>
              <w:jc w:val="center"/>
            </w:pPr>
            <w:r>
              <w:rPr>
                <w:rFonts w:ascii="GHEA Grapalat" w:eastAsia="GHEA Grapalat" w:hAnsi="GHEA Grapalat" w:cs="GHEA Grapalat"/>
                <w:color w:val="000000"/>
                <w:sz w:val="22"/>
                <w:szCs w:val="22"/>
              </w:rPr>
              <w:t xml:space="preserve">«Իրավաբանների հայկական ասոցիացիա» հասարակական կազմակերպությունը իրականացնում է Հայաստանի Հանրապետության դատական և իրավական բարեփոխումների 2019-2023 թվականների ռազմավարության (այսուհետ՝ Ռազմավարություն) և դրանից բխող գործողությունների ծրագրերի 2019-2021 թվականների կատարման այլընտրանքային հասարակական մշտադիտարկում, որի արդյունքում </w:t>
            </w:r>
            <w:r>
              <w:rPr>
                <w:rFonts w:ascii="GHEA Grapalat" w:eastAsia="GHEA Grapalat" w:hAnsi="GHEA Grapalat" w:cs="GHEA Grapalat"/>
                <w:color w:val="000000"/>
                <w:sz w:val="22"/>
                <w:szCs w:val="22"/>
              </w:rPr>
              <w:lastRenderedPageBreak/>
              <w:t xml:space="preserve">մշակվել </w:t>
            </w:r>
            <w:proofErr w:type="gramStart"/>
            <w:r>
              <w:rPr>
                <w:rFonts w:ascii="GHEA Grapalat" w:eastAsia="GHEA Grapalat" w:hAnsi="GHEA Grapalat" w:cs="GHEA Grapalat"/>
                <w:color w:val="000000"/>
                <w:sz w:val="22"/>
                <w:szCs w:val="22"/>
              </w:rPr>
              <w:t>է  այլընտրանքային</w:t>
            </w:r>
            <w:proofErr w:type="gramEnd"/>
            <w:r>
              <w:rPr>
                <w:rFonts w:ascii="GHEA Grapalat" w:eastAsia="GHEA Grapalat" w:hAnsi="GHEA Grapalat" w:cs="GHEA Grapalat"/>
                <w:color w:val="000000"/>
                <w:sz w:val="22"/>
                <w:szCs w:val="22"/>
              </w:rPr>
              <w:t xml:space="preserve"> հասարակական մշտադիտարկման արդյունքների առաջին նախագիծը։   Նկատի ունենալով մշտադիտարկման արդյունքում վեր հանված խնդիրները, այդ թվում՝ Ռազմավարության և դրանից բխող գործողությունների կատարողականի բավականին ցածր ցուցանիշները, և հիմնվելով 2022 թվականի հունվարի 24-ից փետրվար 1-ը կայացած 12 ՖԽՔ-ների ընթացքում ՀՀ արդարադատության նախարարության, այլ իրավասու մարմինների ու կազմակերպությունների, մասնագիտական և փորձագիտական հանրույթի հետ ձեռք բերված նախնական պայմանավորվածությունները՝ առաջարկում ենք մշակել հիմնովին նոր Դատական և իրավական բարեփոխումների հնգամյա ռազմավարություն՝ հիմք ընդունելով ԻՀԱ-ի զեկույցում բարձրացված դիտարկումները, հատկորոշած բացթողումները և առաջարկությունները, այդ թվում չկատարված գործողություններին ուղղված վերանայման առաջարկները՝ ապահովելով գործընթացի բարձր մասնակցայնություն՝ ոլորտի բոլոր դերակատարների ներգրավվմամբ։      Այլընտրանքային հասարակական մշտադիտարկման արդյունքների առաջին նախագիծը հասանելի է այստեղ․ https://armla.am/49244.html</w:t>
            </w:r>
          </w:p>
        </w:tc>
        <w:tc>
          <w:tcPr>
            <w:tcW w:w="3800" w:type="dxa"/>
            <w:tcBorders>
              <w:top w:val="single" w:sz="1" w:space="0" w:color="000000"/>
              <w:left w:val="single" w:sz="1" w:space="0" w:color="000000"/>
              <w:bottom w:val="single" w:sz="1" w:space="0" w:color="000000"/>
              <w:right w:val="single" w:sz="1" w:space="0" w:color="000000"/>
            </w:tcBorders>
          </w:tcPr>
          <w:p w:rsidR="008F1130" w:rsidRDefault="00A630C1">
            <w:pPr>
              <w:jc w:val="center"/>
            </w:pPr>
            <w:r>
              <w:rPr>
                <w:rFonts w:ascii="GHEA Grapalat" w:eastAsia="GHEA Grapalat" w:hAnsi="GHEA Grapalat" w:cs="GHEA Grapalat"/>
                <w:color w:val="000000"/>
                <w:sz w:val="22"/>
                <w:szCs w:val="22"/>
              </w:rPr>
              <w:lastRenderedPageBreak/>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8F1130" w:rsidRDefault="00A630C1">
            <w:pPr>
              <w:jc w:val="center"/>
            </w:pPr>
            <w:r>
              <w:rPr>
                <w:rFonts w:ascii="GHEA Grapalat" w:eastAsia="GHEA Grapalat" w:hAnsi="GHEA Grapalat" w:cs="GHEA Grapalat"/>
                <w:color w:val="000000"/>
                <w:sz w:val="22"/>
                <w:szCs w:val="22"/>
              </w:rPr>
              <w:t xml:space="preserve">Առաջարկության՝ Ռազմավարությամբ նախատեսված գործողությունների շրջանակում ներառելու հարցը կդիտարկվի դրա </w:t>
            </w:r>
            <w:r>
              <w:rPr>
                <w:rFonts w:ascii="GHEA Grapalat" w:eastAsia="GHEA Grapalat" w:hAnsi="GHEA Grapalat" w:cs="GHEA Grapalat"/>
                <w:color w:val="000000"/>
                <w:sz w:val="22"/>
                <w:szCs w:val="22"/>
              </w:rPr>
              <w:lastRenderedPageBreak/>
              <w:t>լրացուցիչ ուսումնասիրության արդյունքում: Միևնույն ժամանակ հայտնում ենք, որ Արդարադատության նախարարությունը ստացել է Ձեր կազմակերպության կողմից պատրաստված զեկույցը, որը նույնպես լրացուցիչ կուսումնասիրվի՝ դրանում առկա առաջարկությունները Ռազմավարությամբ նախատեսելու նպատակահարմարությունը քննարկելու համար:</w:t>
            </w:r>
          </w:p>
        </w:tc>
      </w:tr>
    </w:tbl>
    <w:p w:rsidR="00A630C1" w:rsidRDefault="00A630C1"/>
    <w:sectPr w:rsidR="00A630C1" w:rsidSect="008F1130">
      <w:pgSz w:w="16837" w:h="11905" w:orient="landscape"/>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compat/>
  <w:rsids>
    <w:rsidRoot w:val="008F1130"/>
    <w:rsid w:val="00062639"/>
    <w:rsid w:val="005B219C"/>
    <w:rsid w:val="008B54BE"/>
    <w:rsid w:val="008F1130"/>
    <w:rsid w:val="00A630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F113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8F1130"/>
    <w:rPr>
      <w:vertAlign w:val="superscript"/>
    </w:rPr>
  </w:style>
  <w:style w:type="paragraph" w:customStyle="1" w:styleId="headingtitleStyle">
    <w:name w:val="heading titleStyle"/>
    <w:basedOn w:val="Normal"/>
    <w:rsid w:val="008F1130"/>
    <w:pPr>
      <w:jc w:val="center"/>
    </w:pPr>
    <w:rPr>
      <w:rFonts w:ascii="GHEA Grapalat" w:eastAsia="GHEA Grapalat" w:hAnsi="GHEA Grapalat" w:cs="GHEA Grapalat"/>
      <w:b/>
      <w:bCs/>
      <w:caps/>
      <w:color w:val="000000"/>
      <w:sz w:val="28"/>
      <w:szCs w:val="28"/>
    </w:rPr>
  </w:style>
  <w:style w:type="paragraph" w:styleId="NormalWeb">
    <w:name w:val="Normal (Web)"/>
    <w:basedOn w:val="Normal"/>
    <w:uiPriority w:val="99"/>
    <w:semiHidden/>
    <w:unhideWhenUsed/>
    <w:rsid w:val="008B54B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B54BE"/>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3272</Words>
  <Characters>18651</Characters>
  <Application>Microsoft Office Word</Application>
  <DocSecurity>0</DocSecurity>
  <Lines>155</Lines>
  <Paragraphs>43</Paragraphs>
  <ScaleCrop>false</ScaleCrop>
  <Company/>
  <LinksUpToDate>false</LinksUpToDate>
  <CharactersWithSpaces>21880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Davit Gharibyan</dc:creator>
  <cp:keywords>https:/mul2-moj.gov.am/tasks/412244/oneclick/04_e-draft_Ampopatert.docx?token=772593198b933621c7b1f8e73cae6322</cp:keywords>
  <cp:lastModifiedBy>T-Dadunc</cp:lastModifiedBy>
  <cp:revision>2</cp:revision>
  <dcterms:created xsi:type="dcterms:W3CDTF">2022-06-02T13:13:00Z</dcterms:created>
  <dcterms:modified xsi:type="dcterms:W3CDTF">2022-06-02T13:13:00Z</dcterms:modified>
</cp:coreProperties>
</file>