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EB2" w:rsidRDefault="005C2EB2" w:rsidP="005C2EB2">
      <w:pPr>
        <w:jc w:val="center"/>
        <w:rPr>
          <w:rFonts w:ascii="GHEA Grapalat" w:hAnsi="GHEA Grapalat"/>
          <w:b/>
          <w:sz w:val="24"/>
          <w:szCs w:val="24"/>
          <w:lang w:val="hy-AM"/>
        </w:rPr>
      </w:pPr>
      <w:r>
        <w:rPr>
          <w:rFonts w:ascii="GHEA Grapalat" w:hAnsi="GHEA Grapalat"/>
          <w:b/>
          <w:sz w:val="24"/>
          <w:szCs w:val="24"/>
          <w:lang w:val="hy-AM"/>
        </w:rPr>
        <w:t>ԱՄՓՈՓԱԹԵՐԹ</w:t>
      </w:r>
    </w:p>
    <w:p w:rsidR="005C2EB2" w:rsidRDefault="005C2EB2" w:rsidP="005C2EB2">
      <w:pPr>
        <w:spacing w:after="0" w:line="360" w:lineRule="auto"/>
        <w:ind w:firstLine="375"/>
        <w:jc w:val="center"/>
        <w:rPr>
          <w:rFonts w:ascii="GHEA Grapalat" w:eastAsia="Times New Roman" w:hAnsi="GHEA Grapalat" w:cs="Arial"/>
          <w:b/>
          <w:sz w:val="24"/>
          <w:szCs w:val="24"/>
          <w:lang w:val="hy-AM"/>
        </w:rPr>
      </w:pPr>
      <w:r>
        <w:rPr>
          <w:rFonts w:ascii="GHEA Grapalat" w:hAnsi="GHEA Grapalat"/>
          <w:b/>
          <w:sz w:val="24"/>
          <w:szCs w:val="24"/>
          <w:lang w:val="hy-AM"/>
        </w:rPr>
        <w:t>«</w:t>
      </w:r>
      <w:r>
        <w:rPr>
          <w:rFonts w:ascii="GHEA Grapalat" w:eastAsia="Calibri" w:hAnsi="GHEA Grapalat" w:cs="Times New Roman"/>
          <w:b/>
          <w:bCs/>
          <w:sz w:val="24"/>
          <w:szCs w:val="24"/>
          <w:shd w:val="clear" w:color="auto" w:fill="FFFFFF"/>
          <w:lang w:val="hy-AM"/>
        </w:rPr>
        <w:t>ԱԴՐԲԵՋԱՆԻ ԿՈՂՄԻՑ 2016 ԵՎ 2020 ԹՎԱԿԱՆՆԵՐԻՆ ՍԱՆՁԱԶԵՐԾՎԱԾ ՌԱԶՄԱԿԱՆ ԳՈՐԾՈՂՈՒԹՅՈՒՆՆԵՐԻՆ ՄԱՍՆԱԿՑԱԾ ԳՈՐԾԱԶՈՒՐԿ ԱՆՁԱՆՑ ՄԱՍՆԱԳԻՏԱԿԱՆ ՈՒՍՈՒՑՄԱՆ ԿԱԶՄԱԿԵՐՊՄԱՆ ԵՎ ԶԲԱՂՎԱԾՈՒԹՅԱՆ ԱՊԱՀՈՎՄԱՆ ՀԱՄԱԼԻՐ ՄԻՋՈՑԱՌՈՒՄԸ ՀԱՍՏԱՏԵԼՈՒ ՄԱՍԻՆ</w:t>
      </w:r>
      <w:r>
        <w:rPr>
          <w:rFonts w:ascii="GHEA Grapalat" w:hAnsi="GHEA Grapalat"/>
          <w:b/>
          <w:sz w:val="24"/>
          <w:szCs w:val="24"/>
          <w:lang w:val="hy-AM"/>
        </w:rPr>
        <w:t xml:space="preserve">» </w:t>
      </w:r>
      <w:r>
        <w:rPr>
          <w:rFonts w:ascii="GHEA Grapalat" w:eastAsia="Times New Roman" w:hAnsi="GHEA Grapalat" w:cs="Sylfaen"/>
          <w:b/>
          <w:sz w:val="24"/>
          <w:szCs w:val="24"/>
          <w:lang w:val="hy-AM"/>
        </w:rPr>
        <w:t>ՀԱՅԱՍՏԱՆԻ ՀԱՆՐԱՊԵՏՈՒԹՅԱՆ ԿԱՌԱՎԱՐՈՒԹՅԱՆ</w:t>
      </w:r>
      <w:r>
        <w:rPr>
          <w:rFonts w:ascii="GHEA Grapalat" w:eastAsia="Times New Roman" w:hAnsi="GHEA Grapalat" w:cs="Sylfaen"/>
          <w:b/>
          <w:sz w:val="24"/>
          <w:szCs w:val="24"/>
          <w:lang w:val="af-ZA"/>
        </w:rPr>
        <w:t xml:space="preserve"> </w:t>
      </w:r>
      <w:r>
        <w:rPr>
          <w:rFonts w:ascii="GHEA Grapalat" w:eastAsia="Times New Roman" w:hAnsi="GHEA Grapalat" w:cs="Sylfaen"/>
          <w:b/>
          <w:sz w:val="24"/>
          <w:szCs w:val="24"/>
          <w:lang w:val="hy-AM"/>
        </w:rPr>
        <w:t>ՈՐՈՇՄԱՆ ՆԱԽԱԳԾԻ</w:t>
      </w:r>
    </w:p>
    <w:tbl>
      <w:tblPr>
        <w:tblStyle w:val="TableGrid"/>
        <w:tblpPr w:leftFromText="180" w:rightFromText="180" w:vertAnchor="page" w:horzAnchor="margin" w:tblpXSpec="center" w:tblpY="3631"/>
        <w:tblW w:w="12150" w:type="dxa"/>
        <w:tblLayout w:type="fixed"/>
        <w:tblLook w:val="04A0" w:firstRow="1" w:lastRow="0" w:firstColumn="1" w:lastColumn="0" w:noHBand="0" w:noVBand="1"/>
      </w:tblPr>
      <w:tblGrid>
        <w:gridCol w:w="7941"/>
        <w:gridCol w:w="4209"/>
      </w:tblGrid>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2EB2" w:rsidRDefault="005C2EB2">
            <w:pPr>
              <w:spacing w:line="360" w:lineRule="auto"/>
              <w:jc w:val="center"/>
              <w:rPr>
                <w:rFonts w:ascii="GHEA Grapalat" w:hAnsi="GHEA Grapalat"/>
                <w:b/>
                <w:sz w:val="24"/>
                <w:szCs w:val="24"/>
                <w:lang w:val="hy-AM"/>
              </w:rPr>
            </w:pPr>
            <w:r>
              <w:rPr>
                <w:rFonts w:ascii="GHEA Grapalat" w:hAnsi="GHEA Grapalat"/>
                <w:b/>
                <w:sz w:val="24"/>
                <w:szCs w:val="24"/>
                <w:lang w:val="hy-AM"/>
              </w:rPr>
              <w:t>1</w:t>
            </w:r>
            <w:r>
              <w:rPr>
                <w:rFonts w:ascii="GHEA Grapalat" w:hAnsi="GHEA Grapalat"/>
                <w:b/>
                <w:sz w:val="24"/>
                <w:szCs w:val="24"/>
              </w:rPr>
              <w:t xml:space="preserve">. </w:t>
            </w:r>
            <w:r>
              <w:rPr>
                <w:rFonts w:ascii="GHEA Grapalat" w:hAnsi="GHEA Grapalat"/>
                <w:b/>
                <w:sz w:val="24"/>
                <w:szCs w:val="24"/>
                <w:lang w:val="hy-AM"/>
              </w:rPr>
              <w:t>ՀՀ արդարադատության նախարարություն</w:t>
            </w:r>
          </w:p>
        </w:tc>
        <w:tc>
          <w:tcPr>
            <w:tcW w:w="420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1</w:t>
            </w:r>
            <w:r>
              <w:rPr>
                <w:rFonts w:ascii="GHEA Grapalat" w:eastAsia="Calibri" w:hAnsi="GHEA Grapalat" w:cs="Times New Roman"/>
                <w:sz w:val="24"/>
                <w:szCs w:val="24"/>
              </w:rPr>
              <w:t>0</w:t>
            </w:r>
            <w:r>
              <w:rPr>
                <w:rFonts w:ascii="GHEA Grapalat" w:eastAsia="Calibri" w:hAnsi="GHEA Grapalat" w:cs="Times New Roman"/>
                <w:sz w:val="24"/>
                <w:szCs w:val="24"/>
                <w:lang w:val="hy-AM"/>
              </w:rPr>
              <w:t>.0</w:t>
            </w:r>
            <w:r>
              <w:rPr>
                <w:rFonts w:ascii="GHEA Grapalat" w:eastAsia="Calibri" w:hAnsi="GHEA Grapalat" w:cs="Times New Roman"/>
                <w:sz w:val="24"/>
                <w:szCs w:val="24"/>
              </w:rPr>
              <w:t>6</w:t>
            </w:r>
            <w:r>
              <w:rPr>
                <w:rFonts w:ascii="GHEA Grapalat" w:eastAsia="Calibri" w:hAnsi="GHEA Grapalat" w:cs="Times New Roman"/>
                <w:sz w:val="24"/>
                <w:szCs w:val="24"/>
                <w:lang w:val="hy-AM"/>
              </w:rPr>
              <w:t>.2022 թ.</w:t>
            </w:r>
          </w:p>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N </w:t>
            </w:r>
            <w:r>
              <w:rPr>
                <w:rFonts w:ascii="GHEA Grapalat" w:hAnsi="GHEA Grapalat"/>
                <w:color w:val="000000"/>
                <w:sz w:val="24"/>
                <w:szCs w:val="24"/>
                <w:shd w:val="clear" w:color="auto" w:fill="BFBFBF" w:themeFill="background1" w:themeFillShade="BF"/>
              </w:rPr>
              <w:t>01/27.1/25373-2022</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ind w:left="22" w:right="102" w:firstLine="425"/>
              <w:jc w:val="both"/>
              <w:rPr>
                <w:rFonts w:ascii="GHEA Grapalat" w:eastAsia="Calibri" w:hAnsi="GHEA Grapalat" w:cs="Calibri"/>
                <w:color w:val="000000"/>
                <w:sz w:val="24"/>
                <w:szCs w:val="24"/>
                <w:lang w:val="hy-AM"/>
              </w:rPr>
            </w:pPr>
            <w:r>
              <w:rPr>
                <w:rFonts w:ascii="GHEA Grapalat" w:eastAsia="Calibri" w:hAnsi="GHEA Grapalat" w:cs="Sylfaen"/>
                <w:sz w:val="24"/>
                <w:szCs w:val="24"/>
                <w:lang w:val="hy-AM"/>
              </w:rPr>
              <w:t xml:space="preserve">1. «Ադրբեջանի կողմից 2016 և 2020 թվականներին սանձազերծված ռազմական գործողություններին մասնակցած անձանց մասնագիտական ուսուցման կազմակերպման և զբաղվածության ապահովման համալիր միջոցառումը հաստատելու մասին» Հայաստանի Հանրապետության կառավարության որոշման նախագծի (այսուհետ՝ Նախագիծ) նախաբանում որպես լիազորող նորմ </w:t>
            </w:r>
            <w:r>
              <w:rPr>
                <w:rFonts w:ascii="GHEA Grapalat" w:eastAsia="Calibri" w:hAnsi="GHEA Grapalat" w:cs="Calibri"/>
                <w:color w:val="000000"/>
                <w:sz w:val="24"/>
                <w:szCs w:val="24"/>
                <w:lang w:val="hy-AM"/>
              </w:rPr>
              <w:t xml:space="preserve">հղում է կատարվում </w:t>
            </w:r>
            <w:r>
              <w:rPr>
                <w:rFonts w:ascii="GHEA Grapalat" w:eastAsia="Calibri" w:hAnsi="GHEA Grapalat" w:cs="Sylfaen"/>
                <w:sz w:val="24"/>
                <w:szCs w:val="24"/>
                <w:lang w:val="hy-AM"/>
              </w:rPr>
              <w:t xml:space="preserve">«Զբաղվածության մասին» </w:t>
            </w:r>
            <w:r>
              <w:rPr>
                <w:rFonts w:ascii="GHEA Grapalat" w:eastAsia="Calibri" w:hAnsi="GHEA Grapalat" w:cs="Calibri"/>
                <w:color w:val="000000"/>
                <w:sz w:val="24"/>
                <w:szCs w:val="24"/>
                <w:lang w:val="hy-AM"/>
              </w:rPr>
              <w:t xml:space="preserve">օրենքի 21-րդ հոդվածի 2-րդ մասի 1-ին, 2-րդ և 5-րդ կետերին: </w:t>
            </w:r>
          </w:p>
          <w:p w:rsidR="005C2EB2" w:rsidRDefault="005C2EB2">
            <w:pPr>
              <w:shd w:val="clear" w:color="auto" w:fill="FFFFFF"/>
              <w:spacing w:line="360" w:lineRule="auto"/>
              <w:ind w:left="22" w:right="102" w:firstLine="425"/>
              <w:jc w:val="both"/>
              <w:rPr>
                <w:rFonts w:ascii="GHEA Grapalat" w:eastAsia="Times New Roman" w:hAnsi="GHEA Grapalat" w:cs="Times New Roman"/>
                <w:i/>
                <w:color w:val="000000"/>
                <w:sz w:val="24"/>
                <w:szCs w:val="24"/>
                <w:lang w:val="hy-AM"/>
              </w:rPr>
            </w:pPr>
            <w:r>
              <w:rPr>
                <w:rFonts w:ascii="GHEA Grapalat" w:eastAsia="Times New Roman" w:hAnsi="GHEA Grapalat" w:cs="Sylfaen"/>
                <w:sz w:val="24"/>
                <w:szCs w:val="24"/>
                <w:lang w:val="hy-AM"/>
              </w:rPr>
              <w:t xml:space="preserve"> «Զբաղվածության մասին» </w:t>
            </w:r>
            <w:r>
              <w:rPr>
                <w:rFonts w:ascii="GHEA Grapalat" w:eastAsia="Times New Roman" w:hAnsi="GHEA Grapalat" w:cs="Calibri"/>
                <w:color w:val="000000"/>
                <w:sz w:val="24"/>
                <w:szCs w:val="24"/>
                <w:lang w:val="hy-AM"/>
              </w:rPr>
              <w:t xml:space="preserve">օրենքի 21-րդ հոդվածի 2-րդ մասի համաձայն՝ </w:t>
            </w:r>
            <w:r>
              <w:rPr>
                <w:rFonts w:ascii="GHEA Grapalat" w:eastAsia="Times New Roman" w:hAnsi="GHEA Grapalat" w:cs="Times New Roman"/>
                <w:i/>
                <w:color w:val="000000"/>
                <w:sz w:val="24"/>
                <w:szCs w:val="24"/>
                <w:shd w:val="clear" w:color="auto" w:fill="FFFFFF"/>
                <w:lang w:val="hy-AM"/>
              </w:rPr>
              <w:t>գործազուրկը, սույն հոդվածի 1-ին մասով նախատեսված իրավունքներից բացի, իրավունք ունի Հայաստանի</w:t>
            </w:r>
            <w:r>
              <w:rPr>
                <w:rFonts w:ascii="GHEA Grapalat" w:eastAsia="Times New Roman" w:hAnsi="GHEA Grapalat" w:cs="Times New Roman"/>
                <w:i/>
                <w:color w:val="000000"/>
                <w:sz w:val="24"/>
                <w:szCs w:val="24"/>
                <w:lang w:val="hy-AM"/>
              </w:rPr>
              <w:t xml:space="preserve"> Հանրապետության կառավարության սահմանած կարգով ընդգրկվելու </w:t>
            </w:r>
            <w:r>
              <w:rPr>
                <w:rFonts w:ascii="GHEA Grapalat" w:eastAsia="Times New Roman" w:hAnsi="GHEA Grapalat" w:cs="Times New Roman"/>
                <w:b/>
                <w:i/>
                <w:color w:val="000000"/>
                <w:sz w:val="24"/>
                <w:szCs w:val="24"/>
                <w:lang w:val="hy-AM"/>
              </w:rPr>
              <w:t>զբաղվածության պետական ծրագրերում</w:t>
            </w:r>
            <w:r>
              <w:rPr>
                <w:rFonts w:ascii="GHEA Grapalat" w:eastAsia="Times New Roman" w:hAnsi="GHEA Grapalat" w:cs="Times New Roman"/>
                <w:i/>
                <w:color w:val="000000"/>
                <w:sz w:val="24"/>
                <w:szCs w:val="24"/>
                <w:lang w:val="hy-AM"/>
              </w:rPr>
              <w:t xml:space="preserve"> հետևյալ ուղղություններով.</w:t>
            </w:r>
          </w:p>
          <w:p w:rsidR="005C2EB2" w:rsidRDefault="005C2EB2">
            <w:pPr>
              <w:shd w:val="clear" w:color="auto" w:fill="FFFFFF"/>
              <w:spacing w:line="360" w:lineRule="auto"/>
              <w:ind w:left="22" w:right="102" w:firstLine="425"/>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1) մասնագիտական ուսուցում, որի ընթացքում ծրագրում ընդգրկվող անձին յուրաքանչյուր ամիս վճարվում է կրթաթոշակ` Հայաստանի Հանրապետության կառավարության սահմանած չափով: Կրթաթոշակը նշանակվում և վճարվում է սահմանված ամսական կրթաթոշակի նկատմամբ հաշվարկված տվյալ ամսվա ընթացքում իրականացված ուսումնական դասընթացների օրերի համար.</w:t>
            </w:r>
          </w:p>
          <w:p w:rsidR="005C2EB2" w:rsidRDefault="005C2EB2">
            <w:pPr>
              <w:shd w:val="clear" w:color="auto" w:fill="FFFFFF"/>
              <w:spacing w:line="360" w:lineRule="auto"/>
              <w:ind w:left="22" w:right="102" w:firstLine="425"/>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2) ձեռք բերած մասնագիտությամբ առաջին անգամ աշխատաշուկա մուտք գործող անձանց համար` մասնագիտական աշխատանքային փորձ ձեռք բերելու աջակցություն.</w:t>
            </w:r>
          </w:p>
          <w:p w:rsidR="005C2EB2" w:rsidRDefault="005C2EB2">
            <w:pPr>
              <w:shd w:val="clear" w:color="auto" w:fill="FFFFFF"/>
              <w:spacing w:line="360" w:lineRule="auto"/>
              <w:ind w:left="22" w:right="102" w:firstLine="425"/>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3) գործատուի կողմից լիազորված մարմին ներկայացված և առնվազն մեկ ամիս չլրացված թափուր աշխատատեղերի համալրման նպատակով այլ վայր աշխատանքի տեղավորման աջակցություն.</w:t>
            </w:r>
          </w:p>
          <w:p w:rsidR="005C2EB2" w:rsidRDefault="005C2EB2">
            <w:pPr>
              <w:shd w:val="clear" w:color="auto" w:fill="FFFFFF"/>
              <w:spacing w:line="360" w:lineRule="auto"/>
              <w:ind w:left="22" w:right="102" w:firstLine="425"/>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4) վարձատրվող հասարակական աշխատանքներին մասնակցություն.</w:t>
            </w:r>
          </w:p>
          <w:p w:rsidR="005C2EB2" w:rsidRDefault="005C2EB2">
            <w:pPr>
              <w:shd w:val="clear" w:color="auto" w:fill="FFFFFF"/>
              <w:spacing w:line="360" w:lineRule="auto"/>
              <w:ind w:left="22" w:right="102" w:firstLine="425"/>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5) աշխատանքի տեղավորման դեպքում՝ միանվագ փոխհատուցում գործատուին:</w:t>
            </w:r>
          </w:p>
          <w:p w:rsidR="005C2EB2" w:rsidRDefault="005C2EB2">
            <w:pPr>
              <w:spacing w:line="360" w:lineRule="auto"/>
              <w:ind w:left="22" w:right="102" w:firstLine="425"/>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Հետևաբար, հիմք ընդունելով վերոգրյալը, Նախագծի վերնագրում «ՀԱՄԱԼԻՐ ՄԻՋՈՑԱՌՈՒՄԸ» բառերն առաջարկում ենք փոխարինել «ԾՐԱԳԻՐԸ» բառով, քանի որ «Զբաղվածության մասին» օրենքի 21-րդ հոդվածի 2-րդ մասի իմաստով Հայաստանի Հանրապետության կառավարությունն իրավասու է հաստատելու զբաղվածության պետական ծրագրերը:</w:t>
            </w:r>
          </w:p>
          <w:p w:rsidR="005C2EB2" w:rsidRDefault="005C2EB2">
            <w:pPr>
              <w:spacing w:line="360" w:lineRule="auto"/>
              <w:ind w:left="22" w:right="102" w:firstLine="425"/>
              <w:jc w:val="both"/>
              <w:rPr>
                <w:rFonts w:ascii="GHEA Grapalat" w:eastAsia="Calibri" w:hAnsi="GHEA Grapalat" w:cs="Sylfaen"/>
                <w:sz w:val="24"/>
                <w:szCs w:val="24"/>
                <w:lang w:val="hy-AM"/>
              </w:rPr>
            </w:pPr>
            <w:r>
              <w:rPr>
                <w:rFonts w:ascii="GHEA Grapalat" w:eastAsia="Calibri" w:hAnsi="GHEA Grapalat" w:cs="Times New Roman"/>
                <w:color w:val="000000"/>
                <w:sz w:val="24"/>
                <w:szCs w:val="24"/>
                <w:shd w:val="clear" w:color="auto" w:fill="FFFFFF"/>
                <w:lang w:val="hy-AM"/>
              </w:rPr>
              <w:t xml:space="preserve">Ըստ այդմ էլ՝ համապատասխան փոփոխություններ անհրաժեշտ է կատարել նաև Նախագծի 1-ին կետում, դրանով </w:t>
            </w:r>
            <w:r>
              <w:rPr>
                <w:rFonts w:ascii="GHEA Grapalat" w:eastAsia="Calibri" w:hAnsi="GHEA Grapalat" w:cs="Sylfaen"/>
                <w:sz w:val="24"/>
                <w:szCs w:val="24"/>
                <w:lang w:val="hy-AM"/>
              </w:rPr>
              <w:t>հաստատվող հավելվածի (այսուհետ՝ Հավելված) վերնագրում և ամբողջ տեքստում:</w:t>
            </w:r>
          </w:p>
          <w:p w:rsidR="005C2EB2" w:rsidRDefault="005C2EB2">
            <w:pPr>
              <w:spacing w:line="360" w:lineRule="auto"/>
              <w:ind w:left="22" w:right="102" w:firstLine="425"/>
              <w:jc w:val="both"/>
              <w:rPr>
                <w:rFonts w:ascii="GHEA Grapalat" w:eastAsia="Calibri" w:hAnsi="GHEA Grapalat" w:cs="Sylfaen"/>
                <w:sz w:val="24"/>
                <w:szCs w:val="24"/>
                <w:lang w:val="hy-AM"/>
              </w:rPr>
            </w:pPr>
            <w:r>
              <w:rPr>
                <w:rFonts w:ascii="GHEA Grapalat" w:eastAsia="Calibri" w:hAnsi="GHEA Grapalat" w:cs="Sylfaen"/>
                <w:sz w:val="24"/>
                <w:szCs w:val="24"/>
                <w:lang w:val="hy-AM"/>
              </w:rPr>
              <w:t>Միաժամանակ, Նախագծի նախաբանում հղում է կատարվում Հայաստանի Հանրապետության Սահմանադրության 83-րդ և 86-րդ հոդվածներին, որոնք ներկայացված Նախագծի ընդունման համար որպես լիազորող նորմեր չեն կարող դիտարկվել:</w:t>
            </w:r>
          </w:p>
          <w:p w:rsidR="005C2EB2" w:rsidRDefault="005C2EB2">
            <w:pPr>
              <w:spacing w:line="360" w:lineRule="auto"/>
              <w:ind w:left="22" w:right="102" w:firstLine="425"/>
              <w:jc w:val="both"/>
              <w:rPr>
                <w:rFonts w:ascii="GHEA Grapalat" w:hAnsi="GHEA Grapalat"/>
                <w:sz w:val="24"/>
                <w:szCs w:val="24"/>
                <w:lang w:val="hy-AM"/>
              </w:rPr>
            </w:pPr>
            <w:r>
              <w:rPr>
                <w:rFonts w:ascii="GHEA Grapalat" w:eastAsia="Calibri" w:hAnsi="GHEA Grapalat" w:cs="Sylfaen"/>
                <w:sz w:val="24"/>
                <w:szCs w:val="24"/>
                <w:lang w:val="hy-AM"/>
              </w:rPr>
              <w:t xml:space="preserve">Հետևաբար, Նախագծի նախաբանից առաջարկում ենք հանել Հայաստանի Հանրապետության Սահմանադրության վերոնշյալ հոդվածներին կատարվող հղումները՝ հաշվի առնելով </w:t>
            </w:r>
            <w:r>
              <w:rPr>
                <w:rFonts w:ascii="GHEA Grapalat" w:eastAsia="Calibri" w:hAnsi="GHEA Grapalat" w:cs="Times New Roman"/>
                <w:color w:val="000000"/>
                <w:sz w:val="24"/>
                <w:szCs w:val="24"/>
                <w:shd w:val="clear" w:color="auto" w:fill="FFFFFF"/>
                <w:lang w:val="hy-AM"/>
              </w:rPr>
              <w:t xml:space="preserve">«Նորմատիվ իրավական ակտերի մասին» օրենքի 13-րդ հոդվածի 1-ին մասի դրույթները, որոնց համաձայն՝ </w:t>
            </w:r>
            <w:r>
              <w:rPr>
                <w:rFonts w:ascii="GHEA Grapalat" w:eastAsia="Calibri" w:hAnsi="GHEA Grapalat" w:cs="Times New Roman"/>
                <w:i/>
                <w:color w:val="000000"/>
                <w:sz w:val="24"/>
                <w:szCs w:val="24"/>
                <w:shd w:val="clear" w:color="auto" w:fill="FFFFFF"/>
                <w:lang w:val="hy-AM"/>
              </w:rPr>
              <w:t xml:space="preserve">ենթաօրենսդրական նորմատիվ իրավական ակտը ունենում է </w:t>
            </w:r>
            <w:r>
              <w:rPr>
                <w:rFonts w:ascii="GHEA Grapalat" w:eastAsia="Calibri" w:hAnsi="GHEA Grapalat" w:cs="Times New Roman"/>
                <w:b/>
                <w:i/>
                <w:color w:val="000000"/>
                <w:sz w:val="24"/>
                <w:szCs w:val="24"/>
                <w:shd w:val="clear" w:color="auto" w:fill="FFFFFF"/>
                <w:lang w:val="hy-AM"/>
              </w:rPr>
              <w:t>նախաբան</w:t>
            </w:r>
            <w:r>
              <w:rPr>
                <w:rFonts w:ascii="GHEA Grapalat" w:eastAsia="Calibri" w:hAnsi="GHEA Grapalat" w:cs="Times New Roman"/>
                <w:i/>
                <w:color w:val="000000"/>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Pr>
                <w:rFonts w:ascii="GHEA Grapalat" w:eastAsia="Calibri" w:hAnsi="GHEA Grapalat" w:cs="Times New Roman"/>
                <w:b/>
                <w:i/>
                <w:color w:val="000000"/>
                <w:sz w:val="24"/>
                <w:szCs w:val="24"/>
                <w:shd w:val="clear" w:color="auto" w:fill="FFFFFF"/>
                <w:lang w:val="hy-AM"/>
              </w:rPr>
              <w:t>լիազորող նորմեր</w:t>
            </w:r>
            <w:r>
              <w:rPr>
                <w:rFonts w:ascii="GHEA Grapalat" w:eastAsia="Calibri" w:hAnsi="GHEA Grapalat" w:cs="Times New Roman"/>
                <w:i/>
                <w:color w:val="000000"/>
                <w:sz w:val="24"/>
                <w:szCs w:val="24"/>
                <w:shd w:val="clear" w:color="auto" w:fill="FFFFFF"/>
                <w:lang w:val="hy-AM"/>
              </w:rPr>
              <w:t>:</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ind w:left="22" w:right="102" w:firstLine="338"/>
              <w:jc w:val="both"/>
              <w:rPr>
                <w:rFonts w:ascii="GHEA Grapalat" w:eastAsia="Calibri" w:hAnsi="GHEA Grapalat" w:cs="Calibri"/>
                <w:i/>
                <w:color w:val="000000"/>
                <w:sz w:val="24"/>
                <w:szCs w:val="24"/>
                <w:lang w:val="hy-AM"/>
              </w:rPr>
            </w:pPr>
            <w:r>
              <w:rPr>
                <w:rFonts w:ascii="GHEA Grapalat" w:eastAsia="Calibri" w:hAnsi="GHEA Grapalat" w:cs="Calibri"/>
                <w:color w:val="000000"/>
                <w:sz w:val="24"/>
                <w:szCs w:val="24"/>
                <w:lang w:val="hy-AM"/>
              </w:rPr>
              <w:t xml:space="preserve">2. </w:t>
            </w:r>
            <w:r>
              <w:rPr>
                <w:rFonts w:ascii="GHEA Grapalat" w:eastAsia="Calibri" w:hAnsi="GHEA Grapalat" w:cs="Sylfaen"/>
                <w:sz w:val="24"/>
                <w:szCs w:val="24"/>
                <w:lang w:val="hy-AM"/>
              </w:rPr>
              <w:t xml:space="preserve">Հավելվածի </w:t>
            </w:r>
            <w:r>
              <w:rPr>
                <w:rFonts w:ascii="GHEA Grapalat" w:eastAsia="Calibri" w:hAnsi="GHEA Grapalat" w:cs="Calibri"/>
                <w:color w:val="000000"/>
                <w:sz w:val="24"/>
                <w:szCs w:val="24"/>
                <w:lang w:val="hy-AM"/>
              </w:rPr>
              <w:t xml:space="preserve">2-րդ կետի համաձայն՝ </w:t>
            </w:r>
            <w:r>
              <w:rPr>
                <w:rFonts w:ascii="GHEA Grapalat" w:eastAsia="Calibri" w:hAnsi="GHEA Grapalat" w:cs="Calibri"/>
                <w:i/>
                <w:color w:val="000000"/>
                <w:sz w:val="24"/>
                <w:szCs w:val="24"/>
                <w:lang w:val="hy-AM"/>
              </w:rPr>
              <w:t xml:space="preserve">սույն միջոցառմանը մասնակցելու ցանկության դեպքում թափուր աշխատատեղ ունեցող գործատուն </w:t>
            </w:r>
            <w:r>
              <w:rPr>
                <w:rFonts w:ascii="GHEA Grapalat" w:eastAsia="Calibri" w:hAnsi="GHEA Grapalat" w:cs="Calibri"/>
                <w:b/>
                <w:i/>
                <w:color w:val="000000"/>
                <w:sz w:val="24"/>
                <w:szCs w:val="24"/>
                <w:lang w:val="hy-AM"/>
              </w:rPr>
              <w:t>(բացառությամբ հանրային ծառայություն իրականացնող պետական կառավարման համակարգի մարմինների)</w:t>
            </w:r>
            <w:r>
              <w:rPr>
                <w:rFonts w:ascii="GHEA Grapalat" w:eastAsia="Calibri" w:hAnsi="GHEA Grapalat" w:cs="Calibri"/>
                <w:i/>
                <w:color w:val="000000"/>
                <w:sz w:val="24"/>
                <w:szCs w:val="24"/>
                <w:lang w:val="hy-AM"/>
              </w:rPr>
              <w:t xml:space="preserve"> առձեռն կամ էլեկտրոնային եղանակով դիմում է ներկայացնում Միասնական սոցիալական ծառայության տարածքային կենտրոն:</w:t>
            </w:r>
          </w:p>
          <w:p w:rsidR="005C2EB2" w:rsidRDefault="005C2EB2">
            <w:pPr>
              <w:spacing w:line="360" w:lineRule="auto"/>
              <w:ind w:left="22" w:right="102" w:firstLine="338"/>
              <w:jc w:val="both"/>
              <w:rPr>
                <w:rFonts w:ascii="GHEA Grapalat" w:eastAsia="Calibri" w:hAnsi="GHEA Grapalat" w:cs="Calibri"/>
                <w:color w:val="000000"/>
                <w:sz w:val="24"/>
                <w:szCs w:val="24"/>
                <w:lang w:val="hy-AM"/>
              </w:rPr>
            </w:pPr>
            <w:r>
              <w:rPr>
                <w:rFonts w:ascii="GHEA Grapalat" w:eastAsia="Calibri" w:hAnsi="GHEA Grapalat" w:cs="Calibri"/>
                <w:color w:val="000000"/>
                <w:sz w:val="24"/>
                <w:szCs w:val="24"/>
                <w:lang w:val="hy-AM"/>
              </w:rPr>
              <w:t>Այս առումով, անհրաժեշտ է պարզաբանել, թե ինչու պետական կառավարման համակարգի մարմինը չի կարող սույն միջոցառման իմաստով դիտարկվել որպես գործատու՝ նկատի ունենալով նաև, որ Նախագծին կից ներկայացված հիմնավորման (այսուհետ՝ Հիմնավորում) մեջ նույնպես առկա չեն այսպիսի կարգավորում նախատեսելու անհրաժեշտությունն ու նպատակահարմարությունը պատճառաբանող փաստարկներ:</w:t>
            </w:r>
          </w:p>
          <w:p w:rsidR="005C2EB2" w:rsidRDefault="005C2EB2">
            <w:pPr>
              <w:widowControl w:val="0"/>
              <w:spacing w:line="360" w:lineRule="auto"/>
              <w:ind w:left="22" w:right="102" w:firstLine="338"/>
              <w:jc w:val="both"/>
              <w:textAlignment w:val="baseline"/>
              <w:rPr>
                <w:rFonts w:ascii="GHEA Grapalat" w:hAnsi="GHEA Grapalat"/>
                <w:sz w:val="24"/>
                <w:szCs w:val="24"/>
                <w:lang w:val="hy-AM"/>
              </w:rPr>
            </w:pPr>
            <w:r>
              <w:rPr>
                <w:rFonts w:ascii="GHEA Grapalat" w:eastAsia="Calibri" w:hAnsi="GHEA Grapalat" w:cs="Times New Roman"/>
                <w:bCs/>
                <w:sz w:val="24"/>
                <w:szCs w:val="24"/>
                <w:lang w:val="hy-AM"/>
              </w:rPr>
              <w:t xml:space="preserve">Հետևաբար, Հիմնավորումն անհրաժեշտ է </w:t>
            </w:r>
            <w:r>
              <w:rPr>
                <w:rFonts w:ascii="GHEA Grapalat" w:eastAsia="Calibri" w:hAnsi="GHEA Grapalat" w:cs="Calibri"/>
                <w:color w:val="000000"/>
                <w:sz w:val="24"/>
                <w:szCs w:val="24"/>
                <w:lang w:val="hy-AM"/>
              </w:rPr>
              <w:t xml:space="preserve">լրամշակել և ներկայացնել </w:t>
            </w:r>
            <w:r>
              <w:rPr>
                <w:rFonts w:ascii="GHEA Grapalat" w:eastAsia="Calibri" w:hAnsi="GHEA Grapalat" w:cs="Times New Roman"/>
                <w:bCs/>
                <w:sz w:val="24"/>
                <w:szCs w:val="24"/>
                <w:lang w:val="hy-AM"/>
              </w:rPr>
              <w:t>«Նորմատիվ իրավական ակտերի մասին</w:t>
            </w:r>
            <w:r>
              <w:rPr>
                <w:rFonts w:ascii="GHEA Grapalat" w:eastAsia="Calibri" w:hAnsi="GHEA Grapalat" w:cs="Calibri"/>
                <w:color w:val="000000"/>
                <w:sz w:val="24"/>
                <w:szCs w:val="24"/>
                <w:lang w:val="hy-AM"/>
              </w:rPr>
              <w:t xml:space="preserve">» օրենքի 6-րդ հոդվածի 5-րդ մասին համապատասխան, համաձայն որի՝ </w:t>
            </w:r>
            <w:r>
              <w:rPr>
                <w:rFonts w:ascii="GHEA Grapalat" w:eastAsia="Calibri" w:hAnsi="GHEA Grapalat" w:cs="Times New Roman"/>
                <w:i/>
                <w:color w:val="000000"/>
                <w:sz w:val="24"/>
                <w:szCs w:val="24"/>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tabs>
                <w:tab w:val="left" w:pos="990"/>
              </w:tabs>
              <w:spacing w:line="360" w:lineRule="auto"/>
              <w:ind w:left="22" w:right="102" w:firstLine="338"/>
              <w:jc w:val="both"/>
              <w:rPr>
                <w:rFonts w:ascii="GHEA Grapalat" w:eastAsia="Calibri" w:hAnsi="GHEA Grapalat" w:cs="Times New Roman"/>
                <w:i/>
                <w:sz w:val="24"/>
                <w:szCs w:val="24"/>
                <w:lang w:val="hy-AM"/>
              </w:rPr>
            </w:pPr>
            <w:r>
              <w:rPr>
                <w:rFonts w:ascii="GHEA Grapalat" w:eastAsia="Calibri" w:hAnsi="GHEA Grapalat" w:cs="Calibri"/>
                <w:color w:val="000000"/>
                <w:sz w:val="24"/>
                <w:szCs w:val="24"/>
                <w:lang w:val="hy-AM"/>
              </w:rPr>
              <w:t xml:space="preserve">3. Հավելվածի 4-րդ կետի համաձայն՝ </w:t>
            </w:r>
            <w:r>
              <w:rPr>
                <w:rFonts w:ascii="GHEA Grapalat" w:eastAsia="Calibri" w:hAnsi="GHEA Grapalat" w:cs="Times New Roman"/>
                <w:i/>
                <w:sz w:val="24"/>
                <w:szCs w:val="24"/>
                <w:lang w:val="hy-AM"/>
              </w:rPr>
              <w:t>տարածքային կենտրոնը գործատուի հայտով ներկայացված թափուր աշխատատեղը համալրելու համար մեկ աշխատանքային օրվա ընթացքում էլեկտրոնային եղանակով կատարում է միջոցառման մեջ ընդգրկման ենթակա անձանց ընտրություն` հիմք ընդունելով սույն միջոցառման 3-րդ կետում նշված պահանջները, ձևավորում է միջոցառման մեջ ընդգրկման ենթակա անձանց ցուցակը:</w:t>
            </w:r>
          </w:p>
          <w:p w:rsidR="005C2EB2" w:rsidRDefault="005C2EB2">
            <w:pPr>
              <w:shd w:val="clear" w:color="auto" w:fill="FFFFFF"/>
              <w:tabs>
                <w:tab w:val="left" w:pos="990"/>
              </w:tabs>
              <w:spacing w:line="360" w:lineRule="auto"/>
              <w:ind w:left="22" w:right="102" w:firstLine="338"/>
              <w:jc w:val="both"/>
              <w:rPr>
                <w:rFonts w:ascii="GHEA Grapalat" w:hAnsi="GHEA Grapalat"/>
                <w:sz w:val="24"/>
                <w:szCs w:val="24"/>
                <w:lang w:val="hy-AM"/>
              </w:rPr>
            </w:pPr>
            <w:r>
              <w:rPr>
                <w:rFonts w:ascii="GHEA Grapalat" w:eastAsia="Calibri" w:hAnsi="GHEA Grapalat" w:cs="Times New Roman"/>
                <w:sz w:val="24"/>
                <w:szCs w:val="24"/>
                <w:lang w:val="hy-AM"/>
              </w:rPr>
              <w:t>Վերոնշյալ կետում անհրաժեշտ է հստակեցնել, թե որ պահից է սկսվելու հաշվվել սահմանված մեկ աշխատանքային օրվա ժամկետը, ինչպես նաև՝ հստակեցնել, թե ինչ կարգով են անձինք ընդգրկվում միջոցառման մեջ (նրանք միջոցառման մեջ ընդգրկվելու համար նախօրոք դիմում են ներկայացնում, թե կիրառվում է այլ կարգ):</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Նախագծի հավելվածի 4-րդ կետը վերախմբագրվել է։</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tabs>
                <w:tab w:val="left" w:pos="990"/>
              </w:tabs>
              <w:spacing w:line="360" w:lineRule="auto"/>
              <w:ind w:left="22" w:right="102" w:firstLine="338"/>
              <w:jc w:val="both"/>
              <w:rPr>
                <w:rFonts w:ascii="GHEA Grapalat" w:eastAsia="Calibri" w:hAnsi="GHEA Grapalat" w:cs="Times New Roman"/>
                <w:i/>
                <w:sz w:val="24"/>
                <w:szCs w:val="24"/>
                <w:lang w:val="hy-AM"/>
              </w:rPr>
            </w:pPr>
            <w:r>
              <w:rPr>
                <w:rFonts w:ascii="GHEA Grapalat" w:eastAsia="Calibri" w:hAnsi="GHEA Grapalat" w:cs="Times New Roman"/>
                <w:sz w:val="24"/>
                <w:szCs w:val="24"/>
                <w:lang w:val="hy-AM"/>
              </w:rPr>
              <w:t xml:space="preserve">4. Հավելվածի 5-րդ կետի համաձայն՝ </w:t>
            </w:r>
            <w:r>
              <w:rPr>
                <w:rFonts w:ascii="GHEA Grapalat" w:eastAsia="Calibri" w:hAnsi="GHEA Grapalat" w:cs="Times New Roman"/>
                <w:i/>
                <w:sz w:val="24"/>
                <w:szCs w:val="24"/>
                <w:lang w:val="hy-AM"/>
              </w:rPr>
              <w:t>տարածքային կենտրոնը ցուցակը ձևավորելուց հետո երկու աշխատանքային օրվա ընթացքում գործատուի էլեկտրոնային փոստի հասցեին է ուղարկում հաղորդագրություն` նշելով ցուցակում ընդգրկված անձանց մասին տեղեկատվությունը (անունը, ազգանունը, մասնագիտությունը, որակավորումը, հեռախոսը, էլեկտրոնային փոստի հասցեն) և այդ մասին տեղեկացնում ցուցակում ընդգրկված անձանց։</w:t>
            </w:r>
          </w:p>
          <w:p w:rsidR="005C2EB2" w:rsidRDefault="005C2EB2">
            <w:pPr>
              <w:shd w:val="clear" w:color="auto" w:fill="FFFFFF"/>
              <w:tabs>
                <w:tab w:val="left" w:pos="990"/>
              </w:tabs>
              <w:spacing w:line="360" w:lineRule="auto"/>
              <w:ind w:left="22" w:right="102" w:firstLine="338"/>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Այս առումով, առաջարկում ենք վերոնշյալ կետը խմբագրել և նախատեսել ցուցակում ընդգրկված անձանց մասին տեղեկատվությունը գործատուին ուղարկելու այլ եղանակ ևս (չսահմանափակվելով միայն էլեկտրոնային եղանակով)՝ նկատի ունենալով նաև Հավելվածի 2-րդ կետի դրույթները, այն է՝ գործատուն կարող է տարածքային կենտրոն դիմում ներկայացնել նաև առձեռն եղանակով:</w:t>
            </w:r>
          </w:p>
          <w:p w:rsidR="005C2EB2" w:rsidRDefault="005C2EB2">
            <w:pPr>
              <w:shd w:val="clear" w:color="auto" w:fill="FFFFFF"/>
              <w:tabs>
                <w:tab w:val="left" w:pos="990"/>
              </w:tabs>
              <w:spacing w:line="360" w:lineRule="auto"/>
              <w:ind w:left="22" w:right="102" w:firstLine="338"/>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Անհրաժեշտ է խմբագրել նաև Հավելվածի մյուս կետերում առկա նույնաբովանդակ կարգավորումները:</w:t>
            </w:r>
          </w:p>
          <w:p w:rsidR="005C2EB2" w:rsidRDefault="005C2EB2">
            <w:pPr>
              <w:shd w:val="clear" w:color="auto" w:fill="FFFFFF"/>
              <w:tabs>
                <w:tab w:val="left" w:pos="990"/>
              </w:tabs>
              <w:spacing w:line="360" w:lineRule="auto"/>
              <w:ind w:left="22" w:right="102" w:firstLine="338"/>
              <w:jc w:val="both"/>
              <w:rPr>
                <w:rFonts w:ascii="GHEA Grapalat" w:hAnsi="GHEA Grapalat"/>
                <w:sz w:val="24"/>
                <w:szCs w:val="24"/>
                <w:lang w:val="hy-AM"/>
              </w:rPr>
            </w:pPr>
            <w:r>
              <w:rPr>
                <w:rFonts w:ascii="GHEA Grapalat" w:eastAsia="Calibri" w:hAnsi="GHEA Grapalat" w:cs="Times New Roman"/>
                <w:sz w:val="24"/>
                <w:szCs w:val="24"/>
                <w:lang w:val="hy-AM"/>
              </w:rPr>
              <w:t>Ինչպես նաև 5-րդ կետում անհրաժեշտ է հստակ նշել, թե տարածքային կենտրոնը ինչ եղանակով է ցուցակում ընդգրկված անձանց տեղեկացնում:</w:t>
            </w:r>
          </w:p>
        </w:tc>
        <w:tc>
          <w:tcPr>
            <w:tcW w:w="4207" w:type="dxa"/>
            <w:tcBorders>
              <w:top w:val="single" w:sz="4" w:space="0" w:color="auto"/>
              <w:left w:val="single" w:sz="4" w:space="0" w:color="auto"/>
              <w:bottom w:val="single" w:sz="4" w:space="0" w:color="auto"/>
              <w:right w:val="single" w:sz="4" w:space="0" w:color="auto"/>
            </w:tcBorders>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Նախագծով առաջարկվում է ծրագիրն  իրականացնել  բացառապես էլեկտրոնային համակարգի միջոցով։</w:t>
            </w: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both"/>
              <w:rPr>
                <w:rFonts w:ascii="GHEA Grapalat" w:eastAsia="Calibri" w:hAnsi="GHEA Grapalat" w:cs="Times New Roman"/>
                <w:sz w:val="24"/>
                <w:szCs w:val="24"/>
                <w:lang w:val="hy-AM"/>
              </w:rPr>
            </w:pPr>
          </w:p>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tabs>
                <w:tab w:val="left" w:pos="990"/>
              </w:tabs>
              <w:spacing w:line="360" w:lineRule="auto"/>
              <w:ind w:left="22" w:right="102" w:firstLine="338"/>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5. Հավելվածի 6-րդ կետի 1-ին ենթակետի բ. և գ. պարբերություններում </w:t>
            </w:r>
            <w:r>
              <w:rPr>
                <w:rFonts w:ascii="GHEA Grapalat" w:eastAsia="Calibri" w:hAnsi="GHEA Grapalat" w:cs="Sylfaen"/>
                <w:sz w:val="24"/>
                <w:szCs w:val="24"/>
                <w:lang w:val="hy-AM"/>
              </w:rPr>
              <w:t>«ուսումնական կազմակերպությունում» բառերն անհրաժեշտ է փոխարինել «ուսումնական հաստատությունում» բառերով՝ հաշվի առնելով «Կրթության մասին» օրենքի դրույթները:</w:t>
            </w:r>
          </w:p>
          <w:p w:rsidR="005C2EB2" w:rsidRDefault="005C2EB2">
            <w:pPr>
              <w:shd w:val="clear" w:color="auto" w:fill="FFFFFF"/>
              <w:tabs>
                <w:tab w:val="left" w:pos="990"/>
              </w:tabs>
              <w:spacing w:line="360" w:lineRule="auto"/>
              <w:ind w:left="22" w:right="102" w:firstLine="338"/>
              <w:jc w:val="both"/>
              <w:rPr>
                <w:rFonts w:ascii="GHEA Grapalat" w:hAnsi="GHEA Grapalat"/>
                <w:sz w:val="24"/>
                <w:szCs w:val="24"/>
                <w:lang w:val="hy-AM"/>
              </w:rPr>
            </w:pPr>
            <w:r>
              <w:rPr>
                <w:rFonts w:ascii="GHEA Grapalat" w:eastAsia="Calibri" w:hAnsi="GHEA Grapalat" w:cs="Times New Roman"/>
                <w:sz w:val="24"/>
                <w:szCs w:val="24"/>
                <w:lang w:val="hy-AM"/>
              </w:rPr>
              <w:t>Ինչպես նաև 6-րդ կետի 1-ին ենթակետի գ. պարբերությունում անհրաժեշտ է նշել, թե որ ծառայության մասին է խոսքը: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rPr>
            </w:pPr>
            <w:r>
              <w:rPr>
                <w:rFonts w:ascii="GHEA Grapalat" w:eastAsia="Calibri" w:hAnsi="GHEA Grapalat" w:cs="Times New Roman"/>
                <w:sz w:val="24"/>
                <w:szCs w:val="24"/>
                <w:lang w:val="hy-AM"/>
              </w:rPr>
              <w:t>Ընդունվել է։</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tabs>
                <w:tab w:val="left" w:pos="10080"/>
              </w:tabs>
              <w:spacing w:line="360" w:lineRule="auto"/>
              <w:ind w:left="22" w:right="102" w:firstLine="326"/>
              <w:jc w:val="both"/>
              <w:rPr>
                <w:rFonts w:ascii="GHEA Grapalat" w:eastAsia="Calibri" w:hAnsi="GHEA Grapalat" w:cs="Times New Roman"/>
                <w:i/>
                <w:sz w:val="24"/>
                <w:szCs w:val="24"/>
                <w:lang w:val="hy-AM"/>
              </w:rPr>
            </w:pPr>
            <w:r>
              <w:rPr>
                <w:rFonts w:ascii="GHEA Grapalat" w:eastAsia="Calibri" w:hAnsi="GHEA Grapalat" w:cs="Times New Roman"/>
                <w:color w:val="000000"/>
                <w:sz w:val="24"/>
                <w:szCs w:val="24"/>
                <w:shd w:val="clear" w:color="auto" w:fill="FFFFFF"/>
                <w:lang w:val="hy-AM"/>
              </w:rPr>
              <w:t xml:space="preserve">6. Հավելվածի 8-րդ կետի համաձայն՝ </w:t>
            </w:r>
            <w:r>
              <w:rPr>
                <w:rFonts w:ascii="GHEA Grapalat" w:eastAsia="Calibri" w:hAnsi="GHEA Grapalat" w:cs="Times New Roman"/>
                <w:i/>
                <w:sz w:val="24"/>
                <w:szCs w:val="24"/>
                <w:lang w:val="hy-AM"/>
              </w:rPr>
              <w:t xml:space="preserve">պայմանագիր 1-ի հիման վրա շահառուն ընդգրկվում է </w:t>
            </w:r>
            <w:r>
              <w:rPr>
                <w:rFonts w:ascii="GHEA Grapalat" w:eastAsia="Calibri" w:hAnsi="GHEA Grapalat" w:cs="Times New Roman"/>
                <w:b/>
                <w:i/>
                <w:sz w:val="24"/>
                <w:szCs w:val="24"/>
                <w:lang w:val="hy-AM"/>
              </w:rPr>
              <w:t>մինչև 3 ամիս տևողությամբ</w:t>
            </w:r>
            <w:r>
              <w:rPr>
                <w:rFonts w:ascii="GHEA Grapalat" w:eastAsia="Calibri" w:hAnsi="GHEA Grapalat" w:cs="Times New Roman"/>
                <w:i/>
                <w:sz w:val="24"/>
                <w:szCs w:val="24"/>
                <w:lang w:val="hy-AM"/>
              </w:rPr>
              <w:t xml:space="preserve"> իրականացվող մասնագիտական ուսուցման համապատասխան դասընթացում և տարածքային կենտրոն է ներկայացնում ուսումնական կազմակերպության հետ կնքված պայմանագրի պատճենը։</w:t>
            </w:r>
          </w:p>
          <w:p w:rsidR="005C2EB2" w:rsidRDefault="005C2EB2">
            <w:pPr>
              <w:tabs>
                <w:tab w:val="left" w:pos="10080"/>
              </w:tabs>
              <w:spacing w:line="360" w:lineRule="auto"/>
              <w:ind w:left="22" w:right="102" w:firstLine="326"/>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sz w:val="24"/>
                <w:szCs w:val="24"/>
                <w:lang w:val="hy-AM"/>
              </w:rPr>
              <w:t xml:space="preserve">Մինչդեռ, Հավելվածի 6-րդ կետում սահմանված է, որ շահառուների մասնագիտական ուսուցում կարող է իրականացվել ինչպես գործատուի մոտ, այնպես էլ՝ </w:t>
            </w:r>
            <w:r>
              <w:rPr>
                <w:rFonts w:ascii="GHEA Grapalat" w:eastAsia="Calibri" w:hAnsi="GHEA Grapalat" w:cs="Times New Roman"/>
                <w:b/>
                <w:sz w:val="24"/>
                <w:szCs w:val="24"/>
                <w:lang w:val="hy-AM"/>
              </w:rPr>
              <w:t>ուսումնական կազմակերպությունում</w:t>
            </w:r>
            <w:r>
              <w:rPr>
                <w:rFonts w:ascii="GHEA Grapalat" w:eastAsia="Calibri" w:hAnsi="GHEA Grapalat" w:cs="Times New Roman"/>
                <w:sz w:val="24"/>
                <w:szCs w:val="24"/>
                <w:lang w:val="hy-AM"/>
              </w:rPr>
              <w:t>:</w:t>
            </w:r>
          </w:p>
          <w:p w:rsidR="005C2EB2" w:rsidRDefault="005C2EB2">
            <w:pPr>
              <w:shd w:val="clear" w:color="auto" w:fill="FFFFFF"/>
              <w:tabs>
                <w:tab w:val="left" w:pos="990"/>
              </w:tabs>
              <w:spacing w:line="360" w:lineRule="auto"/>
              <w:ind w:left="22" w:right="102" w:firstLine="326"/>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Այս առումով, հարկ ենք համարում անդրադառնալ հետևյալ իրավակարգավորումներին.</w:t>
            </w:r>
          </w:p>
          <w:p w:rsidR="005C2EB2" w:rsidRDefault="005C2EB2">
            <w:pPr>
              <w:shd w:val="clear" w:color="auto" w:fill="FFFFFF"/>
              <w:tabs>
                <w:tab w:val="left" w:pos="990"/>
              </w:tabs>
              <w:spacing w:line="360" w:lineRule="auto"/>
              <w:ind w:left="22" w:right="102" w:firstLine="326"/>
              <w:jc w:val="both"/>
              <w:rPr>
                <w:rFonts w:ascii="GHEA Grapalat" w:eastAsia="Calibri" w:hAnsi="GHEA Grapalat" w:cs="Sylfaen"/>
                <w:sz w:val="24"/>
                <w:szCs w:val="24"/>
                <w:lang w:val="hy-AM"/>
              </w:rPr>
            </w:pPr>
            <w:r>
              <w:rPr>
                <w:rFonts w:ascii="GHEA Grapalat" w:eastAsia="Calibri" w:hAnsi="GHEA Grapalat" w:cs="Sylfaen"/>
                <w:sz w:val="24"/>
                <w:szCs w:val="24"/>
                <w:lang w:val="hy-AM"/>
              </w:rPr>
              <w:t>«Նախնական մասնագիտական (արհեստագործական) և միջին մասնագիտական կրթության մասին» օրենքի 8-րդ հոդվածի 3-րդ մասում սահմանված է հետևյալը.</w:t>
            </w:r>
          </w:p>
          <w:p w:rsidR="005C2EB2" w:rsidRDefault="005C2EB2">
            <w:pPr>
              <w:shd w:val="clear" w:color="auto" w:fill="FFFFFF"/>
              <w:spacing w:line="360" w:lineRule="auto"/>
              <w:ind w:left="22" w:right="102" w:firstLine="326"/>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Արհեստագործական կրթության արհեստավորի որակավորման աստիճան ստանալու համար հիմնական կրթական ծրագրի ուսուցման տևողությունը 6 ամսից մինչև 3 տարի է:</w:t>
            </w:r>
          </w:p>
          <w:p w:rsidR="005C2EB2" w:rsidRDefault="005C2EB2">
            <w:pPr>
              <w:shd w:val="clear" w:color="auto" w:fill="FFFFFF"/>
              <w:spacing w:line="360" w:lineRule="auto"/>
              <w:ind w:left="22" w:right="102" w:firstLine="326"/>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Կառավարության որոշմամբ կարող է սահմանվել արհեստագործական կրթական ծրագրով իրականացվող կրթության այլ հիմք և ուսուցման տևողություն։</w:t>
            </w:r>
            <w:r>
              <w:rPr>
                <w:rFonts w:ascii="Arial" w:eastAsia="Times New Roman" w:hAnsi="Arial" w:cs="Arial"/>
                <w:i/>
                <w:color w:val="000000"/>
                <w:sz w:val="24"/>
                <w:szCs w:val="24"/>
                <w:lang w:val="hy-AM"/>
              </w:rPr>
              <w:t> </w:t>
            </w:r>
          </w:p>
          <w:p w:rsidR="005C2EB2" w:rsidRDefault="005C2EB2">
            <w:pPr>
              <w:shd w:val="clear" w:color="auto" w:fill="FFFFFF"/>
              <w:spacing w:line="360" w:lineRule="auto"/>
              <w:ind w:left="22" w:right="102" w:firstLine="326"/>
              <w:jc w:val="both"/>
              <w:rPr>
                <w:rFonts w:ascii="Arial" w:eastAsia="Times New Roman" w:hAnsi="Arial" w:cs="Arial"/>
                <w:i/>
                <w:color w:val="000000"/>
                <w:sz w:val="24"/>
                <w:szCs w:val="24"/>
                <w:lang w:val="hy-AM"/>
              </w:rPr>
            </w:pPr>
            <w:r>
              <w:rPr>
                <w:rFonts w:ascii="GHEA Grapalat" w:eastAsia="Times New Roman" w:hAnsi="GHEA Grapalat" w:cs="Times New Roman"/>
                <w:i/>
                <w:color w:val="000000"/>
                <w:sz w:val="24"/>
                <w:szCs w:val="24"/>
                <w:lang w:val="hy-AM"/>
              </w:rPr>
              <w:t>Միջին մասնագիտական կրթության մասնագետի</w:t>
            </w:r>
            <w:r>
              <w:rPr>
                <w:rFonts w:ascii="Arial" w:eastAsia="Times New Roman" w:hAnsi="Arial" w:cs="Arial"/>
                <w:i/>
                <w:color w:val="000000"/>
                <w:sz w:val="24"/>
                <w:szCs w:val="24"/>
                <w:lang w:val="hy-AM"/>
              </w:rPr>
              <w:t> </w:t>
            </w:r>
            <w:r>
              <w:rPr>
                <w:rFonts w:ascii="GHEA Grapalat" w:eastAsia="Times New Roman" w:hAnsi="GHEA Grapalat" w:cs="Arial Unicode"/>
                <w:i/>
                <w:color w:val="000000"/>
                <w:sz w:val="24"/>
                <w:szCs w:val="24"/>
                <w:lang w:val="hy-AM"/>
              </w:rPr>
              <w:t>որակավորման աստիճան ստանալու համար հիմնական կրթական ծրագրի ուսուցման տևողությունը 2 տա</w:t>
            </w:r>
            <w:r>
              <w:rPr>
                <w:rFonts w:ascii="GHEA Grapalat" w:eastAsia="Times New Roman" w:hAnsi="GHEA Grapalat" w:cs="Times New Roman"/>
                <w:i/>
                <w:color w:val="000000"/>
                <w:sz w:val="24"/>
                <w:szCs w:val="24"/>
                <w:lang w:val="hy-AM"/>
              </w:rPr>
              <w:t>րուց մինչև 5 տարի է:</w:t>
            </w:r>
            <w:r>
              <w:rPr>
                <w:rFonts w:ascii="Arial" w:eastAsia="Times New Roman" w:hAnsi="Arial" w:cs="Arial"/>
                <w:i/>
                <w:color w:val="000000"/>
                <w:sz w:val="24"/>
                <w:szCs w:val="24"/>
                <w:lang w:val="hy-AM"/>
              </w:rPr>
              <w:t> </w:t>
            </w:r>
          </w:p>
          <w:p w:rsidR="005C2EB2" w:rsidRDefault="005C2EB2">
            <w:pPr>
              <w:shd w:val="clear" w:color="auto" w:fill="FFFFFF"/>
              <w:spacing w:line="360" w:lineRule="auto"/>
              <w:ind w:left="22" w:right="102" w:firstLine="326"/>
              <w:jc w:val="both"/>
              <w:rPr>
                <w:rFonts w:ascii="GHEA Grapalat" w:eastAsia="Times New Roman" w:hAnsi="GHEA Grapalat" w:cs="Times New Roman"/>
                <w:i/>
                <w:color w:val="000000"/>
                <w:sz w:val="24"/>
                <w:szCs w:val="24"/>
                <w:lang w:val="hy-AM"/>
              </w:rPr>
            </w:pPr>
            <w:r>
              <w:rPr>
                <w:rFonts w:ascii="GHEA Grapalat" w:eastAsia="Times New Roman" w:hAnsi="GHEA Grapalat" w:cs="Sylfaen"/>
                <w:sz w:val="24"/>
                <w:szCs w:val="24"/>
                <w:lang w:val="hy-AM"/>
              </w:rPr>
              <w:t xml:space="preserve">«Բարձրագույն և հետբուհական մասնագիտական կրթության մասին» օրենքի 9-րդ հոդվածի 4-րդ մասի համաձայն՝ </w:t>
            </w:r>
            <w:r>
              <w:rPr>
                <w:rFonts w:ascii="GHEA Grapalat" w:eastAsia="Times New Roman" w:hAnsi="GHEA Grapalat" w:cs="Times New Roman"/>
                <w:i/>
                <w:color w:val="000000"/>
                <w:sz w:val="24"/>
                <w:szCs w:val="24"/>
                <w:lang w:val="hy-AM"/>
              </w:rPr>
              <w:t>բարձրագույն և</w:t>
            </w:r>
            <w:r>
              <w:rPr>
                <w:rFonts w:ascii="Arial" w:eastAsia="Times New Roman" w:hAnsi="Arial" w:cs="Arial"/>
                <w:i/>
                <w:color w:val="000000"/>
                <w:sz w:val="24"/>
                <w:szCs w:val="24"/>
                <w:lang w:val="hy-AM"/>
              </w:rPr>
              <w:t> </w:t>
            </w:r>
            <w:r>
              <w:rPr>
                <w:rFonts w:ascii="GHEA Grapalat" w:eastAsia="Times New Roman" w:hAnsi="GHEA Grapalat" w:cs="Arial Unicode"/>
                <w:i/>
                <w:color w:val="000000"/>
                <w:sz w:val="24"/>
                <w:szCs w:val="24"/>
                <w:lang w:val="hy-AM"/>
              </w:rPr>
              <w:t>հետբուհական մասնագիտական կրթության հիմնական կրթական ծրագրերի ուսուցման տևողությունն է`</w:t>
            </w:r>
          </w:p>
          <w:p w:rsidR="005C2EB2" w:rsidRDefault="005C2EB2">
            <w:pPr>
              <w:shd w:val="clear" w:color="auto" w:fill="FFFFFF"/>
              <w:spacing w:line="360" w:lineRule="auto"/>
              <w:ind w:left="22" w:right="102" w:firstLine="326"/>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1)</w:t>
            </w:r>
            <w:r>
              <w:rPr>
                <w:rFonts w:ascii="Arial" w:eastAsia="Times New Roman" w:hAnsi="Arial" w:cs="Arial"/>
                <w:i/>
                <w:color w:val="000000"/>
                <w:sz w:val="24"/>
                <w:szCs w:val="24"/>
                <w:lang w:val="hy-AM"/>
              </w:rPr>
              <w:t> </w:t>
            </w:r>
            <w:r>
              <w:rPr>
                <w:rFonts w:ascii="GHEA Grapalat" w:eastAsia="Times New Roman" w:hAnsi="GHEA Grapalat" w:cs="Arial Unicode"/>
                <w:i/>
                <w:color w:val="000000"/>
                <w:sz w:val="24"/>
                <w:szCs w:val="24"/>
                <w:lang w:val="hy-AM"/>
              </w:rPr>
              <w:t xml:space="preserve"> բակալավրի որակավորման աստիճան ստանալու համար` առնվազն 4 տարվա, ոստիկանական կամ զինվորական մասնագիտությունների համար` առնվազն 3 տա</w:t>
            </w:r>
            <w:r>
              <w:rPr>
                <w:rFonts w:ascii="GHEA Grapalat" w:eastAsia="Times New Roman" w:hAnsi="GHEA Grapalat" w:cs="Times New Roman"/>
                <w:i/>
                <w:color w:val="000000"/>
                <w:sz w:val="24"/>
                <w:szCs w:val="24"/>
                <w:lang w:val="hy-AM"/>
              </w:rPr>
              <w:t>րվա.</w:t>
            </w:r>
          </w:p>
          <w:p w:rsidR="005C2EB2" w:rsidRDefault="005C2EB2">
            <w:pPr>
              <w:shd w:val="clear" w:color="auto" w:fill="FFFFFF"/>
              <w:spacing w:line="360" w:lineRule="auto"/>
              <w:ind w:left="22" w:right="102" w:firstLine="326"/>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2) դիպլոմավորված մասնագետի որակավորման աստիճան ստանալու համար` առնվազն 5 տարվա, արվեստի և ֆիզիկական կուլտուրայի մասնագիտությունների համար` առնվազն 4 տարվա.</w:t>
            </w:r>
          </w:p>
          <w:p w:rsidR="005C2EB2" w:rsidRDefault="005C2EB2">
            <w:pPr>
              <w:shd w:val="clear" w:color="auto" w:fill="FFFFFF"/>
              <w:spacing w:line="360" w:lineRule="auto"/>
              <w:ind w:left="22" w:right="102" w:firstLine="326"/>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3) մագիստրոսի որակավորման աստիճան ստանալու համար` առնվազն 1 տարվա.</w:t>
            </w:r>
          </w:p>
          <w:p w:rsidR="005C2EB2" w:rsidRDefault="005C2EB2">
            <w:pPr>
              <w:shd w:val="clear" w:color="auto" w:fill="FFFFFF"/>
              <w:spacing w:line="360" w:lineRule="auto"/>
              <w:ind w:left="22" w:right="102" w:firstLine="326"/>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4)</w:t>
            </w:r>
            <w:r>
              <w:rPr>
                <w:rFonts w:ascii="Arial" w:eastAsia="Times New Roman" w:hAnsi="Arial" w:cs="Arial"/>
                <w:i/>
                <w:color w:val="000000"/>
                <w:sz w:val="24"/>
                <w:szCs w:val="24"/>
                <w:lang w:val="hy-AM"/>
              </w:rPr>
              <w:t> </w:t>
            </w:r>
            <w:r>
              <w:rPr>
                <w:rFonts w:ascii="GHEA Grapalat" w:eastAsia="Times New Roman" w:hAnsi="GHEA Grapalat" w:cs="Arial Unicode"/>
                <w:i/>
                <w:color w:val="000000"/>
                <w:sz w:val="24"/>
                <w:szCs w:val="24"/>
                <w:lang w:val="hy-AM"/>
              </w:rPr>
              <w:t>հետազոտողի որակավորման աս</w:t>
            </w:r>
            <w:r>
              <w:rPr>
                <w:rFonts w:ascii="GHEA Grapalat" w:eastAsia="Times New Roman" w:hAnsi="GHEA Grapalat" w:cs="Times New Roman"/>
                <w:i/>
                <w:color w:val="000000"/>
                <w:sz w:val="24"/>
                <w:szCs w:val="24"/>
                <w:lang w:val="hy-AM"/>
              </w:rPr>
              <w:t>տիճան ստանալու համար` առնվազն 3 տարվա:</w:t>
            </w:r>
          </w:p>
          <w:p w:rsidR="005C2EB2" w:rsidRDefault="005C2EB2">
            <w:pPr>
              <w:shd w:val="clear" w:color="auto" w:fill="FFFFFF"/>
              <w:spacing w:line="360" w:lineRule="auto"/>
              <w:ind w:left="22" w:right="102" w:firstLine="326"/>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5) բժշկական մասնագիտությունների համար կրթության տևողություն սահմանել առնվազն 5 տարի` անընդհատ և ինտեգրացված կրթական ծրագրերով, որի արդյունքում շնորհված կրթական աստիճանը հավասարեցվում է մագիստրոսի կրթական աստիճանին.</w:t>
            </w:r>
          </w:p>
          <w:p w:rsidR="005C2EB2" w:rsidRDefault="005C2EB2">
            <w:pPr>
              <w:shd w:val="clear" w:color="auto" w:fill="FFFFFF"/>
              <w:spacing w:line="360" w:lineRule="auto"/>
              <w:ind w:left="22" w:right="102" w:firstLine="326"/>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6) Հայաստանի Հանրապետության և օտարերկրյա այլ պետությունների ռազմաբժշկական</w:t>
            </w:r>
            <w:r>
              <w:rPr>
                <w:rFonts w:ascii="Arial" w:eastAsia="Times New Roman" w:hAnsi="Arial" w:cs="Arial"/>
                <w:i/>
                <w:color w:val="000000"/>
                <w:sz w:val="24"/>
                <w:szCs w:val="24"/>
                <w:lang w:val="hy-AM"/>
              </w:rPr>
              <w:t> </w:t>
            </w:r>
            <w:r>
              <w:rPr>
                <w:rFonts w:ascii="GHEA Grapalat" w:eastAsia="Times New Roman" w:hAnsi="GHEA Grapalat" w:cs="Arial Unicode"/>
                <w:i/>
                <w:color w:val="000000"/>
                <w:sz w:val="24"/>
                <w:szCs w:val="24"/>
                <w:lang w:val="hy-AM"/>
              </w:rPr>
              <w:t>բարձրագույն ուսումնական հաստատությունների կամ ստորաբաժանումների շրջանավարտների համար սահմանել մեկ տարի տևողությամբ</w:t>
            </w:r>
            <w:r>
              <w:rPr>
                <w:rFonts w:ascii="Arial" w:eastAsia="Times New Roman" w:hAnsi="Arial" w:cs="Arial"/>
                <w:i/>
                <w:color w:val="000000"/>
                <w:sz w:val="24"/>
                <w:szCs w:val="24"/>
                <w:lang w:val="hy-AM"/>
              </w:rPr>
              <w:t> </w:t>
            </w:r>
            <w:r>
              <w:rPr>
                <w:rFonts w:ascii="GHEA Grapalat" w:eastAsia="Times New Roman" w:hAnsi="GHEA Grapalat" w:cs="Arial Unicode"/>
                <w:i/>
                <w:color w:val="000000"/>
                <w:sz w:val="24"/>
                <w:szCs w:val="24"/>
                <w:lang w:val="hy-AM"/>
              </w:rPr>
              <w:t>հետբուհական ուսուցում՝ ինտերնատուրա</w:t>
            </w:r>
            <w:r>
              <w:rPr>
                <w:rFonts w:ascii="GHEA Grapalat" w:eastAsia="Times New Roman" w:hAnsi="GHEA Grapalat" w:cs="Times New Roman"/>
                <w:i/>
                <w:color w:val="000000"/>
                <w:sz w:val="24"/>
                <w:szCs w:val="24"/>
                <w:lang w:val="hy-AM"/>
              </w:rPr>
              <w:t>:</w:t>
            </w:r>
          </w:p>
          <w:p w:rsidR="005C2EB2" w:rsidRDefault="005C2EB2">
            <w:pPr>
              <w:shd w:val="clear" w:color="auto" w:fill="FFFFFF"/>
              <w:spacing w:line="360" w:lineRule="auto"/>
              <w:ind w:left="22" w:right="102" w:firstLine="326"/>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Հետևաբար, հիմք ընդունելով վերոգրյալ օրենքներով սահմանված կրթական ծրագրերի տևողությունը, առաջարկում ենք վերանայել Հավելվածի 8-րդ կետով սահմանված ժամկետը: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Խոսքը վերաբերում է «Կրթության մասին» օրենքի 3-րդ հոդվածի 1.6-րդ կետով նախատեսված լրացուցիչ կրթության (ուսուցման)</w:t>
            </w:r>
            <w:r>
              <w:rPr>
                <w:rStyle w:val="Strong"/>
                <w:rFonts w:ascii="GHEA Grapalat" w:hAnsi="GHEA Grapalat"/>
                <w:color w:val="000000"/>
                <w:sz w:val="24"/>
                <w:szCs w:val="24"/>
                <w:shd w:val="clear" w:color="auto" w:fill="FFFFFF"/>
                <w:lang w:val="hy-AM"/>
              </w:rPr>
              <w:t>՝</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լրացուցիչ կրթական ծրագրով իրականացվող ոչ ֆորմալ ուսումնառության մասին, որի առավելագույն տևողությունը կարող է լինել մինչև հինգ ամիս։</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spacing w:line="360" w:lineRule="auto"/>
              <w:ind w:left="22" w:right="102" w:firstLine="353"/>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7. Հավելվածի 11-րդ կետում անհրաժեշտ է նշել, թե ինչ կարգով է իրականացվելու մոնիթորինգը:</w:t>
            </w:r>
          </w:p>
        </w:tc>
        <w:tc>
          <w:tcPr>
            <w:tcW w:w="4207" w:type="dxa"/>
            <w:tcBorders>
              <w:top w:val="single" w:sz="4" w:space="0" w:color="auto"/>
              <w:left w:val="single" w:sz="4" w:space="0" w:color="auto"/>
              <w:bottom w:val="single" w:sz="4" w:space="0" w:color="auto"/>
              <w:right w:val="single" w:sz="4" w:space="0" w:color="auto"/>
            </w:tcBorders>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rsidR="005C2EB2" w:rsidRDefault="005C2EB2">
            <w:pPr>
              <w:spacing w:line="360" w:lineRule="auto"/>
              <w:jc w:val="center"/>
              <w:rPr>
                <w:rFonts w:ascii="GHEA Grapalat" w:eastAsia="Calibri" w:hAnsi="GHEA Grapalat" w:cs="Times New Roman"/>
                <w:sz w:val="24"/>
                <w:szCs w:val="24"/>
                <w:lang w:val="hy-AM"/>
              </w:rPr>
            </w:pP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spacing w:line="360" w:lineRule="auto"/>
              <w:ind w:left="22" w:right="102" w:firstLine="353"/>
              <w:jc w:val="both"/>
              <w:rPr>
                <w:rFonts w:ascii="GHEA Grapalat" w:eastAsia="Times New Roman" w:hAnsi="GHEA Grapalat" w:cs="Sylfaen"/>
                <w:sz w:val="24"/>
                <w:szCs w:val="24"/>
                <w:lang w:val="hy-AM"/>
              </w:rPr>
            </w:pPr>
            <w:r>
              <w:rPr>
                <w:rFonts w:ascii="GHEA Grapalat" w:eastAsia="Times New Roman" w:hAnsi="GHEA Grapalat" w:cs="Times New Roman"/>
                <w:color w:val="000000"/>
                <w:sz w:val="24"/>
                <w:szCs w:val="24"/>
                <w:lang w:val="hy-AM"/>
              </w:rPr>
              <w:t xml:space="preserve">8. Հավելվածի 13-րդ կետում և մյուս կետերում անհրաժեշտ է բացահայտել </w:t>
            </w:r>
            <w:r>
              <w:rPr>
                <w:rFonts w:ascii="GHEA Grapalat" w:eastAsia="Times New Roman" w:hAnsi="GHEA Grapalat" w:cs="Sylfaen"/>
                <w:sz w:val="24"/>
                <w:szCs w:val="24"/>
                <w:lang w:val="hy-AM"/>
              </w:rPr>
              <w:t>«նորմալ աշխատաժամանակի ռեժիմ» ձևակերպման իրավական բովանդակությունը՝ նկատի ունենալով, որ այդպիսի ձևակերպում Հայաստանի Հանրապետության օրենսդրությամբ առկա չէ:</w:t>
            </w:r>
          </w:p>
          <w:p w:rsidR="005C2EB2" w:rsidRDefault="005C2EB2">
            <w:pPr>
              <w:shd w:val="clear" w:color="auto" w:fill="FFFFFF"/>
              <w:spacing w:line="360" w:lineRule="auto"/>
              <w:ind w:left="22" w:right="102" w:firstLine="353"/>
              <w:jc w:val="both"/>
              <w:rPr>
                <w:rFonts w:ascii="GHEA Grapalat" w:eastAsia="Times New Roman" w:hAnsi="GHEA Grapalat" w:cs="Times New Roman"/>
                <w:i/>
                <w:color w:val="000000"/>
                <w:sz w:val="24"/>
                <w:szCs w:val="24"/>
                <w:shd w:val="clear" w:color="auto" w:fill="FFFFFF"/>
                <w:lang w:val="hy-AM"/>
              </w:rPr>
            </w:pPr>
            <w:r>
              <w:rPr>
                <w:rFonts w:ascii="GHEA Grapalat" w:eastAsia="Times New Roman" w:hAnsi="GHEA Grapalat" w:cs="Sylfaen"/>
                <w:sz w:val="24"/>
                <w:szCs w:val="24"/>
                <w:lang w:val="hy-AM"/>
              </w:rPr>
              <w:t xml:space="preserve">Այս դիտողությունը բխում է «Նորմատիվ իրավական ակտերի մասին» օրենքի 15-րդ հոդվածի 3-րդ մասի դրույթներից, այն է՝ </w:t>
            </w:r>
            <w:r>
              <w:rPr>
                <w:rFonts w:ascii="GHEA Grapalat" w:eastAsia="Times New Roman" w:hAnsi="GHEA Grapalat" w:cs="Times New Roman"/>
                <w:i/>
                <w:color w:val="000000"/>
                <w:sz w:val="24"/>
                <w:szCs w:val="24"/>
                <w:shd w:val="clear" w:color="auto" w:fill="FFFFFF"/>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rsidR="005C2EB2" w:rsidRDefault="005C2EB2">
            <w:pPr>
              <w:shd w:val="clear" w:color="auto" w:fill="FFFFFF"/>
              <w:spacing w:line="360" w:lineRule="auto"/>
              <w:ind w:left="22" w:right="102" w:firstLine="353"/>
              <w:jc w:val="both"/>
              <w:rPr>
                <w:rFonts w:ascii="GHEA Grapalat" w:hAnsi="GHEA Grapalat"/>
                <w:sz w:val="24"/>
                <w:szCs w:val="24"/>
                <w:lang w:val="hy-AM"/>
              </w:rPr>
            </w:pPr>
            <w:r>
              <w:rPr>
                <w:rFonts w:ascii="GHEA Grapalat" w:eastAsia="Times New Roman" w:hAnsi="GHEA Grapalat" w:cs="Times New Roman"/>
                <w:color w:val="000000"/>
                <w:sz w:val="24"/>
                <w:szCs w:val="24"/>
                <w:shd w:val="clear" w:color="auto" w:fill="FFFFFF"/>
                <w:lang w:val="hy-AM"/>
              </w:rPr>
              <w:t xml:space="preserve">Սույն դիտողությունը վերաբերում է նաև Հավելվածի 13-րդ կետում և մյուս կետերում առկա </w:t>
            </w:r>
            <w:r>
              <w:rPr>
                <w:rFonts w:ascii="GHEA Grapalat" w:eastAsia="Times New Roman" w:hAnsi="GHEA Grapalat" w:cs="Sylfaen"/>
                <w:sz w:val="24"/>
                <w:szCs w:val="24"/>
                <w:lang w:val="hy-AM"/>
              </w:rPr>
              <w:t>«օրենսդրությամբ սահմանված կարգով» ձևակերպմանը: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ՀՀ աշխատանքային օրենսգրքի (այսուհետ՝ Օրենսգիրք) 84-րդ հոդվածի 1-ին մասի 11-րդ կետի համաձայն՝ </w:t>
            </w:r>
            <w:r>
              <w:rPr>
                <w:lang w:val="hy-AM"/>
              </w:rPr>
              <w:t xml:space="preserve"> </w:t>
            </w:r>
            <w:r>
              <w:rPr>
                <w:rFonts w:ascii="GHEA Grapalat" w:eastAsia="Calibri" w:hAnsi="GHEA Grapalat" w:cs="Times New Roman"/>
                <w:sz w:val="24"/>
                <w:szCs w:val="24"/>
                <w:lang w:val="hy-AM"/>
              </w:rPr>
              <w:t xml:space="preserve">աշխատանքի ընդունման մասին անհատական իրավական ակտում, աշխատանքային պայմանագրում նշվում է </w:t>
            </w:r>
            <w:r>
              <w:rPr>
                <w:rFonts w:ascii="GHEA Grapalat" w:eastAsia="Calibri" w:hAnsi="GHEA Grapalat" w:cs="Times New Roman"/>
                <w:b/>
                <w:sz w:val="24"/>
                <w:szCs w:val="24"/>
                <w:lang w:val="hy-AM"/>
              </w:rPr>
              <w:t>աշխատաժամանակի ռեժիմը՝ աշխատաժամանակի նորմալ տևողություն</w:t>
            </w:r>
            <w:r>
              <w:rPr>
                <w:rFonts w:ascii="GHEA Grapalat" w:eastAsia="Calibri" w:hAnsi="GHEA Grapalat" w:cs="Times New Roman"/>
                <w:sz w:val="24"/>
                <w:szCs w:val="24"/>
                <w:lang w:val="hy-AM"/>
              </w:rPr>
              <w:t xml:space="preserve"> կամ ոչ լրիվ աշխատաժամանակ կամ աշխատաժամանակի կրճատ տևողություն կամ աշխատաժամանակի գումարային հաշվարկ։</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Ընդ որում, Օրենսգրքի 139-րդ հոդվածի 1-ին մասի համաձայն՝ </w:t>
            </w:r>
            <w:r>
              <w:rPr>
                <w:lang w:val="hy-AM"/>
              </w:rPr>
              <w:t xml:space="preserve"> </w:t>
            </w:r>
            <w:r>
              <w:rPr>
                <w:rFonts w:ascii="GHEA Grapalat" w:eastAsia="Calibri" w:hAnsi="GHEA Grapalat" w:cs="Times New Roman"/>
                <w:sz w:val="24"/>
                <w:szCs w:val="24"/>
                <w:lang w:val="hy-AM"/>
              </w:rPr>
              <w:t xml:space="preserve">աշխատաժամանակի </w:t>
            </w:r>
            <w:r>
              <w:rPr>
                <w:rFonts w:ascii="GHEA Grapalat" w:eastAsia="Calibri" w:hAnsi="GHEA Grapalat" w:cs="Times New Roman"/>
                <w:b/>
                <w:sz w:val="24"/>
                <w:szCs w:val="24"/>
                <w:lang w:val="hy-AM"/>
              </w:rPr>
              <w:t>նորմալ տևողությունը</w:t>
            </w:r>
            <w:r>
              <w:rPr>
                <w:rFonts w:ascii="GHEA Grapalat" w:eastAsia="Calibri" w:hAnsi="GHEA Grapalat" w:cs="Times New Roman"/>
                <w:sz w:val="24"/>
                <w:szCs w:val="24"/>
                <w:lang w:val="hy-AM"/>
              </w:rPr>
              <w:t xml:space="preserve"> չի կարող անցնել շաբաթական 40 ժամից:</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Այսինքն, ՀՀ աշխատանքային օրենսգրքով արդեն իսկ նման ձևակերպում առկա է։</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Միաժամանակ, առավել հստակեցնելու նպատակով շեշտադրվել է «աշխատանքային» բառը, մասնավորապես՝ </w:t>
            </w:r>
            <w:r>
              <w:rPr>
                <w:rFonts w:ascii="GHEA Grapalat" w:eastAsia="Times New Roman" w:hAnsi="GHEA Grapalat" w:cs="Sylfaen"/>
                <w:sz w:val="24"/>
                <w:szCs w:val="24"/>
                <w:lang w:val="hy-AM"/>
              </w:rPr>
              <w:t>«օրենսդրությամբ սահմանված կարգով» ձևակերպումը փոխարինվել է «աշխատանքային օրենսդրությամբ սահմանված կարգով» ձևակերպմամբ։</w:t>
            </w:r>
            <w:r>
              <w:rPr>
                <w:rFonts w:ascii="GHEA Grapalat" w:eastAsia="Calibri" w:hAnsi="GHEA Grapalat" w:cs="Times New Roman"/>
                <w:sz w:val="24"/>
                <w:szCs w:val="24"/>
                <w:lang w:val="hy-AM"/>
              </w:rPr>
              <w:t xml:space="preserve"> </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spacing w:line="360" w:lineRule="auto"/>
              <w:ind w:left="22" w:right="102" w:firstLine="353"/>
              <w:jc w:val="both"/>
              <w:rPr>
                <w:rFonts w:ascii="GHEA Grapalat" w:eastAsia="Times New Roman" w:hAnsi="GHEA Grapalat" w:cs="Sylfaen"/>
                <w:sz w:val="24"/>
                <w:szCs w:val="24"/>
                <w:lang w:val="hy-AM"/>
              </w:rPr>
            </w:pPr>
            <w:r>
              <w:rPr>
                <w:rFonts w:ascii="GHEA Grapalat" w:eastAsia="Times New Roman" w:hAnsi="GHEA Grapalat" w:cs="Times New Roman"/>
                <w:color w:val="000000"/>
                <w:sz w:val="24"/>
                <w:szCs w:val="24"/>
                <w:lang w:val="hy-AM"/>
              </w:rPr>
              <w:t xml:space="preserve">9. Հավելվածի 14-րդ կետում </w:t>
            </w:r>
            <w:r>
              <w:rPr>
                <w:rFonts w:ascii="GHEA Grapalat" w:eastAsia="Times New Roman" w:hAnsi="GHEA Grapalat" w:cs="Sylfaen"/>
                <w:sz w:val="24"/>
                <w:szCs w:val="24"/>
                <w:lang w:val="hy-AM"/>
              </w:rPr>
              <w:t>«Գործազուրկի» բառն անհրաժեշտ է փոխարինել «Շահառուի» բառով՝ նկատի ունենալով Հավելվածի 6-րդ կետի դրույթները:</w:t>
            </w:r>
          </w:p>
          <w:p w:rsidR="005C2EB2" w:rsidRDefault="005C2EB2">
            <w:pPr>
              <w:shd w:val="clear" w:color="auto" w:fill="FFFFFF"/>
              <w:spacing w:line="360" w:lineRule="auto"/>
              <w:ind w:left="22" w:right="102" w:firstLine="353"/>
              <w:jc w:val="both"/>
              <w:rPr>
                <w:rFonts w:ascii="GHEA Grapalat" w:eastAsia="Times New Roman" w:hAnsi="GHEA Grapalat" w:cs="Times New Roman"/>
                <w:color w:val="000000"/>
                <w:sz w:val="24"/>
                <w:szCs w:val="24"/>
                <w:lang w:val="hy-AM"/>
              </w:rPr>
            </w:pPr>
            <w:r>
              <w:rPr>
                <w:rFonts w:ascii="GHEA Grapalat" w:eastAsia="Times New Roman" w:hAnsi="GHEA Grapalat" w:cs="Sylfaen"/>
                <w:sz w:val="24"/>
                <w:szCs w:val="24"/>
                <w:lang w:val="hy-AM"/>
              </w:rPr>
              <w:t>Սույն դիտողությունը վերաբերում է նաև Հավելվածի մյուս կետերում առկա նույնական ձևակերպմանը: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spacing w:line="360" w:lineRule="auto"/>
              <w:ind w:left="22" w:right="102" w:firstLine="353"/>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10. Նկատի ունենալով, որ Հավելվածի 16-րդ և 24-րդ կետերում առկա են ֆինանսական միջոցների վերադարձման մասին դրույթներ՝ առաջարկում ենք դրանում նախատեսել վերադարձման կարգի և ժամկետների վերաբերյալ դրույթներ ևս:</w:t>
            </w:r>
          </w:p>
          <w:p w:rsidR="005C2EB2" w:rsidRDefault="005C2EB2">
            <w:pPr>
              <w:shd w:val="clear" w:color="auto" w:fill="FFFFFF"/>
              <w:spacing w:line="360" w:lineRule="auto"/>
              <w:ind w:left="22" w:right="102" w:firstLine="353"/>
              <w:jc w:val="both"/>
              <w:rPr>
                <w:rFonts w:ascii="GHEA Grapalat" w:eastAsia="Times New Roman" w:hAnsi="GHEA Grapalat" w:cs="Times New Roman"/>
                <w:color w:val="000000"/>
                <w:sz w:val="24"/>
                <w:szCs w:val="24"/>
                <w:lang w:val="hy-AM"/>
              </w:rPr>
            </w:pPr>
            <w:r>
              <w:rPr>
                <w:rFonts w:ascii="GHEA Grapalat" w:eastAsia="Times New Roman" w:hAnsi="GHEA Grapalat" w:cs="Sylfaen"/>
                <w:sz w:val="24"/>
                <w:szCs w:val="24"/>
                <w:lang w:val="hy-AM"/>
              </w:rPr>
              <w:t>Ինչպես նաև Հավելվածի 16-րդ կետի 1-ին ենթակետի բացառությունների շարքում առաջարկում ենք լրացնել նաև Հայաստանի Հանրապետության աշխատանքային օրենսգրքի 109-րդ հոդվածի 1-ին մասի 10-րդ կետը, երբ թույլատրելի է համարվում աշխատանքային պայմանագրի լուծելը ֆիզիկական անձ գործատուի մահվան դեպքում:</w:t>
            </w:r>
          </w:p>
        </w:tc>
        <w:tc>
          <w:tcPr>
            <w:tcW w:w="4207" w:type="dxa"/>
            <w:tcBorders>
              <w:top w:val="single" w:sz="4" w:space="0" w:color="auto"/>
              <w:left w:val="single" w:sz="4" w:space="0" w:color="auto"/>
              <w:bottom w:val="single" w:sz="4" w:space="0" w:color="auto"/>
              <w:right w:val="single" w:sz="4" w:space="0" w:color="auto"/>
            </w:tcBorders>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Ընդունվել է։ </w:t>
            </w:r>
          </w:p>
          <w:p w:rsidR="005C2EB2" w:rsidRDefault="005C2EB2">
            <w:pPr>
              <w:spacing w:line="360" w:lineRule="auto"/>
              <w:jc w:val="center"/>
              <w:rPr>
                <w:rFonts w:ascii="GHEA Grapalat" w:eastAsia="Calibri" w:hAnsi="GHEA Grapalat" w:cs="Times New Roman"/>
                <w:sz w:val="24"/>
                <w:szCs w:val="24"/>
                <w:lang w:val="hy-AM"/>
              </w:rPr>
            </w:pP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spacing w:line="360" w:lineRule="auto"/>
              <w:ind w:right="102" w:firstLine="37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11. Հավելվածի 17-րդ և 18-րդ կետերով սահմանվում է հետևյալը.</w:t>
            </w:r>
          </w:p>
          <w:p w:rsidR="005C2EB2" w:rsidRDefault="005C2EB2">
            <w:pPr>
              <w:shd w:val="clear" w:color="auto" w:fill="FFFFFF"/>
              <w:tabs>
                <w:tab w:val="left" w:pos="990"/>
              </w:tabs>
              <w:spacing w:line="360" w:lineRule="auto"/>
              <w:ind w:right="102" w:firstLine="375"/>
              <w:jc w:val="both"/>
              <w:rPr>
                <w:rFonts w:ascii="GHEA Grapalat" w:eastAsia="Times New Roman" w:hAnsi="GHEA Grapalat" w:cs="Times New Roman"/>
                <w:i/>
                <w:sz w:val="24"/>
                <w:szCs w:val="24"/>
                <w:lang w:val="hy-AM"/>
              </w:rPr>
            </w:pPr>
            <w:r>
              <w:rPr>
                <w:rFonts w:ascii="GHEA Grapalat" w:eastAsia="Times New Roman" w:hAnsi="GHEA Grapalat" w:cs="Calibri"/>
                <w:bCs/>
                <w:i/>
                <w:sz w:val="24"/>
                <w:szCs w:val="24"/>
                <w:lang w:val="hy-AM"/>
              </w:rPr>
              <w:t xml:space="preserve">Գործատուի կողմից շահառուի աշխատանքային փորձի ձեռքբերման գործընթացն իր մոտ կազմակերպելու դեպքում` տարածքային կենտրոնի, </w:t>
            </w:r>
            <w:r>
              <w:rPr>
                <w:rFonts w:ascii="GHEA Grapalat" w:eastAsia="Times New Roman" w:hAnsi="GHEA Grapalat" w:cs="Times New Roman"/>
                <w:i/>
                <w:sz w:val="24"/>
                <w:szCs w:val="24"/>
                <w:lang w:val="hy-AM"/>
              </w:rPr>
              <w:t xml:space="preserve">գործատուի և շահառուի միջև </w:t>
            </w:r>
            <w:r>
              <w:rPr>
                <w:rFonts w:ascii="GHEA Grapalat" w:eastAsia="Times New Roman" w:hAnsi="GHEA Grapalat" w:cs="Arial Unicode"/>
                <w:i/>
                <w:sz w:val="24"/>
                <w:szCs w:val="24"/>
                <w:lang w:val="hy-AM"/>
              </w:rPr>
              <w:t>կնքվում</w:t>
            </w:r>
            <w:r>
              <w:rPr>
                <w:rFonts w:ascii="GHEA Grapalat" w:eastAsia="Times New Roman" w:hAnsi="GHEA Grapalat" w:cs="Times New Roman"/>
                <w:i/>
                <w:sz w:val="24"/>
                <w:szCs w:val="24"/>
                <w:lang w:val="hy-AM"/>
              </w:rPr>
              <w:t xml:space="preserve"> </w:t>
            </w:r>
            <w:r>
              <w:rPr>
                <w:rFonts w:ascii="GHEA Grapalat" w:eastAsia="Times New Roman" w:hAnsi="GHEA Grapalat" w:cs="Arial Unicode"/>
                <w:i/>
                <w:sz w:val="24"/>
                <w:szCs w:val="24"/>
                <w:lang w:val="hy-AM"/>
              </w:rPr>
              <w:t>է</w:t>
            </w:r>
            <w:r>
              <w:rPr>
                <w:rFonts w:ascii="GHEA Grapalat" w:eastAsia="Times New Roman" w:hAnsi="GHEA Grapalat" w:cs="Times New Roman"/>
                <w:i/>
                <w:sz w:val="24"/>
                <w:szCs w:val="24"/>
                <w:lang w:val="hy-AM"/>
              </w:rPr>
              <w:t xml:space="preserve"> </w:t>
            </w:r>
            <w:r>
              <w:rPr>
                <w:rFonts w:ascii="GHEA Grapalat" w:eastAsia="Times New Roman" w:hAnsi="GHEA Grapalat" w:cs="Arial Unicode"/>
                <w:i/>
                <w:sz w:val="24"/>
                <w:szCs w:val="24"/>
                <w:lang w:val="hy-AM"/>
              </w:rPr>
              <w:t>միջոցառման</w:t>
            </w:r>
            <w:r>
              <w:rPr>
                <w:rFonts w:ascii="GHEA Grapalat" w:eastAsia="Times New Roman" w:hAnsi="GHEA Grapalat" w:cs="Times New Roman"/>
                <w:i/>
                <w:sz w:val="24"/>
                <w:szCs w:val="24"/>
                <w:lang w:val="hy-AM"/>
              </w:rPr>
              <w:t xml:space="preserve"> </w:t>
            </w:r>
            <w:r>
              <w:rPr>
                <w:rFonts w:ascii="GHEA Grapalat" w:eastAsia="Times New Roman" w:hAnsi="GHEA Grapalat" w:cs="Arial Unicode"/>
                <w:i/>
                <w:sz w:val="24"/>
                <w:szCs w:val="24"/>
                <w:lang w:val="hy-AM"/>
              </w:rPr>
              <w:t>կազմակերպման</w:t>
            </w:r>
            <w:r>
              <w:rPr>
                <w:rFonts w:ascii="GHEA Grapalat" w:eastAsia="Times New Roman" w:hAnsi="GHEA Grapalat" w:cs="Times New Roman"/>
                <w:i/>
                <w:sz w:val="24"/>
                <w:szCs w:val="24"/>
                <w:lang w:val="hy-AM"/>
              </w:rPr>
              <w:t xml:space="preserve"> </w:t>
            </w:r>
            <w:r>
              <w:rPr>
                <w:rFonts w:ascii="GHEA Grapalat" w:eastAsia="Times New Roman" w:hAnsi="GHEA Grapalat" w:cs="Arial Unicode"/>
                <w:i/>
                <w:sz w:val="24"/>
                <w:szCs w:val="24"/>
                <w:lang w:val="hy-AM"/>
              </w:rPr>
              <w:t>մասին</w:t>
            </w:r>
            <w:r>
              <w:rPr>
                <w:rFonts w:ascii="GHEA Grapalat" w:eastAsia="Times New Roman" w:hAnsi="GHEA Grapalat" w:cs="Times New Roman"/>
                <w:i/>
                <w:sz w:val="24"/>
                <w:szCs w:val="24"/>
                <w:lang w:val="hy-AM"/>
              </w:rPr>
              <w:t xml:space="preserve"> </w:t>
            </w:r>
            <w:r>
              <w:rPr>
                <w:rFonts w:ascii="GHEA Grapalat" w:eastAsia="Times New Roman" w:hAnsi="GHEA Grapalat" w:cs="Arial Unicode"/>
                <w:i/>
                <w:sz w:val="24"/>
                <w:szCs w:val="24"/>
                <w:lang w:val="hy-AM"/>
              </w:rPr>
              <w:t>եռակողմ</w:t>
            </w:r>
            <w:r>
              <w:rPr>
                <w:rFonts w:ascii="GHEA Grapalat" w:eastAsia="Times New Roman" w:hAnsi="GHEA Grapalat" w:cs="Times New Roman"/>
                <w:i/>
                <w:sz w:val="24"/>
                <w:szCs w:val="24"/>
                <w:lang w:val="hy-AM"/>
              </w:rPr>
              <w:t xml:space="preserve"> </w:t>
            </w:r>
            <w:r>
              <w:rPr>
                <w:rFonts w:ascii="GHEA Grapalat" w:eastAsia="Times New Roman" w:hAnsi="GHEA Grapalat" w:cs="Arial Unicode"/>
                <w:i/>
                <w:sz w:val="24"/>
                <w:szCs w:val="24"/>
                <w:lang w:val="hy-AM"/>
              </w:rPr>
              <w:t>պա</w:t>
            </w:r>
            <w:r>
              <w:rPr>
                <w:rFonts w:ascii="GHEA Grapalat" w:eastAsia="Times New Roman" w:hAnsi="GHEA Grapalat" w:cs="Times New Roman"/>
                <w:i/>
                <w:sz w:val="24"/>
                <w:szCs w:val="24"/>
                <w:lang w:val="hy-AM"/>
              </w:rPr>
              <w:t>յմանագիր (այսուհետ` պայմանագիր 2), որի օրինակելի ձևը հաստատում է Հայաստանի Հանրապետության աշխատանքի և սոցիալական հարցերի նախարարը (այսուհետ՝ նախարար)։</w:t>
            </w:r>
          </w:p>
          <w:p w:rsidR="005C2EB2" w:rsidRDefault="005C2EB2">
            <w:pPr>
              <w:shd w:val="clear" w:color="auto" w:fill="FFFFFF"/>
              <w:spacing w:line="360" w:lineRule="auto"/>
              <w:ind w:right="102" w:firstLine="375"/>
              <w:jc w:val="both"/>
              <w:rPr>
                <w:rFonts w:ascii="GHEA Grapalat" w:eastAsia="Times New Roman" w:hAnsi="GHEA Grapalat" w:cs="Times New Roman"/>
                <w:i/>
                <w:sz w:val="24"/>
                <w:szCs w:val="24"/>
                <w:lang w:val="hy-AM"/>
              </w:rPr>
            </w:pPr>
            <w:r>
              <w:rPr>
                <w:rFonts w:ascii="GHEA Grapalat" w:eastAsia="Calibri" w:hAnsi="GHEA Grapalat" w:cs="Calibri"/>
                <w:bCs/>
                <w:i/>
                <w:sz w:val="24"/>
                <w:szCs w:val="24"/>
                <w:lang w:val="hy-AM"/>
              </w:rPr>
              <w:t>Պ</w:t>
            </w:r>
            <w:r>
              <w:rPr>
                <w:rFonts w:ascii="GHEA Grapalat" w:eastAsia="Times New Roman" w:hAnsi="GHEA Grapalat" w:cs="Times New Roman"/>
                <w:i/>
                <w:sz w:val="24"/>
                <w:szCs w:val="24"/>
                <w:lang w:val="hy-AM"/>
              </w:rPr>
              <w:t xml:space="preserve">այմանագիր 2-ը կնքելուց հետո երեք աշխատանքային օրվա ընթացքում գործատուն Հայաստանի Հանրապետության օրենսդրությամբ սահմանված կարգով շահառուի հետ կնքում է </w:t>
            </w:r>
            <w:r>
              <w:rPr>
                <w:rFonts w:ascii="GHEA Grapalat" w:eastAsia="Calibri" w:hAnsi="GHEA Grapalat" w:cs="Times New Roman"/>
                <w:i/>
                <w:sz w:val="24"/>
                <w:szCs w:val="24"/>
                <w:lang w:val="hy-AM"/>
              </w:rPr>
              <w:t>նորմալ աշխատաժամանակի ռեժիմով (մեկ դրույքով)</w:t>
            </w:r>
            <w:r>
              <w:rPr>
                <w:rFonts w:ascii="GHEA Grapalat" w:eastAsia="Calibri" w:hAnsi="GHEA Grapalat" w:cs="Times New Roman"/>
                <w:i/>
                <w:lang w:val="hy-AM"/>
              </w:rPr>
              <w:t xml:space="preserve"> </w:t>
            </w:r>
            <w:r>
              <w:rPr>
                <w:rFonts w:ascii="GHEA Grapalat" w:eastAsia="Times New Roman" w:hAnsi="GHEA Grapalat" w:cs="Times New Roman"/>
                <w:i/>
                <w:sz w:val="24"/>
                <w:szCs w:val="24"/>
                <w:lang w:val="hy-AM"/>
              </w:rPr>
              <w:t xml:space="preserve">աշխատանքային պայմանագիր՝ առնվազն մեկ տարի ժամկետով, իսկ սեզոնային աշխատանքի դեպքում՝ առնվազն 12 ամիս ժամկետով։ </w:t>
            </w:r>
          </w:p>
          <w:p w:rsidR="005C2EB2" w:rsidRDefault="005C2EB2">
            <w:pPr>
              <w:shd w:val="clear" w:color="auto" w:fill="FFFFFF"/>
              <w:spacing w:line="360" w:lineRule="auto"/>
              <w:ind w:right="102"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Վերոգրյալից պարզ է դառնում, որ </w:t>
            </w:r>
            <w:r>
              <w:rPr>
                <w:rFonts w:ascii="GHEA Grapalat" w:eastAsia="Calibri" w:hAnsi="GHEA Grapalat" w:cs="Calibri"/>
                <w:bCs/>
                <w:sz w:val="24"/>
                <w:szCs w:val="24"/>
                <w:lang w:val="hy-AM"/>
              </w:rPr>
              <w:t xml:space="preserve">տարածքային կենտրոնի, </w:t>
            </w:r>
            <w:r>
              <w:rPr>
                <w:rFonts w:ascii="GHEA Grapalat" w:eastAsia="Calibri" w:hAnsi="GHEA Grapalat" w:cs="Times New Roman"/>
                <w:sz w:val="24"/>
                <w:szCs w:val="24"/>
                <w:lang w:val="hy-AM"/>
              </w:rPr>
              <w:t xml:space="preserve">գործատուի և շահառուի միջև </w:t>
            </w:r>
            <w:r>
              <w:rPr>
                <w:rFonts w:ascii="GHEA Grapalat" w:eastAsia="Calibri" w:hAnsi="GHEA Grapalat" w:cs="Arial Unicode"/>
                <w:sz w:val="24"/>
                <w:szCs w:val="24"/>
                <w:lang w:val="hy-AM"/>
              </w:rPr>
              <w:t>միջոցառման</w:t>
            </w:r>
            <w:r>
              <w:rPr>
                <w:rFonts w:ascii="GHEA Grapalat" w:eastAsia="Calibri" w:hAnsi="GHEA Grapalat" w:cs="Times New Roman"/>
                <w:sz w:val="24"/>
                <w:szCs w:val="24"/>
                <w:lang w:val="hy-AM"/>
              </w:rPr>
              <w:t xml:space="preserve"> </w:t>
            </w:r>
            <w:r>
              <w:rPr>
                <w:rFonts w:ascii="GHEA Grapalat" w:eastAsia="Calibri" w:hAnsi="GHEA Grapalat" w:cs="Arial Unicode"/>
                <w:sz w:val="24"/>
                <w:szCs w:val="24"/>
                <w:lang w:val="hy-AM"/>
              </w:rPr>
              <w:t>կազմակերպման</w:t>
            </w:r>
            <w:r>
              <w:rPr>
                <w:rFonts w:ascii="GHEA Grapalat" w:eastAsia="Calibri" w:hAnsi="GHEA Grapalat" w:cs="Times New Roman"/>
                <w:sz w:val="24"/>
                <w:szCs w:val="24"/>
                <w:lang w:val="hy-AM"/>
              </w:rPr>
              <w:t xml:space="preserve"> </w:t>
            </w:r>
            <w:r>
              <w:rPr>
                <w:rFonts w:ascii="GHEA Grapalat" w:eastAsia="Calibri" w:hAnsi="GHEA Grapalat" w:cs="Arial Unicode"/>
                <w:sz w:val="24"/>
                <w:szCs w:val="24"/>
                <w:lang w:val="hy-AM"/>
              </w:rPr>
              <w:t>մասին</w:t>
            </w:r>
            <w:r>
              <w:rPr>
                <w:rFonts w:ascii="GHEA Grapalat" w:eastAsia="Calibri" w:hAnsi="GHEA Grapalat" w:cs="Times New Roman"/>
                <w:sz w:val="24"/>
                <w:szCs w:val="24"/>
                <w:lang w:val="hy-AM"/>
              </w:rPr>
              <w:t xml:space="preserve"> </w:t>
            </w:r>
            <w:r>
              <w:rPr>
                <w:rFonts w:ascii="GHEA Grapalat" w:eastAsia="Calibri" w:hAnsi="GHEA Grapalat" w:cs="Arial Unicode"/>
                <w:sz w:val="24"/>
                <w:szCs w:val="24"/>
                <w:lang w:val="hy-AM"/>
              </w:rPr>
              <w:t>եռակողմ</w:t>
            </w:r>
            <w:r>
              <w:rPr>
                <w:rFonts w:ascii="GHEA Grapalat" w:eastAsia="Calibri" w:hAnsi="GHEA Grapalat" w:cs="Times New Roman"/>
                <w:sz w:val="24"/>
                <w:szCs w:val="24"/>
                <w:lang w:val="hy-AM"/>
              </w:rPr>
              <w:t xml:space="preserve"> </w:t>
            </w:r>
            <w:r>
              <w:rPr>
                <w:rFonts w:ascii="GHEA Grapalat" w:eastAsia="Calibri" w:hAnsi="GHEA Grapalat" w:cs="Arial Unicode"/>
                <w:sz w:val="24"/>
                <w:szCs w:val="24"/>
                <w:lang w:val="hy-AM"/>
              </w:rPr>
              <w:t>պա</w:t>
            </w:r>
            <w:r>
              <w:rPr>
                <w:rFonts w:ascii="GHEA Grapalat" w:eastAsia="Calibri" w:hAnsi="GHEA Grapalat" w:cs="Times New Roman"/>
                <w:sz w:val="24"/>
                <w:szCs w:val="24"/>
                <w:lang w:val="hy-AM"/>
              </w:rPr>
              <w:t>յմանագիր կնքելուց հետո 3 աշխատանքային օրվա ընթացքում գործատուն շահառուի հետ արդեն իսկ կնքում է աշխատանքային պայմանագիր:</w:t>
            </w:r>
          </w:p>
          <w:p w:rsidR="005C2EB2" w:rsidRDefault="005C2EB2">
            <w:pPr>
              <w:shd w:val="clear" w:color="auto" w:fill="FFFFFF"/>
              <w:spacing w:line="360" w:lineRule="auto"/>
              <w:ind w:right="102" w:firstLine="375"/>
              <w:jc w:val="both"/>
              <w:rPr>
                <w:rFonts w:ascii="GHEA Grapalat" w:eastAsia="Times New Roman" w:hAnsi="GHEA Grapalat" w:cs="Times New Roman"/>
                <w:i/>
                <w:sz w:val="24"/>
                <w:szCs w:val="24"/>
                <w:lang w:val="hy-AM"/>
              </w:rPr>
            </w:pPr>
            <w:r>
              <w:rPr>
                <w:rFonts w:ascii="GHEA Grapalat" w:eastAsia="Times New Roman" w:hAnsi="GHEA Grapalat" w:cs="Times New Roman"/>
                <w:sz w:val="24"/>
                <w:szCs w:val="24"/>
                <w:lang w:val="hy-AM"/>
              </w:rPr>
              <w:t xml:space="preserve">Մինչդեռ, Հիմնավորման 2-րդ կետի համաձայն՝ </w:t>
            </w:r>
            <w:r>
              <w:rPr>
                <w:rFonts w:ascii="GHEA Grapalat" w:eastAsia="Times New Roman" w:hAnsi="GHEA Grapalat" w:cs="Times New Roman"/>
                <w:i/>
                <w:sz w:val="24"/>
                <w:szCs w:val="24"/>
                <w:lang w:val="hy-AM"/>
              </w:rPr>
              <w:t xml:space="preserve">ցուցակում ընդգրկված անձանցից գործատուն ընտրում է իր պահանջներին առավելապես բավարարող անձին և առաջարկում՝ (…) 2) գործազուրկի համար իր մոտ կազմակերպել </w:t>
            </w:r>
            <w:r>
              <w:rPr>
                <w:rFonts w:ascii="GHEA Grapalat" w:eastAsia="Times New Roman" w:hAnsi="GHEA Grapalat" w:cs="Times New Roman"/>
                <w:b/>
                <w:i/>
                <w:sz w:val="24"/>
                <w:szCs w:val="24"/>
                <w:lang w:val="hy-AM"/>
              </w:rPr>
              <w:t>փորձառություն 3 ամիս տևողությամբ</w:t>
            </w:r>
            <w:r>
              <w:rPr>
                <w:rFonts w:ascii="GHEA Grapalat" w:eastAsia="Times New Roman" w:hAnsi="GHEA Grapalat" w:cs="Times New Roman"/>
                <w:i/>
                <w:sz w:val="24"/>
                <w:szCs w:val="24"/>
                <w:lang w:val="hy-AM"/>
              </w:rPr>
              <w:t>:</w:t>
            </w:r>
          </w:p>
          <w:p w:rsidR="005C2EB2" w:rsidRDefault="005C2EB2">
            <w:pPr>
              <w:shd w:val="clear" w:color="auto" w:fill="FFFFFF"/>
              <w:spacing w:line="360" w:lineRule="auto"/>
              <w:ind w:right="102"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Եվ ընդհանրապես, կարծում ենք, որ աշխատանքային փորձի ձեռքբերման գործընթացի միջոցով անձանց զբաղվածության ապահովման նպատակը այն է, որ, մինչ անձի հետ աշխատանքային պայմանագիր կնքելը, պարզեն նրա համապատասխանությունը տվյալ աշխատանքին:</w:t>
            </w:r>
          </w:p>
          <w:p w:rsidR="005C2EB2" w:rsidRDefault="005C2EB2">
            <w:pPr>
              <w:shd w:val="clear" w:color="auto" w:fill="FFFFFF"/>
              <w:spacing w:line="360" w:lineRule="auto"/>
              <w:ind w:right="102"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Հետևաբար, Հավելվածի 3-րդ գլխում առաջարկում ենք, նախքան անձի հետ աշխատանքային պայմանագիր կնքելը, նախատեսել նաև փորձառության և դրա ժամկետի մասին կարգավորումներ:</w:t>
            </w:r>
          </w:p>
          <w:p w:rsidR="005C2EB2" w:rsidRDefault="005C2EB2">
            <w:pPr>
              <w:shd w:val="clear" w:color="auto" w:fill="FFFFFF"/>
              <w:spacing w:line="360" w:lineRule="auto"/>
              <w:ind w:right="102" w:firstLine="375"/>
              <w:jc w:val="both"/>
              <w:rPr>
                <w:rFonts w:ascii="GHEA Grapalat" w:eastAsia="Times New Roman" w:hAnsi="GHEA Grapalat" w:cs="Sylfaen"/>
                <w:sz w:val="24"/>
                <w:szCs w:val="24"/>
                <w:lang w:val="hy-AM"/>
              </w:rPr>
            </w:pPr>
            <w:r>
              <w:rPr>
                <w:rFonts w:ascii="GHEA Grapalat" w:eastAsia="Times New Roman" w:hAnsi="GHEA Grapalat" w:cs="Times New Roman"/>
                <w:sz w:val="24"/>
                <w:szCs w:val="24"/>
                <w:lang w:val="hy-AM"/>
              </w:rPr>
              <w:t xml:space="preserve">Սույն դիտողությունը բխում է նաև </w:t>
            </w:r>
            <w:r>
              <w:rPr>
                <w:rFonts w:ascii="GHEA Grapalat" w:eastAsia="Calibri" w:hAnsi="GHEA Grapalat" w:cs="Sylfaen"/>
                <w:sz w:val="24"/>
                <w:szCs w:val="24"/>
                <w:lang w:val="hy-AM"/>
              </w:rPr>
              <w:t xml:space="preserve">«Նորմատիվ իրավական ակտերի մասին» օրենքի  12-րդ հոդվածի 1-ին մասի պահանջից, ըստ որի՝ </w:t>
            </w:r>
            <w:r>
              <w:rPr>
                <w:rFonts w:ascii="GHEA Grapalat" w:eastAsia="Calibri" w:hAnsi="GHEA Grapalat" w:cs="Times New Roman"/>
                <w:i/>
                <w:color w:val="000000"/>
                <w:sz w:val="24"/>
                <w:szCs w:val="24"/>
                <w:shd w:val="clear" w:color="auto" w:fill="FFFFFF"/>
                <w:lang w:val="hy-AM"/>
              </w:rPr>
              <w:t xml:space="preserve">նորմատիվ իրավական ակտը ունենում է </w:t>
            </w:r>
            <w:r>
              <w:rPr>
                <w:rFonts w:ascii="GHEA Grapalat" w:eastAsia="Calibri" w:hAnsi="GHEA Grapalat" w:cs="Times New Roman"/>
                <w:b/>
                <w:i/>
                <w:color w:val="000000"/>
                <w:sz w:val="24"/>
                <w:szCs w:val="24"/>
                <w:shd w:val="clear" w:color="auto" w:fill="FFFFFF"/>
                <w:lang w:val="hy-AM"/>
              </w:rPr>
              <w:t>վերնագիր</w:t>
            </w:r>
            <w:r>
              <w:rPr>
                <w:rFonts w:ascii="GHEA Grapalat" w:eastAsia="Calibri" w:hAnsi="GHEA Grapalat" w:cs="Times New Roman"/>
                <w:i/>
                <w:color w:val="000000"/>
                <w:sz w:val="24"/>
                <w:szCs w:val="24"/>
                <w:shd w:val="clear" w:color="auto" w:fill="FFFFFF"/>
                <w:lang w:val="hy-AM"/>
              </w:rPr>
              <w:t xml:space="preserve">, որը համապատասխանում է նորմատիվ իրավական ակտի </w:t>
            </w:r>
            <w:r>
              <w:rPr>
                <w:rFonts w:ascii="GHEA Grapalat" w:eastAsia="Calibri" w:hAnsi="GHEA Grapalat" w:cs="Times New Roman"/>
                <w:b/>
                <w:i/>
                <w:color w:val="000000"/>
                <w:sz w:val="24"/>
                <w:szCs w:val="24"/>
                <w:shd w:val="clear" w:color="auto" w:fill="FFFFFF"/>
                <w:lang w:val="hy-AM"/>
              </w:rPr>
              <w:t>բովանդակությանը</w:t>
            </w:r>
            <w:r>
              <w:rPr>
                <w:rFonts w:ascii="GHEA Grapalat" w:eastAsia="Calibri" w:hAnsi="GHEA Grapalat" w:cs="Times New Roman"/>
                <w:color w:val="000000"/>
                <w:sz w:val="24"/>
                <w:szCs w:val="24"/>
                <w:shd w:val="clear" w:color="auto" w:fill="FFFFFF"/>
                <w:lang w:val="hy-AM"/>
              </w:rPr>
              <w:t>:</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Գործազուրկի համար գործատուի մոտ </w:t>
            </w:r>
            <w:r>
              <w:rPr>
                <w:rFonts w:ascii="GHEA Grapalat" w:eastAsia="Times New Roman" w:hAnsi="GHEA Grapalat" w:cs="Calibri"/>
                <w:bCs/>
                <w:i/>
                <w:sz w:val="24"/>
                <w:szCs w:val="24"/>
                <w:lang w:val="hy-AM"/>
              </w:rPr>
              <w:t xml:space="preserve"> </w:t>
            </w:r>
            <w:r>
              <w:rPr>
                <w:rFonts w:ascii="GHEA Grapalat" w:eastAsia="Times New Roman" w:hAnsi="GHEA Grapalat" w:cs="Calibri"/>
                <w:bCs/>
                <w:sz w:val="24"/>
                <w:szCs w:val="24"/>
                <w:lang w:val="hy-AM"/>
              </w:rPr>
              <w:t>աշխատանքային փորձի ձեռքբերման գործընթաց կազմակերպելն առավել արդյունավետ և նպատակահարմար է աշխատանքային պայմանագիր կնքելով, ինչը հնարավորություն կտա գործազուրկի համար աշխատանքային փորձի ձեռքբերման ժամանակահատվածը համարել աշխատանքային ստաժ։</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spacing w:line="360" w:lineRule="auto"/>
              <w:ind w:left="22" w:right="102" w:firstLine="353"/>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12. Հավելվածի 21-րդ կետում անհրաժեշտ է նշել, թե գործատուն համապատասխան տեղեկանքը ինչ եղանակով է ներկայացնում տարածքային կենտրոն:</w:t>
            </w:r>
          </w:p>
          <w:p w:rsidR="005C2EB2" w:rsidRDefault="005C2EB2">
            <w:pPr>
              <w:shd w:val="clear" w:color="auto" w:fill="FFFFFF"/>
              <w:spacing w:line="360" w:lineRule="auto"/>
              <w:ind w:left="22" w:right="102" w:firstLine="353"/>
              <w:jc w:val="both"/>
              <w:rPr>
                <w:rFonts w:ascii="GHEA Grapalat" w:eastAsia="Times New Roman" w:hAnsi="GHEA Grapalat" w:cs="Sylfaen"/>
                <w:sz w:val="24"/>
                <w:szCs w:val="24"/>
                <w:lang w:val="hy-AM"/>
              </w:rPr>
            </w:pPr>
            <w:r>
              <w:rPr>
                <w:rFonts w:ascii="GHEA Grapalat" w:eastAsia="Calibri" w:hAnsi="GHEA Grapalat" w:cs="Times New Roman"/>
                <w:color w:val="000000"/>
                <w:sz w:val="24"/>
                <w:szCs w:val="24"/>
                <w:shd w:val="clear" w:color="auto" w:fill="FFFFFF"/>
                <w:lang w:val="hy-AM"/>
              </w:rPr>
              <w:t xml:space="preserve">Ինչպես նաև նույն կետում անհրաժեշտ է </w:t>
            </w:r>
            <w:r>
              <w:rPr>
                <w:rFonts w:ascii="GHEA Grapalat" w:eastAsia="Calibri" w:hAnsi="GHEA Grapalat" w:cs="Sylfaen"/>
                <w:sz w:val="24"/>
                <w:szCs w:val="24"/>
                <w:lang w:val="hy-AM"/>
              </w:rPr>
              <w:t>հստակեցնել, թե նախարարի կողմից համապատասխան տեղեկանքը ինչ իրավական ակտով է հաստատվել (եթե կա այդպիսի իրավական ակտ):</w:t>
            </w:r>
          </w:p>
        </w:tc>
        <w:tc>
          <w:tcPr>
            <w:tcW w:w="4207" w:type="dxa"/>
            <w:tcBorders>
              <w:top w:val="single" w:sz="4" w:space="0" w:color="auto"/>
              <w:left w:val="single" w:sz="4" w:space="0" w:color="auto"/>
              <w:bottom w:val="single" w:sz="4" w:space="0" w:color="auto"/>
              <w:right w:val="single" w:sz="4" w:space="0" w:color="auto"/>
            </w:tcBorders>
          </w:tcPr>
          <w:p w:rsidR="005C2EB2" w:rsidRDefault="005C2EB2">
            <w:pPr>
              <w:spacing w:line="360" w:lineRule="auto"/>
              <w:ind w:left="22" w:firstLine="353"/>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rsidR="005C2EB2" w:rsidRDefault="005C2EB2">
            <w:pPr>
              <w:spacing w:line="360" w:lineRule="auto"/>
              <w:ind w:left="22" w:firstLine="353"/>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Հավելվածի 21-րդ (ներկայիս 22-րդ) կետը վերախմբագրվել է։   Գործատուի կողմից տեղեկանքի փոխարեն նախատեսվել է տեղեկատվության ներկայացում</w:t>
            </w:r>
            <w:r>
              <w:rPr>
                <w:rFonts w:ascii="GHEA Grapalat" w:eastAsia="Times New Roman" w:hAnsi="GHEA Grapalat" w:cs="Times New Roman"/>
                <w:sz w:val="24"/>
                <w:szCs w:val="24"/>
                <w:lang w:val="hy-AM" w:eastAsia="ru-RU"/>
              </w:rPr>
              <w:t>։</w:t>
            </w:r>
          </w:p>
          <w:p w:rsidR="005C2EB2" w:rsidRDefault="005C2EB2">
            <w:pPr>
              <w:spacing w:line="360" w:lineRule="auto"/>
              <w:ind w:left="22" w:firstLine="353"/>
              <w:rPr>
                <w:rFonts w:ascii="GHEA Grapalat" w:eastAsia="Calibri" w:hAnsi="GHEA Grapalat" w:cs="Times New Roman"/>
                <w:sz w:val="24"/>
                <w:szCs w:val="24"/>
                <w:lang w:val="hy-AM"/>
              </w:rPr>
            </w:pP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spacing w:line="360" w:lineRule="auto"/>
              <w:ind w:left="22" w:right="102" w:firstLine="353"/>
              <w:jc w:val="both"/>
              <w:rPr>
                <w:rFonts w:ascii="GHEA Grapalat" w:eastAsia="MS Mincho" w:hAnsi="GHEA Grapalat" w:cs="MS Mincho"/>
                <w:b/>
                <w:i/>
                <w:sz w:val="24"/>
                <w:szCs w:val="24"/>
                <w:lang w:val="hy-AM"/>
              </w:rPr>
            </w:pPr>
            <w:r>
              <w:rPr>
                <w:rFonts w:ascii="GHEA Grapalat" w:eastAsia="Calibri" w:hAnsi="GHEA Grapalat" w:cs="Sylfaen"/>
                <w:sz w:val="24"/>
                <w:szCs w:val="24"/>
                <w:lang w:val="hy-AM"/>
              </w:rPr>
              <w:t xml:space="preserve">13. Հավելվածի 24-րդ կետի համաձայն՝ </w:t>
            </w:r>
            <w:r>
              <w:rPr>
                <w:rFonts w:ascii="GHEA Grapalat" w:eastAsia="Times New Roman" w:hAnsi="GHEA Grapalat" w:cs="Times New Roman"/>
                <w:i/>
                <w:sz w:val="24"/>
                <w:szCs w:val="24"/>
                <w:lang w:val="hy-AM"/>
              </w:rPr>
              <w:t xml:space="preserve">միջոցառման շրջանակներում շահառուի աշխատավարձի վճարման համար գործատուին փոխհատուցված ֆինանսական միջոցները ենթակա են ամբողջությամբ վերադարձման գործատուի կողմից՝ </w:t>
            </w:r>
            <w:r>
              <w:rPr>
                <w:rFonts w:ascii="GHEA Grapalat" w:eastAsia="Times New Roman" w:hAnsi="GHEA Grapalat" w:cs="Times New Roman"/>
                <w:b/>
                <w:i/>
                <w:sz w:val="24"/>
                <w:szCs w:val="24"/>
                <w:lang w:val="hy-AM"/>
              </w:rPr>
              <w:t>աշխատանքային պայմանագիրը մինչև մեկ տարի գործողության ժամկետը լրանալը գործատուի կողմից լուծելու դեպքում</w:t>
            </w:r>
            <w:r>
              <w:rPr>
                <w:rFonts w:ascii="GHEA Grapalat" w:eastAsia="MS Mincho" w:hAnsi="GHEA Grapalat" w:cs="MS Mincho"/>
                <w:b/>
                <w:i/>
                <w:sz w:val="24"/>
                <w:szCs w:val="24"/>
                <w:lang w:val="hy-AM"/>
              </w:rPr>
              <w:t>:</w:t>
            </w:r>
          </w:p>
          <w:p w:rsidR="005C2EB2" w:rsidRDefault="005C2EB2">
            <w:pPr>
              <w:shd w:val="clear" w:color="auto" w:fill="FFFFFF"/>
              <w:spacing w:line="360" w:lineRule="auto"/>
              <w:ind w:left="22" w:right="102" w:firstLine="353"/>
              <w:jc w:val="both"/>
              <w:rPr>
                <w:rFonts w:ascii="GHEA Grapalat" w:eastAsia="Times New Roman" w:hAnsi="GHEA Grapalat" w:cs="Sylfaen"/>
                <w:sz w:val="24"/>
                <w:szCs w:val="24"/>
                <w:lang w:val="hy-AM"/>
              </w:rPr>
            </w:pPr>
            <w:r>
              <w:rPr>
                <w:rFonts w:ascii="GHEA Grapalat" w:eastAsia="MS Mincho" w:hAnsi="GHEA Grapalat" w:cs="MS Mincho"/>
                <w:sz w:val="24"/>
                <w:szCs w:val="24"/>
                <w:lang w:val="hy-AM"/>
              </w:rPr>
              <w:t>Այս առումով, առաջարկում ենք վերոնշյալ կետում նույնպես թույլատրելի համարել գործատուի կողմից օբյեկտիվ պատճառներով աշխատանքային պայմանագրի լուծելը այնպես, ինչպես նախատեսված է Հավելվածի 16-րդ կետում:</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spacing w:line="360" w:lineRule="auto"/>
              <w:ind w:left="22" w:right="102" w:firstLine="353"/>
              <w:jc w:val="both"/>
              <w:rPr>
                <w:rFonts w:ascii="GHEA Grapalat" w:eastAsia="Calibri" w:hAnsi="GHEA Grapalat" w:cs="Sylfaen"/>
                <w:sz w:val="24"/>
                <w:szCs w:val="24"/>
                <w:lang w:val="hy-AM"/>
              </w:rPr>
            </w:pPr>
            <w:r>
              <w:rPr>
                <w:rFonts w:ascii="GHEA Grapalat" w:eastAsia="MS Mincho" w:hAnsi="GHEA Grapalat" w:cs="MS Mincho"/>
                <w:sz w:val="24"/>
                <w:szCs w:val="24"/>
                <w:lang w:val="hy-AM"/>
              </w:rPr>
              <w:t>14. Հավելվածի 26-րդ կետում անհրաժեշտ է պարզաբանել, թե ինչ համակարգի մասին է խոսքը: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Հավելվածի 26-րդ (ներկայիս 28-րդ) կետը վերախմբագրվել է։</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hd w:val="clear" w:color="auto" w:fill="FFFFFF"/>
              <w:spacing w:line="360" w:lineRule="auto"/>
              <w:ind w:left="22" w:right="102" w:firstLine="353"/>
              <w:jc w:val="both"/>
              <w:rPr>
                <w:rFonts w:ascii="GHEA Grapalat" w:eastAsia="MS Mincho" w:hAnsi="GHEA Grapalat" w:cs="MS Mincho"/>
                <w:sz w:val="24"/>
                <w:szCs w:val="24"/>
                <w:lang w:val="hy-AM"/>
              </w:rPr>
            </w:pPr>
            <w:r>
              <w:rPr>
                <w:rFonts w:ascii="GHEA Grapalat" w:eastAsia="Calibri" w:hAnsi="GHEA Grapalat" w:cs="Sylfaen"/>
                <w:sz w:val="24"/>
                <w:szCs w:val="24"/>
                <w:lang w:val="hy-AM"/>
              </w:rPr>
              <w:t xml:space="preserve">15. Հավելվածի գլուխների համարակալումն անհրաժեշտ է վերանայել՝ հիմք ընդունելով «Նորմատիվ իրավական ակտերի մասին» օրենքի 14-րդ հոդվածի 10-րդ մասի դրույթները, այն է՝ </w:t>
            </w:r>
            <w:r>
              <w:rPr>
                <w:rFonts w:ascii="GHEA Grapalat" w:eastAsia="Calibri" w:hAnsi="GHEA Grapalat" w:cs="Times New Roman"/>
                <w:i/>
                <w:color w:val="000000"/>
                <w:sz w:val="24"/>
                <w:szCs w:val="24"/>
                <w:shd w:val="clear" w:color="auto" w:fill="FFFFFF"/>
                <w:lang w:val="hy-AM"/>
              </w:rPr>
              <w:t xml:space="preserve">նորմատիվ իրավական ակտի բաժիններն ու գլուխները համարակալվում են </w:t>
            </w:r>
            <w:r>
              <w:rPr>
                <w:rFonts w:ascii="GHEA Grapalat" w:eastAsia="Calibri" w:hAnsi="GHEA Grapalat" w:cs="Times New Roman"/>
                <w:b/>
                <w:i/>
                <w:color w:val="000000"/>
                <w:sz w:val="24"/>
                <w:szCs w:val="24"/>
                <w:shd w:val="clear" w:color="auto" w:fill="FFFFFF"/>
                <w:lang w:val="hy-AM"/>
              </w:rPr>
              <w:t>արաբական թվանշաններով</w:t>
            </w:r>
            <w:r>
              <w:rPr>
                <w:rFonts w:ascii="GHEA Grapalat" w:eastAsia="Calibri" w:hAnsi="GHEA Grapalat" w:cs="Times New Roman"/>
                <w:i/>
                <w:color w:val="000000"/>
                <w:sz w:val="24"/>
                <w:szCs w:val="24"/>
                <w:shd w:val="clear" w:color="auto" w:fill="FFFFFF"/>
                <w:lang w:val="hy-AM"/>
              </w:rPr>
              <w:t>:</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2EB2" w:rsidRDefault="005C2EB2">
            <w:pPr>
              <w:spacing w:line="360" w:lineRule="auto"/>
              <w:jc w:val="center"/>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sz w:val="24"/>
                <w:szCs w:val="24"/>
                <w:lang w:val="hy-AM"/>
              </w:rPr>
              <w:t xml:space="preserve">ՀՀ վարչապետի աշխատակազմի սոցիալական հարցերի վարչություն </w:t>
            </w:r>
          </w:p>
        </w:tc>
        <w:tc>
          <w:tcPr>
            <w:tcW w:w="42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18.07.2022 թ.</w:t>
            </w:r>
          </w:p>
          <w:p w:rsidR="005C2EB2" w:rsidRDefault="005C2EB2">
            <w:pPr>
              <w:spacing w:line="360" w:lineRule="auto"/>
              <w:jc w:val="center"/>
              <w:rPr>
                <w:rFonts w:ascii="GHEA Grapalat" w:eastAsia="Calibri" w:hAnsi="GHEA Grapalat" w:cs="Times New Roman"/>
                <w:sz w:val="24"/>
                <w:szCs w:val="24"/>
                <w:lang w:val="hy-AM"/>
              </w:rPr>
            </w:pP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276"/>
              </w:tabs>
              <w:spacing w:line="360" w:lineRule="auto"/>
              <w:ind w:left="0" w:firstLine="567"/>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Լրացուցիչ քննարկման կարիք ունի նման որոշման ընդունման իրավական հիմքը, քանի որ նախագծի նախաբանում՝ «Զբաղվածության մասին» ՀՀ օրենքի (այսուհետ՝ օրենք) 21-րդ հոդվածին կատարված հղումը չի համապատասխանում նախագծի բովանդակությանը: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color w:val="000000"/>
                <w:sz w:val="24"/>
                <w:szCs w:val="24"/>
                <w:shd w:val="clear" w:color="auto" w:fill="FFFFFF"/>
                <w:lang w:val="hy-AM"/>
              </w:rPr>
              <w:t>«Զբաղվածության մասին» ՀՀ օրենքի (այսուհետ՝ օրենք) 21-րդ հոդվածի 2-րդ մասի 1-ին, 2-րդ և 5-րդ կետերին կատարված է հղում, քանի որ նախագծով նախատեսված է աջակցության 3 ուղղություն, մասնավորապես՝ մասնագիտական ուսուցում, աշխատանքային փորձ ձեռք բերելու աջակցություն և միանվագ փոխհատուցում։ Առավել հստակեցման նպատակով՝ նախագծի 3-րդ գլխով նախատեսված  աշխատանքային փորձ ձեռք բերելու աջակցությունը խմբագրվել է և նախատեսվել է առաջին անգամ աշխատաշուկա մուտք գործող անձանց մասնագիտական աշատանքային փորձ ձեռք բերելու աջակցություն։</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276"/>
              </w:tabs>
              <w:spacing w:line="360" w:lineRule="auto"/>
              <w:ind w:left="0" w:firstLine="567"/>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Որոշման նախագծի և հավելվածի վերնագրերը վերաբերում են Ադրբեջանի կողմից 2016 և 2020թթ. սանձազերծված ռազմական գործողություններին մասնակցած անձանց մասնագիտական ուսուցման կազմակերպմանը և զբաղվածության ապահովմանը, իսկ հավելվածի 1-ին կետով սահմանվում է, որ ծրագրի նպատակը «.....սանձազերծված ռազմական գործողություններին մասնակցած գործազուրկ անձանց....» աջակցելն է:</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Ընդունվել է։ </w:t>
            </w:r>
          </w:p>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Վերնագիրը վերախմբագրվել է։</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020"/>
                <w:tab w:val="left" w:pos="1276"/>
              </w:tabs>
              <w:spacing w:line="360" w:lineRule="auto"/>
              <w:ind w:left="-30" w:firstLine="63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Լրացուցիչ հիմնավորման կարիք ունի հավելվածի 2-րդ կետով՝ ծրագրին մասնակցող գործատուների համար սահմանվող պահանջները։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Ընդունվել է։ </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Գործատուի համար սահմանվող պահանջները հանվել են։</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020"/>
                <w:tab w:val="left" w:pos="1276"/>
              </w:tabs>
              <w:spacing w:line="360" w:lineRule="auto"/>
              <w:ind w:left="-30" w:firstLine="63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Հավելվածի 8-րդ կետով սահմանվում է, որ մասնագիտական ուսուցումն իրականացվում է մինչև 5 ամիս տևողությամբ, մինչդեռ հիմնավորման մեջ նախատեսվում է մինչև 3 ամիս ժամկետը: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020"/>
                <w:tab w:val="left" w:pos="1276"/>
              </w:tabs>
              <w:spacing w:line="360" w:lineRule="auto"/>
              <w:ind w:left="-30" w:firstLine="63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Չարաշահումներից խուսափելու նպատակով՝ առաջարկում ենք հավելվածի 9-րդ կետով ուսման վարձի փոխհատուցման գումարը վճարել ոչ թե շահառուին, այլ մասնագիտական ուսուցումն իրականացնող ուսումնական հաստատությանը: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Նախագծով նախատեսված է ոչ թե ուսման վարձի  տրամադրում, այլ փոխհատուցում շահառուին՝ հաշվի առնելով այն հանգամանքը, որ տարածքային կենտրոնը ուսումնական հաստատության հետ չի ունենում պայմանագրային հարաբերություններ։</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020"/>
                <w:tab w:val="left" w:pos="1276"/>
              </w:tabs>
              <w:spacing w:line="360" w:lineRule="auto"/>
              <w:ind w:left="-30" w:firstLine="63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Հավելվածի 9-րդ կետի 2-րդ ենթակետով կրթաթոշակի տրամադրման դրույթն անհրաժեշտ է համապատասխանեցնել օրենքի 21-րդ հոդվածի 2-րդ մասի 1-ին կետով սահմանված կարգավորմանը։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Նախագծի հավելվածի 9-րդ կետի 2-րդ ենթակետը վերախմբագրվել է։</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630"/>
                <w:tab w:val="left" w:pos="1276"/>
              </w:tabs>
              <w:spacing w:line="360" w:lineRule="auto"/>
              <w:ind w:left="0" w:firstLine="69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Կարգավորված չէ այն հարցը, թե արդյոք հավելվածի 9-րդ կետի 1-ին ենթակետով սահմանված գումարը վճարվելու է նաև այն պարագայում, երբ ուսուցումը կիրականացնի գործատուն՝ իր մոտ:</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Ընդունվել է։ </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Նախագծի հավելվածի 9-րդ կետը վերախմբագրվել է։</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630"/>
                <w:tab w:val="left" w:pos="1276"/>
              </w:tabs>
              <w:spacing w:line="360" w:lineRule="auto"/>
              <w:ind w:left="0" w:firstLine="69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Վերանայման կարիք ունի հավելվածի 16-րդ կետում օրենքին կատարված հղումը, քանի որ կետը վերաբերում է շահառուին վճարված ֆինանսական միջոցների վերադարձմանը, իսկ օրենքի դրույթը վերաբերում է զբաղվածության պետական ծրագրերի շրջանակներում գործատուների և ոչ պետական կազմակերպությունների կողմից ստացված ֆինանսական միջոցների վերադարձմանը: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Ընդունվել է։ </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Նախագծի հավելվածի 16-րդ կետը խմբագրվել է։</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276"/>
              </w:tabs>
              <w:spacing w:line="360" w:lineRule="auto"/>
              <w:ind w:left="0" w:firstLine="69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Հավելվածի 17-րդ, 26-րդ, 31-րդ կետերում անհրաժեշտ է հստակեցնել, թե տարածքային կենտրոնի կողմից ինչ կարգով է իրականացվելու մոնիթորինգը։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276"/>
              </w:tabs>
              <w:spacing w:line="360" w:lineRule="auto"/>
              <w:ind w:left="0" w:firstLine="69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Օրենքի 21-րդ հոդվածի 2-րդ մասի 2-րդ կետով որպես գործազուրկի՝ Կառավարության սահմանած կարգով զբաղվածության պետական ծրագրում ընդգրկվելու ուղղություն սահմանվում է ձեռք բերած մասնագիտությամբ առաջին անգամ աշխատաշուկա մուտք գործող անձանց համար` մասնագիտական աշխատանքային փորձ ձեռք բերելու աջակցությունը: Մինչդեռ նախագծի 3-րդ գլխով սահմանվում է Ադրբեջանի կողմից 2016 և 2020 թվականներին սանձազերծված ռազմական գործողություններին մասնակցած անձանց զբաղվածության ապահովումն աշխատանքային փորձի ձեռքբերման գործընթացի միջոցով, ինչը չի համապատասխանում օրենքի լիազորող նորմին:</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Մասամբ է ընդունվել։ </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color w:val="000000"/>
                <w:sz w:val="24"/>
                <w:szCs w:val="24"/>
                <w:shd w:val="clear" w:color="auto" w:fill="FFFFFF"/>
                <w:lang w:val="hy-AM"/>
              </w:rPr>
              <w:t>Նախագծի հավելվածի 3-րդ գլխով նախատեսված  աշխատանքային փորձ ձեռք բերելու աջակցությունը փոխարինվել է մասնագիտական աշատանքային փորձ ձեռք բերելու աջակցության, ընդ որում շահառուները պետք է լինեն առաջին անգամ աշխատաշուկա մուտք գործող գործազուրկներ։</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276"/>
              </w:tabs>
              <w:spacing w:line="360" w:lineRule="auto"/>
              <w:ind w:left="0" w:firstLine="69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Հավելվածի 18-րդ կետով սահմանվում է, որ գործատուի կողմից շահառուի աշխատանքային փորձի ձեռքբերման գործընթացն իր մոտ կազմակերպելու դեպքում` տարածքային կենտրոնի, գործատուի և շահառուի միջև կնքվում է աշխատանքային փորձի ձեռքբերման գործընթացի կազմակերպման մասին եռակողմ պայմանագիր (այսուհետ` պայմանագիր 2): Հավելվածի 19-րդ կետով սահմանվում է, որ պայմանագիր 2-ը կնքելուց հետո 2 աշխատանքային օրվա ընթացքում գործատուն կնքում է աշխատանքային պայմանագիր՝ առնվազն 1 տարի ժամկետով: Անհասկանալի է «պայմանագիր 2-ը կնքելուց հետո» ձևակերպումը, քանի որ այն չի ենթադրում աշխատանքային պայմանագրի կնքում փորձի ձեռքբերման ավարտից հետո և բացի այդ չկա սահմանված, թե ինչ ժամկետով է գործատուն շահառուին վերցնելու աշխատանքային փորձի ձեռքբերման նպատակով՝ հաշվի առնելով նաև այն, որ նախագծի հիմնավորման մեջ շեշտվում է մինչև 3 ամիս ժամկետը: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Չի ընդունվել։ </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Նախագծի հավելվածի 19-րդ կետով նախատեսված աշխատանքային պայմանագրի ժամկետը ներառում է աշխատանքային փորձի ձեռքբերման գործընթացի 3 ամիսը։</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276"/>
              </w:tabs>
              <w:spacing w:line="360" w:lineRule="auto"/>
              <w:ind w:left="0" w:firstLine="69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Հավելվածի 27-րդ կետով նախատեսվում է, որ ծրագրի շրջանակում թափուր աշխատատեղը շահառուով համալրելու նպատակով, գործատուին կարող է տրամադրվել նաև միանվագ փոխհատուցում՝ 300,000 դրամի չափով: Ձևակերպումից ստացվում է, որ միանվագ փոխհատուցումը կարող է նաև չտրամադրվել: Հետևաբար անհրաժեշտ է հստակեցնել միանվագ փոխհատուցումը տրամադրելու և չտրամադրելու դեպքերը:</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Ընդունվել է։ </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Նախագծի հավելվածի 27-րդ կետում «կարող է տրամադրվել» բառերը փոխարինվել են «տրամադրվում է» բառով։</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276"/>
              </w:tabs>
              <w:spacing w:line="360" w:lineRule="auto"/>
              <w:ind w:left="0" w:firstLine="69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Հավելվածի 29-րդ կետում առաջարկում ենք հստակ նշել միանվագ փոխհատուցումը տրամադրելու ժամկետը՝ առանց տարբերակներից որևէ մեկի ընտրության նախապատվության՝ հաշվի առնելով նաև այն, թե ինչ սկզբունքով է որոշվելու որ գործատուին է տրամադրվելու 1-ին, իսկ որին՝ 2-րդ տարբերակով: Միաժամանակ անհրաժեշտ է հաշվի առնել այն, որ հիմնավորման մեջ նշվում է, որ տարբերակի ընտրությունը կատարվում է գործատուի հայեցողությմաբ:</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Մասամբ է ընդունվել։</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Միանվագ փոխհատուցման տրամադրման ժամանակահատվածի ընտրությունը պետք է կատարվի գործատուի կողմից, ինչի մասին նշվել է նախագծի հավելվածի 29-րդ կետում։</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276"/>
              </w:tabs>
              <w:spacing w:line="360" w:lineRule="auto"/>
              <w:ind w:left="0" w:firstLine="69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13-րդ դիտարկման շրջանակում խնդրահարույց է նաև 30-րդ կետն այն իմաստով, որ պայմանագիրը ժամկետից շուտ լուծվելու դեպքում միանվագ գումարը ենթակա է վերադարձման՝ սահմանելով դրա չվերադարձման դեպքերը: Հետևաբար, եթե տարածքային կենտրոնը մի գործատուին վճարի ժամկետի սկզբում, ապա ըստ բացառության դեպքերի պայմանագրի լուծման պարագայում այն ենթակա չի լինի վերադարձման, իսկ 29-րդ կետի 2-րդ ենթակետի ընտրության պարագայում այդ գումարը գործատուին չի վճարվի:</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color w:val="000000"/>
                <w:sz w:val="24"/>
                <w:szCs w:val="24"/>
                <w:shd w:val="clear" w:color="auto" w:fill="FFFFFF"/>
                <w:lang w:val="hy-AM"/>
              </w:rPr>
              <w:t xml:space="preserve">Նախագծի հավելվածի 29-րդ կետի 2-րդ ենթակետով նախատեսված՝ միանվագ գումարի  վճարման ժամկետի ընտրությունը կատարում է գործատուն։ </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080"/>
                <w:tab w:val="left" w:pos="1276"/>
              </w:tabs>
              <w:spacing w:line="360" w:lineRule="auto"/>
              <w:ind w:left="-30" w:firstLine="72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Հիմնավորման 5-րդ կետով սահմանվում է, որ նախագծի հաստատման պարագայում ծրագրի իրականացումը լինելու է փորձնական, սակայն որոշման մեջ նշված չէ դրա ուժի մեջ մտնելու և գործողության ժամկետը:</w:t>
            </w:r>
          </w:p>
        </w:tc>
        <w:tc>
          <w:tcPr>
            <w:tcW w:w="4207" w:type="dxa"/>
            <w:tcBorders>
              <w:top w:val="single" w:sz="4" w:space="0" w:color="auto"/>
              <w:left w:val="single" w:sz="4" w:space="0" w:color="auto"/>
              <w:bottom w:val="single" w:sz="4" w:space="0" w:color="auto"/>
              <w:right w:val="single" w:sz="4" w:space="0" w:color="auto"/>
            </w:tcBorders>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rsidR="005C2EB2" w:rsidRDefault="005C2EB2">
            <w:pPr>
              <w:spacing w:line="360" w:lineRule="auto"/>
              <w:jc w:val="center"/>
              <w:rPr>
                <w:rFonts w:ascii="GHEA Grapalat" w:eastAsia="Calibri" w:hAnsi="GHEA Grapalat" w:cs="Times New Roman"/>
                <w:sz w:val="24"/>
                <w:szCs w:val="24"/>
                <w:lang w:val="hy-AM"/>
              </w:rPr>
            </w:pP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080"/>
                <w:tab w:val="left" w:pos="1276"/>
              </w:tabs>
              <w:spacing w:line="360" w:lineRule="auto"/>
              <w:ind w:left="-30" w:firstLine="72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Վերանայման կարիք ունի հիմնավորման 5-րդ կետով ներկայացված հաշվարկը, քանի որ առկա են անհրաժեշտ ֆինանսական միջոցների չափերի միջև տարբերություններ:</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Չի ընդունվել։ </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Հիմնավորման մեջ հաշվարկները կատարված են ըստ ծրագրով նախատեսված աջակցության ուղղությունների։</w:t>
            </w: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rsidP="005C2EB2">
            <w:pPr>
              <w:pStyle w:val="ListParagraph"/>
              <w:numPr>
                <w:ilvl w:val="0"/>
                <w:numId w:val="7"/>
              </w:numPr>
              <w:tabs>
                <w:tab w:val="left" w:pos="1276"/>
              </w:tabs>
              <w:spacing w:line="360" w:lineRule="auto"/>
              <w:ind w:left="0" w:firstLine="567"/>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Նախագծի վերաբերյալ բացակայում է հանրային քննարկման տեղեկանքը՝ համաձայն Կառավարության 25.02.2021թ. N 252-Լ որոշմամբ հաստատված հավելվածի 20-րդ կետի 4-րդ ենթակետի և Կառավարության 10.10.2018թ. N 1146-Ն որոշմամբ հաստատված հավելվածի 3-րդ կետի:</w:t>
            </w:r>
          </w:p>
          <w:p w:rsidR="005C2EB2" w:rsidRDefault="005C2EB2">
            <w:pPr>
              <w:tabs>
                <w:tab w:val="left" w:pos="1276"/>
              </w:tabs>
              <w:spacing w:line="360" w:lineRule="auto"/>
              <w:ind w:firstLine="567"/>
              <w:jc w:val="both"/>
              <w:rPr>
                <w:rFonts w:ascii="Sylfaen" w:hAnsi="Sylfaen"/>
                <w:sz w:val="24"/>
                <w:szCs w:val="24"/>
                <w:lang w:val="hy-AM"/>
              </w:rPr>
            </w:pPr>
            <w:r>
              <w:rPr>
                <w:rFonts w:ascii="GHEA Grapalat" w:eastAsia="Calibri" w:hAnsi="GHEA Grapalat" w:cs="Times New Roman"/>
                <w:color w:val="000000"/>
                <w:sz w:val="24"/>
                <w:szCs w:val="24"/>
                <w:shd w:val="clear" w:color="auto" w:fill="FFFFFF"/>
                <w:lang w:val="hy-AM"/>
              </w:rPr>
              <w:t>Հաշվի առնելով նախագծի վերաբերյալ վերոնշյալ դիտարկումները՝ առաջարկում ենք ևս մեկ անգամ քննարկել նախագծի նպատակահարմարությունը</w:t>
            </w:r>
            <w:r>
              <w:rPr>
                <w:sz w:val="24"/>
                <w:szCs w:val="24"/>
                <w:lang w:val="hy-AM"/>
              </w:rPr>
              <w:t>:</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Ընդունվել է։ </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Նախագիծը չի դրվել հանրային քննարկման, քանի որ շրջանառվել է գաղտնի ընթացակարգով տրված հանձնարարականի համաձայն։</w:t>
            </w:r>
          </w:p>
        </w:tc>
      </w:tr>
      <w:tr w:rsidR="005C2EB2" w:rsidTr="005C2EB2">
        <w:trPr>
          <w:trHeight w:val="436"/>
        </w:trPr>
        <w:tc>
          <w:tcPr>
            <w:tcW w:w="7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ՀՀ վարչապետի աշխատակազմի կարգավորման ազդեղության գնահատման վարչություն</w:t>
            </w:r>
          </w:p>
        </w:tc>
        <w:tc>
          <w:tcPr>
            <w:tcW w:w="42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18.07.2022 թ.</w:t>
            </w:r>
          </w:p>
          <w:p w:rsidR="005C2EB2" w:rsidRDefault="005C2EB2">
            <w:pPr>
              <w:spacing w:line="360" w:lineRule="auto"/>
              <w:jc w:val="center"/>
              <w:rPr>
                <w:rFonts w:ascii="GHEA Grapalat" w:eastAsia="Calibri" w:hAnsi="GHEA Grapalat" w:cs="Times New Roman"/>
                <w:sz w:val="24"/>
                <w:szCs w:val="24"/>
                <w:lang w:val="hy-AM"/>
              </w:rPr>
            </w:pPr>
          </w:p>
        </w:tc>
      </w:tr>
      <w:tr w:rsidR="005C2EB2" w:rsidRPr="005C2EB2" w:rsidTr="005C2EB2">
        <w:trPr>
          <w:trHeight w:val="436"/>
        </w:trPr>
        <w:tc>
          <w:tcPr>
            <w:tcW w:w="7938"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ind w:firstLine="60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 xml:space="preserve">Նախագծի Հավելվածի 2-րդ կետով սահմանվում է, որ ծրագրին մասնակցել կարող են այն գործատուները, որոնք չեն հանդիսանում հանրային ծառայություն իրականացնող պետական կառավարման համակարգի մարմիններ և մինչև սույն ծրագրի համար դիմում ներկայացնելը երեք ամսվա ընթացքում անընդհատ ունեցել են առնվազն 10 վարձու աշխատող, և նրանց կողմից հաշվարկված եկամուտների փաստացի ֆոնդը նշված ժամանակահատվածում չի նվազել, կամ նվազումը կազմել է ոչ ավելի, քան 5 տոկոս: </w:t>
            </w:r>
          </w:p>
          <w:p w:rsidR="005C2EB2" w:rsidRDefault="005C2EB2">
            <w:pPr>
              <w:spacing w:line="360" w:lineRule="auto"/>
              <w:ind w:firstLine="60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 xml:space="preserve">Եթե սույն սահմանափակման խնդիրը կապված է գործատուի ֆինանսական վիճակի վատթարացման և դրանով պայմանավորված նախատեսված ժամկետում աշխատանքի ընդունված գործազուրկի աշխատանքային հարաբերությունների ընդհատման կամ ոչ հարատև զբաղվածության ապահովման հետ, ապա հարկ է նշել, որ նույնիսկ այդ դեպքում գործազուրկը հնարավորություն է ունենում ձեռք բերել համապատասխան մասնագիտական հմտություններ և կարողություններ, ինչը առաջարկվող կարգավորման կարևոր նպատակն է: </w:t>
            </w:r>
          </w:p>
          <w:p w:rsidR="005C2EB2" w:rsidRDefault="005C2EB2">
            <w:pPr>
              <w:spacing w:line="360" w:lineRule="auto"/>
              <w:ind w:firstLine="60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Ինչ վերաբերվում է երեք ամսվա ընթացքում մինչև 10 վարձու աշխատող ունեցող ընկերությունների ծրագրին դիմելու սահմանափակմանը, ապա  կարծում ենք, որ սակավաթիվ աշխատողներ ունեցող կազմակերպություններն առավել հետաքրքրված կարող են լինել ծրագրով, քանի որ աշխատանքի կազմակերպման առումով՝ նման կազմակերպություններում յուրաքանչյուր աշխատող աշխատանքի վերջնական արդյունքի վրա ավելի մեծ ներդրում ունի, քան խոշոր կազմակերպություններում:</w:t>
            </w:r>
          </w:p>
          <w:p w:rsidR="005C2EB2" w:rsidRDefault="005C2EB2">
            <w:pPr>
              <w:spacing w:line="360" w:lineRule="auto"/>
              <w:ind w:firstLine="600"/>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 xml:space="preserve">Առաջարկում ենք, այս դրույթը հանել, քանի որ այն սահմանափակում է նշված գործատուների՝ ցանկության դեպքում ծրագրին դիմելու հնարավորությունը կամ առնվազն լրացուցիչ կերպով հիմնավորել այն: </w:t>
            </w:r>
          </w:p>
        </w:tc>
        <w:tc>
          <w:tcPr>
            <w:tcW w:w="4207" w:type="dxa"/>
            <w:tcBorders>
              <w:top w:val="single" w:sz="4" w:space="0" w:color="auto"/>
              <w:left w:val="single" w:sz="4" w:space="0" w:color="auto"/>
              <w:bottom w:val="single" w:sz="4" w:space="0" w:color="auto"/>
              <w:right w:val="single" w:sz="4" w:space="0" w:color="auto"/>
            </w:tcBorders>
            <w:hideMark/>
          </w:tcPr>
          <w:p w:rsidR="005C2EB2" w:rsidRDefault="005C2EB2">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rsidR="005C2EB2" w:rsidRDefault="005C2EB2">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Գործատուի համար սահմանվող պահանջները հանվել են։</w:t>
            </w:r>
          </w:p>
        </w:tc>
      </w:tr>
    </w:tbl>
    <w:p w:rsidR="005C2EB2" w:rsidRDefault="005C2EB2" w:rsidP="005C2EB2">
      <w:pPr>
        <w:rPr>
          <w:rFonts w:ascii="GHEA Grapalat" w:hAnsi="GHEA Grapalat"/>
          <w:lang w:val="hy-AM"/>
        </w:rPr>
      </w:pPr>
    </w:p>
    <w:p w:rsidR="00A86E81" w:rsidRPr="005C2EB2" w:rsidRDefault="00A86E81" w:rsidP="005C2EB2">
      <w:pPr>
        <w:rPr>
          <w:lang w:val="hy-AM"/>
        </w:rPr>
      </w:pPr>
      <w:bookmarkStart w:id="0" w:name="_GoBack"/>
      <w:bookmarkEnd w:id="0"/>
    </w:p>
    <w:sectPr w:rsidR="00A86E81" w:rsidRPr="005C2EB2" w:rsidSect="008B6725">
      <w:pgSz w:w="15840" w:h="12240" w:orient="landscape"/>
      <w:pgMar w:top="99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A39CF"/>
    <w:multiLevelType w:val="hybridMultilevel"/>
    <w:tmpl w:val="9956E2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5E77D6B"/>
    <w:multiLevelType w:val="hybridMultilevel"/>
    <w:tmpl w:val="122A47B4"/>
    <w:lvl w:ilvl="0" w:tplc="BE426FB6">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 w15:restartNumberingAfterBreak="0">
    <w:nsid w:val="1B931998"/>
    <w:multiLevelType w:val="hybridMultilevel"/>
    <w:tmpl w:val="E8C6B4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46315D7"/>
    <w:multiLevelType w:val="hybridMultilevel"/>
    <w:tmpl w:val="646CF9B0"/>
    <w:lvl w:ilvl="0" w:tplc="0A746482">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4" w15:restartNumberingAfterBreak="0">
    <w:nsid w:val="2A6518FE"/>
    <w:multiLevelType w:val="hybridMultilevel"/>
    <w:tmpl w:val="B7D62F50"/>
    <w:lvl w:ilvl="0" w:tplc="B3D6B32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124"/>
    <w:rsid w:val="00036CE5"/>
    <w:rsid w:val="00047734"/>
    <w:rsid w:val="00072579"/>
    <w:rsid w:val="000D5BB3"/>
    <w:rsid w:val="00113086"/>
    <w:rsid w:val="00126623"/>
    <w:rsid w:val="0015430C"/>
    <w:rsid w:val="00164FD3"/>
    <w:rsid w:val="00173395"/>
    <w:rsid w:val="001810BB"/>
    <w:rsid w:val="001A1C2A"/>
    <w:rsid w:val="001A573C"/>
    <w:rsid w:val="00294776"/>
    <w:rsid w:val="003413CD"/>
    <w:rsid w:val="00346FA3"/>
    <w:rsid w:val="003548C7"/>
    <w:rsid w:val="003A4631"/>
    <w:rsid w:val="004129EF"/>
    <w:rsid w:val="00431346"/>
    <w:rsid w:val="00433BA0"/>
    <w:rsid w:val="004D46FF"/>
    <w:rsid w:val="004D5053"/>
    <w:rsid w:val="004D6A45"/>
    <w:rsid w:val="004F1D45"/>
    <w:rsid w:val="00511CD0"/>
    <w:rsid w:val="00513867"/>
    <w:rsid w:val="005314A9"/>
    <w:rsid w:val="00534EA3"/>
    <w:rsid w:val="00563EE1"/>
    <w:rsid w:val="005B252C"/>
    <w:rsid w:val="005C2EB2"/>
    <w:rsid w:val="005E38E2"/>
    <w:rsid w:val="00611E2D"/>
    <w:rsid w:val="00631A88"/>
    <w:rsid w:val="00632C10"/>
    <w:rsid w:val="00634FC7"/>
    <w:rsid w:val="00661629"/>
    <w:rsid w:val="006C528C"/>
    <w:rsid w:val="006C6506"/>
    <w:rsid w:val="006C6FA1"/>
    <w:rsid w:val="006D738C"/>
    <w:rsid w:val="00713AD9"/>
    <w:rsid w:val="0071724D"/>
    <w:rsid w:val="00760E68"/>
    <w:rsid w:val="00794D0A"/>
    <w:rsid w:val="007B3EFA"/>
    <w:rsid w:val="007B57C3"/>
    <w:rsid w:val="007D584C"/>
    <w:rsid w:val="007E40A6"/>
    <w:rsid w:val="00807283"/>
    <w:rsid w:val="0088061C"/>
    <w:rsid w:val="008B6725"/>
    <w:rsid w:val="008D33C2"/>
    <w:rsid w:val="0090239E"/>
    <w:rsid w:val="00943E4A"/>
    <w:rsid w:val="009A65B8"/>
    <w:rsid w:val="009B6C14"/>
    <w:rsid w:val="009E5D9D"/>
    <w:rsid w:val="00A5097C"/>
    <w:rsid w:val="00A6481B"/>
    <w:rsid w:val="00A84D98"/>
    <w:rsid w:val="00A86E81"/>
    <w:rsid w:val="00B43C3D"/>
    <w:rsid w:val="00BA16CA"/>
    <w:rsid w:val="00BE62AF"/>
    <w:rsid w:val="00BF2994"/>
    <w:rsid w:val="00C26124"/>
    <w:rsid w:val="00C51F5B"/>
    <w:rsid w:val="00C67141"/>
    <w:rsid w:val="00C678F1"/>
    <w:rsid w:val="00C7111E"/>
    <w:rsid w:val="00CE7514"/>
    <w:rsid w:val="00CF083C"/>
    <w:rsid w:val="00D31563"/>
    <w:rsid w:val="00D35B58"/>
    <w:rsid w:val="00D4376B"/>
    <w:rsid w:val="00D4625D"/>
    <w:rsid w:val="00D824F9"/>
    <w:rsid w:val="00DC136D"/>
    <w:rsid w:val="00DF718E"/>
    <w:rsid w:val="00E94BDD"/>
    <w:rsid w:val="00EA44F4"/>
    <w:rsid w:val="00ED18D0"/>
    <w:rsid w:val="00ED5492"/>
    <w:rsid w:val="00EE08AB"/>
    <w:rsid w:val="00EE257E"/>
    <w:rsid w:val="00F926AC"/>
    <w:rsid w:val="00FA18E8"/>
    <w:rsid w:val="00FB2662"/>
    <w:rsid w:val="00FC5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71744"/>
  <w15:chartTrackingRefBased/>
  <w15:docId w15:val="{6E60EC4D-E7A8-467F-9F67-1DB3AEFF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EB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4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46FF"/>
    <w:pPr>
      <w:ind w:left="720"/>
      <w:contextualSpacing/>
    </w:pPr>
  </w:style>
  <w:style w:type="paragraph" w:styleId="BodyText">
    <w:name w:val="Body Text"/>
    <w:basedOn w:val="Normal"/>
    <w:link w:val="BodyTextChar"/>
    <w:uiPriority w:val="99"/>
    <w:unhideWhenUsed/>
    <w:rsid w:val="004D46FF"/>
    <w:pPr>
      <w:spacing w:after="120"/>
    </w:pPr>
  </w:style>
  <w:style w:type="character" w:customStyle="1" w:styleId="BodyTextChar">
    <w:name w:val="Body Text Char"/>
    <w:basedOn w:val="DefaultParagraphFont"/>
    <w:link w:val="BodyText"/>
    <w:uiPriority w:val="99"/>
    <w:rsid w:val="004D46FF"/>
  </w:style>
  <w:style w:type="paragraph" w:styleId="BalloonText">
    <w:name w:val="Balloon Text"/>
    <w:basedOn w:val="Normal"/>
    <w:link w:val="BalloonTextChar"/>
    <w:uiPriority w:val="99"/>
    <w:semiHidden/>
    <w:unhideWhenUsed/>
    <w:rsid w:val="008B67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725"/>
    <w:rPr>
      <w:rFonts w:ascii="Segoe UI" w:hAnsi="Segoe UI" w:cs="Segoe UI"/>
      <w:sz w:val="18"/>
      <w:szCs w:val="18"/>
    </w:rPr>
  </w:style>
  <w:style w:type="character" w:styleId="Strong">
    <w:name w:val="Strong"/>
    <w:basedOn w:val="DefaultParagraphFont"/>
    <w:uiPriority w:val="22"/>
    <w:qFormat/>
    <w:rsid w:val="004129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208071">
      <w:bodyDiv w:val="1"/>
      <w:marLeft w:val="0"/>
      <w:marRight w:val="0"/>
      <w:marTop w:val="0"/>
      <w:marBottom w:val="0"/>
      <w:divBdr>
        <w:top w:val="none" w:sz="0" w:space="0" w:color="auto"/>
        <w:left w:val="none" w:sz="0" w:space="0" w:color="auto"/>
        <w:bottom w:val="none" w:sz="0" w:space="0" w:color="auto"/>
        <w:right w:val="none" w:sz="0" w:space="0" w:color="auto"/>
      </w:divBdr>
    </w:div>
    <w:div w:id="670793647">
      <w:bodyDiv w:val="1"/>
      <w:marLeft w:val="0"/>
      <w:marRight w:val="0"/>
      <w:marTop w:val="0"/>
      <w:marBottom w:val="0"/>
      <w:divBdr>
        <w:top w:val="none" w:sz="0" w:space="0" w:color="auto"/>
        <w:left w:val="none" w:sz="0" w:space="0" w:color="auto"/>
        <w:bottom w:val="none" w:sz="0" w:space="0" w:color="auto"/>
        <w:right w:val="none" w:sz="0" w:space="0" w:color="auto"/>
      </w:divBdr>
    </w:div>
    <w:div w:id="792872057">
      <w:bodyDiv w:val="1"/>
      <w:marLeft w:val="0"/>
      <w:marRight w:val="0"/>
      <w:marTop w:val="0"/>
      <w:marBottom w:val="0"/>
      <w:divBdr>
        <w:top w:val="none" w:sz="0" w:space="0" w:color="auto"/>
        <w:left w:val="none" w:sz="0" w:space="0" w:color="auto"/>
        <w:bottom w:val="none" w:sz="0" w:space="0" w:color="auto"/>
        <w:right w:val="none" w:sz="0" w:space="0" w:color="auto"/>
      </w:divBdr>
    </w:div>
    <w:div w:id="192322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73075-AD55-4648-852F-A66423BA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2894</Words>
  <Characters>20496</Characters>
  <Application>Microsoft Office Word</Application>
  <DocSecurity>0</DocSecurity>
  <Lines>598</Lines>
  <Paragraphs>149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https://mul2.gov.am/tasks/642434/oneclick/ampopatert.docx?token=61e47581c3adafe69c1e35dcba53ad44</cp:keywords>
  <dc:description/>
  <cp:lastModifiedBy>Tatevik Stepanyan</cp:lastModifiedBy>
  <cp:revision>3</cp:revision>
  <cp:lastPrinted>2022-07-18T13:08:00Z</cp:lastPrinted>
  <dcterms:created xsi:type="dcterms:W3CDTF">2022-07-19T04:56:00Z</dcterms:created>
  <dcterms:modified xsi:type="dcterms:W3CDTF">2022-07-21T05:11:00Z</dcterms:modified>
</cp:coreProperties>
</file>