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EC" w:rsidRDefault="00A116EC" w:rsidP="00A116E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116EC" w:rsidRPr="00A116EC" w:rsidRDefault="00A116EC" w:rsidP="00A116EC">
      <w:pPr>
        <w:jc w:val="center"/>
        <w:rPr>
          <w:lang w:val="hy-AM"/>
        </w:rPr>
      </w:pPr>
      <w:r w:rsidRPr="00A116EC">
        <w:rPr>
          <w:rFonts w:ascii="GHEA Grapalat" w:hAnsi="GHEA Grapalat"/>
          <w:b/>
          <w:sz w:val="24"/>
          <w:szCs w:val="24"/>
          <w:lang w:val="hy-AM"/>
        </w:rPr>
        <w:t>«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Գույք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նվիրաբերելու մասին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»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կառավարության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որոշման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նախագծի</w:t>
      </w:r>
      <w:r w:rsidRPr="00A116E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116EC">
        <w:rPr>
          <w:rFonts w:ascii="GHEA Grapalat" w:hAnsi="GHEA Grapalat" w:cs="Tahoma"/>
          <w:b/>
          <w:sz w:val="24"/>
          <w:szCs w:val="24"/>
          <w:lang w:val="hy-AM"/>
        </w:rPr>
        <w:t>ընդունման</w:t>
      </w:r>
      <w:r w:rsidR="005F151A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Y="31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9259"/>
      </w:tblGrid>
      <w:tr w:rsidR="001E13DC" w:rsidRPr="00375507" w:rsidTr="00A116EC">
        <w:trPr>
          <w:trHeight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tabs>
                <w:tab w:val="left" w:pos="9800"/>
              </w:tabs>
              <w:spacing w:after="0" w:line="360" w:lineRule="auto"/>
              <w:ind w:right="309"/>
              <w:jc w:val="both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1E13DC" w:rsidRPr="00416019" w:rsidTr="00A116EC">
        <w:trPr>
          <w:trHeight w:val="2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1D6668" w:rsidRDefault="001E13DC" w:rsidP="00984657">
            <w:pPr>
              <w:tabs>
                <w:tab w:val="left" w:pos="-100"/>
                <w:tab w:val="left" w:pos="200"/>
              </w:tabs>
              <w:spacing w:after="0" w:line="360" w:lineRule="auto"/>
              <w:ind w:right="9"/>
              <w:jc w:val="both"/>
              <w:rPr>
                <w:rFonts w:ascii="Sylfaen" w:eastAsia="MS Mincho" w:hAnsi="Sylfaen" w:cs="MS Mincho"/>
                <w:sz w:val="24"/>
                <w:szCs w:val="24"/>
              </w:rPr>
            </w:pPr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    </w:t>
            </w:r>
            <w:r w:rsidRPr="0037550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Գույք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նվիրաբերելու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մասին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>»</w:t>
            </w:r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984657">
              <w:rPr>
                <w:rFonts w:ascii="GHEA Grapalat" w:hAnsi="GHEA Grapalat" w:cs="Tahoma"/>
                <w:sz w:val="24"/>
                <w:szCs w:val="24"/>
                <w:lang w:val="hy-AM"/>
              </w:rPr>
              <w:t>բխում</w:t>
            </w:r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</w:rPr>
              <w:t>է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Համայնքների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ռեսուրսների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կառավարման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մրցունակության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երկրորդ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»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ծրագր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ի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(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րագիր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վարկային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համաձայնագրերի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շրջանակներում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r w:rsidR="007F25E5">
              <w:rPr>
                <w:rFonts w:ascii="GHEA Grapalat" w:hAnsi="GHEA Grapalat" w:cs="Tahoma"/>
                <w:sz w:val="24"/>
                <w:szCs w:val="24"/>
                <w:lang w:val="hy-AM"/>
              </w:rPr>
              <w:t>համայնք</w:t>
            </w:r>
            <w:r w:rsidR="00984657">
              <w:rPr>
                <w:rFonts w:ascii="GHEA Grapalat" w:hAnsi="GHEA Grapalat" w:cs="Tahoma"/>
                <w:sz w:val="24"/>
                <w:szCs w:val="24"/>
                <w:lang w:val="hy-AM"/>
              </w:rPr>
              <w:t>ներ</w:t>
            </w:r>
            <w:r w:rsidR="007F25E5">
              <w:rPr>
                <w:rFonts w:ascii="GHEA Grapalat" w:hAnsi="GHEA Grapalat" w:cs="Tahoma"/>
                <w:sz w:val="24"/>
                <w:szCs w:val="24"/>
                <w:lang w:val="hy-AM"/>
              </w:rPr>
              <w:t>ի և կոոպերատիվների հետ կնքված եռակողմ համաձայնագր</w:t>
            </w:r>
            <w:r w:rsidR="00984657">
              <w:rPr>
                <w:rFonts w:ascii="GHEA Grapalat" w:hAnsi="GHEA Grapalat" w:cs="Tahoma"/>
                <w:sz w:val="24"/>
                <w:szCs w:val="24"/>
                <w:lang w:val="hy-AM"/>
              </w:rPr>
              <w:t>եր</w:t>
            </w:r>
            <w:r w:rsidR="007F25E5">
              <w:rPr>
                <w:rFonts w:ascii="GHEA Grapalat" w:hAnsi="GHEA Grapalat" w:cs="Tahoma"/>
                <w:sz w:val="24"/>
                <w:szCs w:val="24"/>
                <w:lang w:val="hy-AM"/>
              </w:rPr>
              <w:t>ի համապատասխան դրույթից</w:t>
            </w:r>
            <w:r w:rsidR="00984657">
              <w:rPr>
                <w:rFonts w:ascii="GHEA Grapalat" w:hAnsi="GHEA Grapalat" w:cs="Tahoma"/>
                <w:sz w:val="24"/>
                <w:szCs w:val="24"/>
                <w:lang w:val="hy-AM"/>
              </w:rPr>
              <w:t>՝</w:t>
            </w:r>
            <w:r w:rsidR="000155BD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պայմանավորված</w:t>
            </w:r>
            <w:r w:rsidR="007F25E5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ձեռք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բերված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գույքի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հետագա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շահագործումն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ապահովելու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անհրաժեշտությամբ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>:</w:t>
            </w:r>
          </w:p>
        </w:tc>
      </w:tr>
      <w:tr w:rsidR="001E13DC" w:rsidRPr="00375507" w:rsidTr="00A116EC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առկա</w:t>
            </w:r>
            <w:proofErr w:type="spellEnd"/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1E13DC" w:rsidRPr="005F151A" w:rsidTr="00A116EC">
        <w:trPr>
          <w:trHeight w:val="6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անասնապահությամբ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զբաղվող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համայնքներում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կենդանիների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առողջության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պահպանման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վարակիչ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հիվանդությունների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կանխարգելման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արհեստական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սերմնավորման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բարելավման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անասնաբույժներին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սարքավորումներով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գործիքներով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75507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ծառայությունների կենտրոն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պետական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ոչ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առևտրային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կազմակերպությունը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</w:t>
            </w:r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«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Բանջարաբոստանային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տեխնիկական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մշակաբույսերի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գիտական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կենտրոն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»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փակ բաժնետիրական ընկերությունը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սարքավորումներով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կարիք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ունեն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Pr="00375507">
              <w:rPr>
                <w:rFonts w:ascii="GHEA Grapalat" w:hAnsi="GHEA Grapalat"/>
                <w:sz w:val="24"/>
                <w:szCs w:val="24"/>
              </w:rPr>
              <w:t>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Հայաստանի ազգային ագրարային համալսարան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»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 հիմնադրամն ունի ժամանակակից սարքավորումներով դասընթացներ վարելու կարիք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,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 xml:space="preserve">իսկ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«Անասնաբույժների ազգային ասոցիացիա» հասարակական կազմակերպությանը</w:t>
            </w:r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`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ուսուցումների և վերապատրաստումների անցկացման</w:t>
            </w:r>
            <w:r w:rsidRPr="0037550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ընդգրկված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համայնքներում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բնակիչների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ստեղծվել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արոտօգտագործողների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սպառողական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կոոպերատիվներ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որոնք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հանդիսանալով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շահառուներ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իրենց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նպատակների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արդյունավետ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lastRenderedPageBreak/>
              <w:t>գյուղատնտեսական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տեխնիկայի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համալրման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կարիք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ունեն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խնդիրների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լուծմանն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աջակցելու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նպատակով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ծրագրերի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շրջանակներում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ձեռք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են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բերվել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`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անհրաժեշտ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անասնաբուժական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սարքավորումներ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>գործիքներ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ստեղծված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արոտօգտագործողների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սպառողական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կոոպերատիվների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համար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ձեռք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բերվել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eastAsia="Arial Unicode MS" w:hAnsi="GHEA Grapalat" w:cs="Sylfaen"/>
                <w:sz w:val="24"/>
                <w:szCs w:val="24"/>
              </w:rPr>
              <w:t>տեխնիկա</w:t>
            </w:r>
            <w:proofErr w:type="spellEnd"/>
            <w:r w:rsidRPr="00375507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։</w:t>
            </w:r>
          </w:p>
          <w:p w:rsidR="001E13DC" w:rsidRPr="00375507" w:rsidRDefault="001E13DC" w:rsidP="005F151A">
            <w:pPr>
              <w:spacing w:after="0" w:line="360" w:lineRule="auto"/>
              <w:jc w:val="both"/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    Ձեռք բերված գույքը ժամանակավոր պահատվության է հանձնվել </w:t>
            </w:r>
            <w:r w:rsidRPr="00375507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համապատասխան կոոպերատիվներին և կազմակերպություններին:</w:t>
            </w:r>
            <w:r w:rsidRPr="00375507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Ընդ որում, </w:t>
            </w:r>
            <w:r w:rsidR="005F151A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ձեռք բերված </w:t>
            </w:r>
            <w:r w:rsidRPr="00375507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գյուղատնտեսական տեխնիկայի 20 տոկոսը</w:t>
            </w:r>
            <w:r w:rsidR="005F151A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 xml:space="preserve"> ներդրվել է</w:t>
            </w:r>
            <w:r w:rsidRPr="00375507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 xml:space="preserve"> կոոպերատիվների կողմից: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1E13DC" w:rsidRPr="00375507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  <w:lastRenderedPageBreak/>
              <w:t>3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37550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1E13DC" w:rsidRPr="00375507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Վերակառուցման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զարգացման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միջազգային</w:t>
            </w:r>
            <w:proofErr w:type="spellEnd"/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բանկի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sz w:val="24"/>
                <w:szCs w:val="24"/>
              </w:rPr>
              <w:t>միջև</w:t>
            </w:r>
            <w:proofErr w:type="spellEnd"/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2014 </w:t>
            </w:r>
            <w:proofErr w:type="spellStart"/>
            <w:r w:rsidRPr="00375507">
              <w:rPr>
                <w:rFonts w:ascii="GHEA Grapalat" w:hAnsi="GHEA Grapalat" w:cs="Tahoma"/>
                <w:bCs/>
                <w:iCs/>
                <w:sz w:val="24"/>
                <w:szCs w:val="24"/>
              </w:rPr>
              <w:t>թ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վականի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օգոստոսի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6-ին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կնքված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վարկային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համաձայնագրով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հաստատվել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Համայնքների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ռեսուրսների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կառավարման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մրցունակության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երկրորդ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ծրագիրը</w:t>
            </w:r>
            <w:proofErr w:type="spellEnd"/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իրականացվում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ՀՀ էկոնոմիկայի նախարարության</w:t>
            </w:r>
            <w:r w:rsidRPr="00375507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Tahoma"/>
                <w:sz w:val="24"/>
                <w:szCs w:val="24"/>
              </w:rPr>
              <w:t>կողմից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նպատակն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արոտավայրերի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բարելավումն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անասնապահության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խթանումն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համայնքներում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որտեղ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բնակչության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աղբյուրն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անասնապահությունն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ընդգրկված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համայնքներում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բնակիչների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ստեղծվել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արոտօգտագործողների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սպառողական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կոոպերատիվներ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որոնք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հանդիսանալով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շահառուներ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իրենց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նպատակների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արդյունավետ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տեխնիկայով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համալրման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տեխնոլոգիաների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կիրառման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կարիք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ունեն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Ծրագրով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հատվածի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կարողությունների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հզորացում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սարքավորումներով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գույքով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հագեցման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միջոցով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  <w:tr w:rsidR="001E13DC" w:rsidRPr="00375507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Նախագծի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մշակման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գործընթացում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ներգրավված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ինստիտուտները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անձինք</w:t>
            </w:r>
            <w:proofErr w:type="spellEnd"/>
          </w:p>
        </w:tc>
      </w:tr>
      <w:tr w:rsidR="001E13DC" w:rsidRPr="00375507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375507"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մշակումն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իրականացվել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էկոնոմիկայի</w:t>
            </w:r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E13DC" w:rsidRPr="00375507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Ակնկալվող</w:t>
            </w:r>
            <w:proofErr w:type="spellEnd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 w:cs="Arial Armenian"/>
                <w:b/>
                <w:sz w:val="24"/>
                <w:szCs w:val="24"/>
              </w:rPr>
              <w:t>արդյունքները</w:t>
            </w:r>
            <w:proofErr w:type="spellEnd"/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կապահովվի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F151A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րագրի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ձեռք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բերված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անասնաբուժական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սարքավորումների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գործիքների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տեխնիկայի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F151A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րագրի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շահառուների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գույքային</w:t>
            </w:r>
            <w:proofErr w:type="spellEnd"/>
            <w:r w:rsidR="005F151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աջակցության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լուծումը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ակնկալվում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5F151A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507">
              <w:rPr>
                <w:rFonts w:ascii="GHEA Grapalat" w:hAnsi="GHEA Grapalat"/>
                <w:sz w:val="24"/>
                <w:szCs w:val="24"/>
              </w:rPr>
              <w:t xml:space="preserve">     -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կբավարարվի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56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համայնքում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ստեղծված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արոտօգտագործողների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գմիավորում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սպառողական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կոոպերատիվի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տեխնիկայի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75507">
              <w:rPr>
                <w:rFonts w:ascii="GHEA Grapalat" w:hAnsi="GHEA Grapalat"/>
                <w:sz w:val="24"/>
                <w:szCs w:val="24"/>
              </w:rPr>
              <w:t>պահանջարկը</w:t>
            </w:r>
            <w:proofErr w:type="spellEnd"/>
            <w:r w:rsidRPr="0037550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507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    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- Հայաստանի Հանրապետության էկոնոմիկայի նախարարության համակարգի 2 կազմակերպություն («Բանջարաբոստանային և տեխնիկական մշակաբույսերի գիտական կենտրոն» </w:t>
            </w:r>
            <w:r w:rsidRPr="00375507">
              <w:rPr>
                <w:rFonts w:ascii="GHEA Grapalat" w:hAnsi="GHEA Grapalat" w:cs="Arial Armenian"/>
                <w:bCs/>
                <w:iCs/>
                <w:sz w:val="24"/>
                <w:szCs w:val="24"/>
                <w:lang w:val="hy-AM"/>
              </w:rPr>
              <w:t>փակ բաժնետիրական ընկերությունը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«Գյուղատնտեսական ծառայությունների կենտրոն» պետական ոչ առևտրային կազմակերպություն) կունենա անհրաժեշտ տեխնիկա և սարքավորումներ,</w:t>
            </w:r>
          </w:p>
          <w:p w:rsidR="001E13DC" w:rsidRPr="00375507" w:rsidRDefault="001E13DC" w:rsidP="005866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0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</w:pPr>
            <w:r w:rsidRPr="00375507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>«Հայաստանի ազգային ագրարային համալսարան» հիմնադրամն կունենա ժամանակակից սարքավորումներով վերազինված անասնաբուժական կրթագիտական գերազանգության կենտրոն (կենդանիների մուլյաժներ և արհեստական սերմնավորման գործիքներ)՝ դասընթացներ իրականացնելու համար,</w:t>
            </w:r>
          </w:p>
          <w:p w:rsidR="001E13DC" w:rsidRPr="00375507" w:rsidRDefault="001E13DC" w:rsidP="005866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0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</w:pP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«Անասնաբույժների ազգային ասոցիացիա» հասարակական կազմակերպությանը կունենա անհրաժեշտ գործիքներ իր գործունեությունն իրականացնելու, մասնավորապես ուսուցումների և վերապատրաստումների անցկացման համար,</w:t>
            </w:r>
          </w:p>
          <w:p w:rsidR="001E13DC" w:rsidRPr="00375507" w:rsidRDefault="001E13DC" w:rsidP="00586691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GHEA Grapalat" w:eastAsia="MS Mincho" w:hAnsi="GHEA Grapalat"/>
                <w:color w:val="FF0000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- էականորեն կբարելավվի ծրագրի շահառու հանդիսացող  համայնքների սոցիալ-տնտեսական վիճակը և կբարձրանա ՀՀ էկոնոմիկայի նախարարության 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համակարգի 2 կազմակերպության կանոնադրական գործունեության արդյունավետությունը:</w:t>
            </w:r>
          </w:p>
        </w:tc>
      </w:tr>
      <w:tr w:rsidR="001E13DC" w:rsidRPr="005F151A" w:rsidTr="00A116EC">
        <w:trPr>
          <w:trHeight w:val="1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1D6668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66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1D6668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D6668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      </w:r>
          </w:p>
        </w:tc>
      </w:tr>
      <w:tr w:rsidR="001E13DC" w:rsidRPr="00375507" w:rsidTr="005F151A">
        <w:trPr>
          <w:trHeight w:val="5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1D6668" w:rsidRDefault="001E13DC" w:rsidP="00586691">
            <w:pPr>
              <w:spacing w:after="0" w:line="360" w:lineRule="auto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</w:pPr>
            <w:r w:rsidRPr="001D66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4" w:rsidRDefault="001E13DC" w:rsidP="005F2AB4">
            <w:pPr>
              <w:tabs>
                <w:tab w:val="left" w:pos="-100"/>
                <w:tab w:val="left" w:pos="200"/>
              </w:tabs>
              <w:spacing w:after="0" w:line="360" w:lineRule="auto"/>
              <w:ind w:right="14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 w:rsidRPr="001D6668">
              <w:rPr>
                <w:rFonts w:ascii="GHEA Grapalat" w:hAnsi="GHEA Grapalat"/>
                <w:sz w:val="24"/>
                <w:szCs w:val="24"/>
                <w:lang w:val="hy-AM"/>
              </w:rPr>
              <w:t>Նախագիծը բխում է Հայաստանի Հանրապետության կառավարության 2021-2026թթ</w:t>
            </w:r>
            <w:r w:rsidRPr="001D6668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1D66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ծրագրի </w:t>
            </w:r>
            <w:r w:rsidRPr="001D66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1D6668">
              <w:rPr>
                <w:rFonts w:ascii="GHEA Grapalat" w:hAnsi="MS Mincho" w:cs="MS Mincho"/>
                <w:sz w:val="24"/>
                <w:szCs w:val="24"/>
                <w:lang w:val="hy-AM"/>
              </w:rPr>
              <w:t>․</w:t>
            </w:r>
            <w:r w:rsidRPr="001D6668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4 </w:t>
            </w:r>
            <w:r w:rsid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կետի՝ </w:t>
            </w:r>
            <w:r w:rsidRPr="001D6668">
              <w:rPr>
                <w:rFonts w:ascii="GHEA Grapalat" w:hAnsi="GHEA Grapalat" w:cs="MS Mincho"/>
                <w:sz w:val="24"/>
                <w:szCs w:val="24"/>
                <w:lang w:val="hy-AM"/>
              </w:rPr>
              <w:t>Գյուղատնտեսություն</w:t>
            </w:r>
            <w:r w:rsidR="00A116EC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, դրույթների </w:t>
            </w:r>
            <w:r w:rsid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հետ։ </w:t>
            </w:r>
          </w:p>
          <w:p w:rsidR="005F2AB4" w:rsidRDefault="005F2AB4" w:rsidP="005F2AB4">
            <w:pPr>
              <w:tabs>
                <w:tab w:val="left" w:pos="-100"/>
                <w:tab w:val="left" w:pos="200"/>
              </w:tabs>
              <w:spacing w:after="0" w:line="360" w:lineRule="auto"/>
              <w:ind w:right="14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MS Mincho"/>
                <w:sz w:val="24"/>
                <w:szCs w:val="24"/>
                <w:lang w:val="hy-AM"/>
              </w:rPr>
              <w:t>Մասնավորապես՝</w:t>
            </w:r>
          </w:p>
          <w:p w:rsidR="005F2AB4" w:rsidRDefault="001E13DC" w:rsidP="005F2AB4">
            <w:pPr>
              <w:pStyle w:val="ListParagraph"/>
              <w:numPr>
                <w:ilvl w:val="0"/>
                <w:numId w:val="2"/>
              </w:numPr>
              <w:tabs>
                <w:tab w:val="left" w:pos="-100"/>
                <w:tab w:val="left" w:pos="200"/>
              </w:tabs>
              <w:spacing w:line="360" w:lineRule="auto"/>
              <w:ind w:right="9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 w:rsidRP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Խթանել գյուղատնտեսական նշանակության հողերի նպատակային և արդյունավետ օգտագործումը, չօգտագործվող հողերը շրջանառության մեջ դնելու և հողերը խոշորացնելու գործընթացը, </w:t>
            </w:r>
          </w:p>
          <w:p w:rsidR="005F2AB4" w:rsidRDefault="001E13DC" w:rsidP="005F2AB4">
            <w:pPr>
              <w:pStyle w:val="ListParagraph"/>
              <w:numPr>
                <w:ilvl w:val="0"/>
                <w:numId w:val="2"/>
              </w:numPr>
              <w:tabs>
                <w:tab w:val="left" w:pos="-100"/>
                <w:tab w:val="left" w:pos="200"/>
              </w:tabs>
              <w:spacing w:line="360" w:lineRule="auto"/>
              <w:ind w:right="9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 w:rsidRP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Ապահովել կենդանիների և բույսերի հիվանդությունների կանխարգելման արդյունավետ համակարգի ներդրումը և շահագործումը, </w:t>
            </w:r>
          </w:p>
          <w:p w:rsidR="00A116EC" w:rsidRDefault="001E13DC" w:rsidP="005F2AB4">
            <w:pPr>
              <w:pStyle w:val="ListParagraph"/>
              <w:numPr>
                <w:ilvl w:val="0"/>
                <w:numId w:val="2"/>
              </w:numPr>
              <w:tabs>
                <w:tab w:val="left" w:pos="-100"/>
                <w:tab w:val="left" w:pos="200"/>
              </w:tabs>
              <w:spacing w:line="360" w:lineRule="auto"/>
              <w:ind w:right="9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 w:rsidRP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>Ագրարային ոլորտի գիտակրթական հաստատություններին ցուցաբերել աջակցություն՝ շուկայի պահանջներին համապատասխան մասնագետներ պատրաստելու և վերապատրաստելու նպատակով  ենթակետերից</w:t>
            </w:r>
            <w:r w:rsidR="00A116EC">
              <w:rPr>
                <w:rFonts w:ascii="GHEA Grapalat" w:hAnsi="GHEA Grapalat" w:cs="MS Mincho"/>
                <w:sz w:val="24"/>
                <w:szCs w:val="24"/>
                <w:lang w:val="hy-AM"/>
              </w:rPr>
              <w:t>,</w:t>
            </w:r>
          </w:p>
          <w:p w:rsidR="001E13DC" w:rsidRPr="00A116EC" w:rsidRDefault="00A116EC" w:rsidP="00A116EC">
            <w:pPr>
              <w:pStyle w:val="ListParagraph"/>
              <w:numPr>
                <w:ilvl w:val="0"/>
                <w:numId w:val="2"/>
              </w:numPr>
              <w:tabs>
                <w:tab w:val="left" w:pos="-100"/>
                <w:tab w:val="left" w:pos="200"/>
              </w:tabs>
              <w:spacing w:line="360" w:lineRule="auto"/>
              <w:ind w:right="14"/>
              <w:jc w:val="both"/>
              <w:rPr>
                <w:rFonts w:ascii="GHEA Grapalat" w:hAnsi="GHEA Grapalat" w:cs="MS Mincho"/>
                <w:sz w:val="24"/>
                <w:szCs w:val="24"/>
                <w:lang w:val="hy-AM"/>
              </w:rPr>
            </w:pPr>
            <w:r w:rsidRPr="005F2AB4">
              <w:rPr>
                <w:rFonts w:ascii="GHEA Grapalat" w:hAnsi="GHEA Grapalat" w:cs="MS Mincho"/>
                <w:sz w:val="24"/>
                <w:szCs w:val="24"/>
                <w:lang w:val="hy-AM"/>
              </w:rPr>
              <w:t>Շարունակել գյուղատնտեսական տեխնիկայի լիզինգի օժանդակության ծրագիրը՝ յուրաքանչյուր տարի տեխնիկայի հավաքակազմը թարմացնելով առնվազն 500 միավոր գյուղատնտեսական տեխնիկայով</w:t>
            </w:r>
            <w:r w:rsidR="001E13DC" w:rsidRPr="00A116EC">
              <w:rPr>
                <w:rFonts w:ascii="GHEA Grapalat" w:hAnsi="GHEA Grapalat" w:cs="MS Mincho"/>
                <w:sz w:val="24"/>
                <w:szCs w:val="24"/>
                <w:lang w:val="hy-AM"/>
              </w:rPr>
              <w:t>։</w:t>
            </w:r>
          </w:p>
          <w:p w:rsidR="001E13DC" w:rsidRPr="001D6668" w:rsidRDefault="00A116EC" w:rsidP="0058669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D666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բխում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="001E13DC" w:rsidRPr="001D6668">
              <w:rPr>
                <w:rFonts w:ascii="GHEA Grapalat" w:hAnsi="GHEA Grapalat" w:cs="MS Mincho"/>
                <w:sz w:val="24"/>
                <w:szCs w:val="24"/>
                <w:lang w:val="hy-AM"/>
              </w:rPr>
              <w:t>Հայաստանի վերափոխման՝ մինչև 2050 թվականի ռազմավարության</w:t>
            </w:r>
            <w:r>
              <w:rPr>
                <w:rFonts w:ascii="GHEA Grapalat" w:hAnsi="GHEA Grapalat" w:cs="MS Mincho"/>
                <w:sz w:val="24"/>
                <w:szCs w:val="24"/>
                <w:lang w:val="hy-AM"/>
              </w:rPr>
              <w:t xml:space="preserve"> մեգանպատակների 10-րդ կետից, այն է՝ </w:t>
            </w:r>
            <w:r w:rsidR="00B74754" w:rsidRPr="0037550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MS Mincho"/>
                <w:sz w:val="24"/>
                <w:szCs w:val="24"/>
                <w:lang w:val="hy-AM"/>
              </w:rPr>
              <w:t>Արտադրողական և պատասխանատու ֆերմերություն – Կայացնենք նորարարական, արդյունավետ, բարձր ավելացված արժեք ստեղծող, կայուն զարգացող, բնական պաշարների նկատմամբ հոգատար և շրջակա միջավայրի հետ ներդաշնակ, էկոլոգիապես մաքուր արտադրանք ստեղծող ֆերմերություն</w:t>
            </w:r>
            <w:r w:rsidR="00B74754">
              <w:rPr>
                <w:rFonts w:ascii="GHEA Grapalat" w:hAnsi="GHEA Grapalat" w:cs="MS Mincho"/>
                <w:sz w:val="24"/>
                <w:szCs w:val="24"/>
                <w:lang w:val="hy-AM"/>
              </w:rPr>
              <w:t>։</w:t>
            </w:r>
            <w:r w:rsidR="00B74754"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MS Mincho"/>
                <w:sz w:val="24"/>
                <w:szCs w:val="24"/>
                <w:lang w:val="hy-AM"/>
              </w:rPr>
              <w:t>։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1D6668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</w:pPr>
            <w:r w:rsidRPr="001D6668"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1D6668" w:rsidRDefault="001E13DC" w:rsidP="0058669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50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«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նվիրաբերելու մասին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նախագծի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կապակցությամբ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 xml:space="preserve">բյուջեում և տեղական ինքնակառավարման մարմինների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բյուջեներում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ծախսերի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և 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եկամուտների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ավելացման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նվազեցման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hy-AM"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ind w:right="9"/>
              <w:jc w:val="both"/>
              <w:rPr>
                <w:rFonts w:ascii="GHEA Grapalat" w:eastAsia="MS Mincho" w:hAnsi="GHEA Grapalat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«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նվիրաբերելու մասին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>»</w:t>
            </w:r>
            <w:r w:rsidRPr="00375507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կապակցությամբ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ՀՀ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պետական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բյուջեում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և տեղական ինքնակառավարման մարմինների բյուջեներում ծախսերի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եկամուտների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էական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ավելացում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կամ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նվազեցում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չի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նախատեսվում</w:t>
            </w: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1D6668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hy-AM" w:eastAsia="ru-RU"/>
              </w:rPr>
            </w:pPr>
            <w:r w:rsidRPr="001D6668">
              <w:rPr>
                <w:rFonts w:ascii="GHEA Grapalat" w:eastAsia="MS Mincho" w:hAnsi="GHEA Grapalat" w:cs="Arial Armenian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/>
                <w:b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«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նվիրաբերելու մասին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նախագծի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կապակցությամբ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ակտերում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փոփոխություններ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լրացումներ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կատարելու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անհրաժեշտության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բացակայության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375507" w:rsidRDefault="001E13DC" w:rsidP="00586691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GHEA Grapalat" w:eastAsia="MS Mincho" w:hAnsi="GHEA Grapalat" w:cs="Tahoma"/>
                <w:sz w:val="24"/>
                <w:szCs w:val="24"/>
                <w:lang w:val="hy-AM"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 w:cs="Arial Armenian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«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նվիրաբերելու մասին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»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ընդունումն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այլ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իրավական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ակտերում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փոփոխություններ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և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լրացումներ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կատարելու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անհրաժեշտություն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չի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առաջացնում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>: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1D6668" w:rsidRDefault="001E13DC" w:rsidP="00586691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GHEA Grapalat" w:eastAsia="MS Mincho" w:hAnsi="GHEA Grapalat" w:cs="Tahoma"/>
                <w:sz w:val="24"/>
                <w:szCs w:val="24"/>
                <w:lang w:val="hy-AM" w:eastAsia="ru-RU"/>
              </w:rPr>
            </w:pPr>
            <w:r w:rsidRPr="001D6668">
              <w:rPr>
                <w:rFonts w:ascii="GHEA Grapalat" w:eastAsia="MS Mincho" w:hAnsi="GHEA Grapalat" w:cs="Tahoma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spacing w:after="0" w:line="360" w:lineRule="auto"/>
              <w:jc w:val="both"/>
              <w:rPr>
                <w:rFonts w:ascii="GHEA Grapalat" w:eastAsia="MS Mincho" w:hAnsi="GHEA Grapalat" w:cs="Arial Armenian"/>
                <w:b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Միջազգային պայմանագրերով ստանձնած պարտավորություններին</w:t>
            </w:r>
            <w:r w:rsidRPr="0037550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«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նվիրաբերելու մասին</w:t>
            </w:r>
            <w:r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>նախագծի համապատասխանության մասին</w:t>
            </w:r>
            <w:r w:rsidRPr="00375507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 </w:t>
            </w:r>
          </w:p>
        </w:tc>
      </w:tr>
      <w:tr w:rsidR="001E13DC" w:rsidRPr="005F151A" w:rsidTr="00A116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GHEA Grapalat" w:eastAsia="MS Mincho" w:hAnsi="GHEA Grapalat" w:cs="Tahoma"/>
                <w:sz w:val="24"/>
                <w:szCs w:val="24"/>
                <w:lang w:val="hy-AM" w:eastAsia="ru-RU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375507" w:rsidRDefault="001E13DC" w:rsidP="00586691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GHEA Grapalat" w:eastAsia="MS Mincho" w:hAnsi="GHEA Grapalat" w:cs="Tahoma"/>
                <w:sz w:val="24"/>
                <w:szCs w:val="24"/>
                <w:lang w:val="hy-AM" w:eastAsia="ru-RU"/>
              </w:rPr>
            </w:pPr>
            <w:r w:rsidRPr="0037550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Գույք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նվիրաբերելու մասին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>»</w:t>
            </w:r>
            <w:r w:rsidRPr="00375507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նախագիծը չի հակասում Հայաստանի</w:t>
            </w:r>
            <w:r w:rsidRPr="00375507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375507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 միջազգային պայմանագրերով ստանձնած պարտավորություններին:</w:t>
            </w:r>
          </w:p>
        </w:tc>
      </w:tr>
    </w:tbl>
    <w:p w:rsidR="00EE43DC" w:rsidRPr="001E13DC" w:rsidRDefault="00EE43DC">
      <w:pPr>
        <w:rPr>
          <w:lang w:val="hy-AM"/>
        </w:rPr>
      </w:pPr>
    </w:p>
    <w:sectPr w:rsidR="00EE43DC" w:rsidRPr="001E13DC" w:rsidSect="005F151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BE0"/>
    <w:multiLevelType w:val="hybridMultilevel"/>
    <w:tmpl w:val="4D3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F106F"/>
    <w:multiLevelType w:val="hybridMultilevel"/>
    <w:tmpl w:val="C1B6F396"/>
    <w:lvl w:ilvl="0" w:tplc="AF18DCD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13DC"/>
    <w:rsid w:val="000155BD"/>
    <w:rsid w:val="001E13DC"/>
    <w:rsid w:val="005F151A"/>
    <w:rsid w:val="005F2AB4"/>
    <w:rsid w:val="007F25E5"/>
    <w:rsid w:val="00811096"/>
    <w:rsid w:val="00984657"/>
    <w:rsid w:val="00A116EC"/>
    <w:rsid w:val="00B74754"/>
    <w:rsid w:val="00C30694"/>
    <w:rsid w:val="00E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1E13DC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1E13D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Mejlumyan</dc:creator>
  <cp:keywords/>
  <dc:description/>
  <cp:lastModifiedBy>Davit Mejlumyan</cp:lastModifiedBy>
  <cp:revision>6</cp:revision>
  <cp:lastPrinted>2022-04-13T06:58:00Z</cp:lastPrinted>
  <dcterms:created xsi:type="dcterms:W3CDTF">2022-01-04T12:10:00Z</dcterms:created>
  <dcterms:modified xsi:type="dcterms:W3CDTF">2022-05-19T10:20:00Z</dcterms:modified>
</cp:coreProperties>
</file>