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B53E" w14:textId="77777777" w:rsidR="00462F9D" w:rsidRPr="00DC4042" w:rsidRDefault="00462F9D" w:rsidP="00F80A36">
      <w:pPr>
        <w:spacing w:after="0" w:line="360" w:lineRule="auto"/>
        <w:contextualSpacing/>
        <w:jc w:val="center"/>
        <w:rPr>
          <w:rFonts w:ascii="GHEA Grapalat" w:eastAsia="GHEA Grapalat" w:hAnsi="GHEA Grapalat" w:cs="GHEA Grapalat"/>
          <w:b/>
          <w:sz w:val="24"/>
          <w:szCs w:val="24"/>
          <w:lang w:val="hy-AM"/>
        </w:rPr>
      </w:pPr>
      <w:r w:rsidRPr="00DC4042">
        <w:rPr>
          <w:rFonts w:ascii="GHEA Grapalat" w:eastAsia="GHEA Grapalat" w:hAnsi="GHEA Grapalat" w:cs="GHEA Grapalat"/>
          <w:b/>
          <w:sz w:val="24"/>
          <w:szCs w:val="24"/>
          <w:lang w:val="hy-AM"/>
        </w:rPr>
        <w:t>ՀԻՄՆԱՎՈՐՈՒՄ</w:t>
      </w:r>
    </w:p>
    <w:p w14:paraId="2B13F879" w14:textId="617DBCD9" w:rsidR="00462F9D" w:rsidRPr="00DC4042" w:rsidRDefault="00462F9D" w:rsidP="00F80A36">
      <w:pPr>
        <w:spacing w:after="0" w:line="360" w:lineRule="auto"/>
        <w:contextualSpacing/>
        <w:jc w:val="center"/>
        <w:rPr>
          <w:rFonts w:ascii="GHEA Grapalat" w:eastAsia="GHEA Grapalat" w:hAnsi="GHEA Grapalat" w:cs="GHEA Grapalat"/>
          <w:b/>
          <w:sz w:val="24"/>
          <w:szCs w:val="24"/>
          <w:lang w:val="hy-AM"/>
        </w:rPr>
      </w:pPr>
      <w:r w:rsidRPr="00DC4042">
        <w:rPr>
          <w:rFonts w:ascii="GHEA Grapalat" w:eastAsia="GHEA Grapalat" w:hAnsi="GHEA Grapalat" w:cs="GHEA Grapalat"/>
          <w:b/>
          <w:sz w:val="24"/>
          <w:szCs w:val="24"/>
          <w:lang w:val="hy-AM"/>
        </w:rPr>
        <w:t>«ՀԱՆՐԱՅԻՆ ԾԱՌԱՅՈՒԹՅԱՆ ՄԱՍԻՆ» ՕՐԵՆՔՈՒՄ ՓՈՓՈԽՈՒԹՅՈՒՆՆԵՐ ԵՎ ԼՐԱՑՈՒՄՆԵՐ ԿԱՏԱՐԵԼՈՒ ՄԱՍԻՆ» ՕՐԵՆՔԻ ԵՎ ՀԱՐԱԿԻՑ ՕՐԵՆՔՆԵՐԻ ՆԱԽԱԳԾԵՐԻ</w:t>
      </w:r>
    </w:p>
    <w:p w14:paraId="382FF1A1" w14:textId="77777777" w:rsidR="00462F9D" w:rsidRPr="00DC4042" w:rsidRDefault="00462F9D" w:rsidP="004A04CC">
      <w:pPr>
        <w:spacing w:after="0" w:line="360" w:lineRule="auto"/>
        <w:ind w:firstLine="720"/>
        <w:contextualSpacing/>
        <w:jc w:val="both"/>
        <w:rPr>
          <w:rFonts w:ascii="GHEA Grapalat" w:eastAsia="GHEA Grapalat" w:hAnsi="GHEA Grapalat" w:cs="GHEA Grapalat"/>
          <w:b/>
          <w:sz w:val="24"/>
          <w:szCs w:val="24"/>
          <w:lang w:val="hy-AM"/>
        </w:rPr>
      </w:pPr>
    </w:p>
    <w:p w14:paraId="225585C2" w14:textId="77777777" w:rsidR="00462F9D" w:rsidRPr="00DC4042" w:rsidRDefault="00462F9D" w:rsidP="00DF370F">
      <w:pPr>
        <w:pStyle w:val="Heading1"/>
        <w:spacing w:line="360" w:lineRule="auto"/>
        <w:ind w:firstLine="720"/>
        <w:contextualSpacing/>
        <w:jc w:val="both"/>
        <w:rPr>
          <w:rFonts w:ascii="GHEA Grapalat" w:eastAsia="GHEA Grapalat" w:hAnsi="GHEA Grapalat"/>
          <w:b/>
          <w:bCs/>
          <w:color w:val="000000" w:themeColor="text1"/>
          <w:sz w:val="24"/>
          <w:szCs w:val="24"/>
          <w:lang w:val="hy-AM"/>
        </w:rPr>
      </w:pPr>
      <w:r w:rsidRPr="00DC4042">
        <w:rPr>
          <w:rFonts w:ascii="GHEA Grapalat" w:eastAsia="GHEA Grapalat" w:hAnsi="GHEA Grapalat"/>
          <w:b/>
          <w:bCs/>
          <w:color w:val="000000" w:themeColor="text1"/>
          <w:sz w:val="24"/>
          <w:szCs w:val="24"/>
          <w:lang w:val="hy-AM"/>
        </w:rPr>
        <w:t>1. Իրավական ակտի ընդունման անհրաժեշտությունը</w:t>
      </w:r>
    </w:p>
    <w:p w14:paraId="45F915E7" w14:textId="41FE211D" w:rsidR="00462F9D" w:rsidRPr="00DC4042" w:rsidRDefault="007E562F" w:rsidP="004A04CC">
      <w:pPr>
        <w:pBdr>
          <w:top w:val="nil"/>
          <w:left w:val="nil"/>
          <w:bottom w:val="nil"/>
          <w:right w:val="nil"/>
          <w:between w:val="nil"/>
        </w:pBdr>
        <w:shd w:val="clear" w:color="auto" w:fill="FFFFFF"/>
        <w:spacing w:after="0" w:line="360" w:lineRule="auto"/>
        <w:ind w:firstLine="720"/>
        <w:contextualSpacing/>
        <w:jc w:val="both"/>
        <w:rPr>
          <w:rFonts w:ascii="GHEA Grapalat" w:eastAsia="GHEA Grapalat" w:hAnsi="GHEA Grapalat" w:cs="GHEA Grapalat"/>
          <w:color w:val="000000"/>
          <w:sz w:val="24"/>
          <w:szCs w:val="24"/>
          <w:lang w:val="hy-AM"/>
        </w:rPr>
      </w:pPr>
      <w:r w:rsidRPr="00DC4042">
        <w:rPr>
          <w:rFonts w:ascii="GHEA Grapalat" w:eastAsia="GHEA Grapalat" w:hAnsi="GHEA Grapalat" w:cs="GHEA Grapalat"/>
          <w:color w:val="000000"/>
          <w:sz w:val="24"/>
          <w:szCs w:val="24"/>
          <w:lang w:val="hy-AM"/>
        </w:rPr>
        <w:t xml:space="preserve">Հանրային ծառայության մասին օրենքում փոփոխություններ և լրացումներ կատարելու մասին օրենքի նախագծի և հարակից իրավական ակտերի նախագծերի (այսուհետ նաև՝ Նախագծերի փաթեթ) ընդունման անհրաժեշտությունը պայմանավորված է Հայաստանի Հանրապետության օրենսդրությամբ նախատեսված՝ հանրային պաշտոն զբաղեցնող անձանց և հանրային ծառայողների շահերի բախման, անհամատեղելիության պահանջների և նվերների </w:t>
      </w:r>
      <w:r w:rsidR="00911A3E" w:rsidRPr="00DC4042">
        <w:rPr>
          <w:rFonts w:ascii="GHEA Grapalat" w:eastAsia="GHEA Grapalat" w:hAnsi="GHEA Grapalat" w:cs="GHEA Grapalat"/>
          <w:color w:val="000000"/>
          <w:sz w:val="24"/>
          <w:szCs w:val="24"/>
          <w:lang w:val="hy-AM"/>
        </w:rPr>
        <w:t xml:space="preserve">ինստիտուտի </w:t>
      </w:r>
      <w:r w:rsidRPr="00DC4042">
        <w:rPr>
          <w:rFonts w:ascii="GHEA Grapalat" w:eastAsia="GHEA Grapalat" w:hAnsi="GHEA Grapalat" w:cs="GHEA Grapalat"/>
          <w:color w:val="000000"/>
          <w:sz w:val="24"/>
          <w:szCs w:val="24"/>
          <w:lang w:val="hy-AM"/>
        </w:rPr>
        <w:t xml:space="preserve">վերաբերյալ </w:t>
      </w:r>
      <w:r w:rsidR="00911A3E" w:rsidRPr="00DC4042">
        <w:rPr>
          <w:rFonts w:ascii="GHEA Grapalat" w:eastAsia="GHEA Grapalat" w:hAnsi="GHEA Grapalat" w:cs="GHEA Grapalat"/>
          <w:color w:val="000000"/>
          <w:sz w:val="24"/>
          <w:szCs w:val="24"/>
          <w:lang w:val="hy-AM"/>
        </w:rPr>
        <w:t xml:space="preserve">առկա </w:t>
      </w:r>
      <w:r w:rsidRPr="00DC4042">
        <w:rPr>
          <w:rFonts w:ascii="GHEA Grapalat" w:eastAsia="GHEA Grapalat" w:hAnsi="GHEA Grapalat" w:cs="GHEA Grapalat"/>
          <w:color w:val="000000"/>
          <w:sz w:val="24"/>
          <w:szCs w:val="24"/>
          <w:lang w:val="hy-AM"/>
        </w:rPr>
        <w:t>օրենսդրական կարգավորումների կատարելագործման, ինչպես նաև</w:t>
      </w:r>
      <w:r w:rsidR="00B26180" w:rsidRPr="00DC4042">
        <w:rPr>
          <w:rFonts w:ascii="GHEA Grapalat" w:eastAsia="GHEA Grapalat" w:hAnsi="GHEA Grapalat" w:cs="GHEA Grapalat"/>
          <w:color w:val="000000"/>
          <w:sz w:val="24"/>
          <w:szCs w:val="24"/>
          <w:lang w:val="hy-AM"/>
        </w:rPr>
        <w:t xml:space="preserve"> ՀՀ ստանձնած</w:t>
      </w:r>
      <w:r w:rsidRPr="00DC4042">
        <w:rPr>
          <w:rFonts w:ascii="GHEA Grapalat" w:eastAsia="GHEA Grapalat" w:hAnsi="GHEA Grapalat" w:cs="GHEA Grapalat"/>
          <w:color w:val="000000"/>
          <w:sz w:val="24"/>
          <w:szCs w:val="24"/>
          <w:lang w:val="hy-AM"/>
        </w:rPr>
        <w:t xml:space="preserve"> միջազգային պարտավորությունների </w:t>
      </w:r>
      <w:r w:rsidR="00B26180" w:rsidRPr="00DC4042">
        <w:rPr>
          <w:rFonts w:ascii="GHEA Grapalat" w:eastAsia="GHEA Grapalat" w:hAnsi="GHEA Grapalat" w:cs="GHEA Grapalat"/>
          <w:color w:val="000000"/>
          <w:sz w:val="24"/>
          <w:szCs w:val="24"/>
          <w:lang w:val="hy-AM"/>
        </w:rPr>
        <w:t>(</w:t>
      </w:r>
      <w:r w:rsidR="00911A3E" w:rsidRPr="00DC4042">
        <w:rPr>
          <w:rFonts w:ascii="GHEA Grapalat" w:eastAsia="GHEA Grapalat" w:hAnsi="GHEA Grapalat" w:cs="GHEA Grapalat"/>
          <w:color w:val="000000"/>
          <w:sz w:val="24"/>
          <w:szCs w:val="24"/>
          <w:lang w:val="hy-AM"/>
        </w:rPr>
        <w:t xml:space="preserve">ի թիվս այլոց՝ </w:t>
      </w:r>
      <w:r w:rsidR="00462F9D" w:rsidRPr="00DC4042">
        <w:rPr>
          <w:rFonts w:ascii="GHEA Grapalat" w:eastAsia="GHEA Grapalat" w:hAnsi="GHEA Grapalat" w:cs="GHEA Grapalat"/>
          <w:color w:val="000000"/>
          <w:sz w:val="24"/>
          <w:szCs w:val="24"/>
          <w:lang w:val="hy-AM"/>
        </w:rPr>
        <w:t>Եվրոպայի խորհրդի Կոռուպցիայի դեմ պայքարող պետությունների խմբի (ԳՐԵԿՈ) «Կոռուպցիայի կանխարգելումը պատգամավորների, դատավորների և դատախազների շրջանում» վերտառությամբ 2016 թվականի փետրվարի 25-ին հրապարակված թիվ Greco Eval IV Rep (2015) 1E</w:t>
      </w:r>
      <w:r w:rsidR="00462F9D" w:rsidRPr="00DC4042">
        <w:rPr>
          <w:rFonts w:ascii="GHEA Grapalat" w:eastAsia="GHEA Grapalat" w:hAnsi="GHEA Grapalat" w:cs="GHEA Grapalat"/>
          <w:color w:val="000000"/>
          <w:sz w:val="24"/>
          <w:szCs w:val="24"/>
          <w:vertAlign w:val="superscript"/>
          <w:lang w:val="hy-AM"/>
        </w:rPr>
        <w:footnoteReference w:id="1"/>
      </w:r>
      <w:r w:rsidR="00462F9D" w:rsidRPr="00DC4042">
        <w:rPr>
          <w:rFonts w:ascii="GHEA Grapalat" w:eastAsia="GHEA Grapalat" w:hAnsi="GHEA Grapalat" w:cs="GHEA Grapalat"/>
          <w:color w:val="000000"/>
          <w:sz w:val="24"/>
          <w:szCs w:val="24"/>
          <w:lang w:val="hy-AM"/>
        </w:rPr>
        <w:t xml:space="preserve"> (գնահատման զեկույց) և</w:t>
      </w:r>
      <w:r w:rsidR="00462F9D" w:rsidRPr="00DC4042">
        <w:rPr>
          <w:rFonts w:ascii="GHEA Grapalat" w:eastAsia="GHEA Grapalat" w:hAnsi="GHEA Grapalat" w:cs="GHEA Grapalat"/>
          <w:b/>
          <w:color w:val="000000"/>
          <w:sz w:val="24"/>
          <w:szCs w:val="24"/>
          <w:lang w:val="hy-AM"/>
        </w:rPr>
        <w:t xml:space="preserve"> </w:t>
      </w:r>
      <w:r w:rsidR="00462F9D" w:rsidRPr="00DC4042">
        <w:rPr>
          <w:rFonts w:ascii="GHEA Grapalat" w:eastAsia="GHEA Grapalat" w:hAnsi="GHEA Grapalat" w:cs="GHEA Grapalat"/>
          <w:color w:val="000000"/>
          <w:sz w:val="24"/>
          <w:szCs w:val="24"/>
          <w:lang w:val="hy-AM"/>
        </w:rPr>
        <w:t>2021 թվականի սեպտեմբերի 22-ին հրապարակված թիվ GrecoRC4(2021)15</w:t>
      </w:r>
      <w:r w:rsidR="00462F9D" w:rsidRPr="00DC4042">
        <w:rPr>
          <w:rFonts w:ascii="GHEA Grapalat" w:eastAsia="GHEA Grapalat" w:hAnsi="GHEA Grapalat" w:cs="GHEA Grapalat"/>
          <w:b/>
          <w:color w:val="000000"/>
          <w:sz w:val="24"/>
          <w:szCs w:val="24"/>
          <w:vertAlign w:val="superscript"/>
          <w:lang w:val="hy-AM"/>
        </w:rPr>
        <w:footnoteReference w:id="2"/>
      </w:r>
      <w:r w:rsidR="00462F9D" w:rsidRPr="00DC4042">
        <w:rPr>
          <w:rFonts w:ascii="GHEA Grapalat" w:eastAsia="GHEA Grapalat" w:hAnsi="GHEA Grapalat" w:cs="GHEA Grapalat"/>
          <w:color w:val="000000"/>
          <w:sz w:val="24"/>
          <w:szCs w:val="24"/>
          <w:lang w:val="hy-AM"/>
        </w:rPr>
        <w:t xml:space="preserve"> (համապատասխանության զեկույց) զեկույցների</w:t>
      </w:r>
      <w:r w:rsidR="004606FD" w:rsidRPr="00DC4042">
        <w:rPr>
          <w:rFonts w:ascii="GHEA Grapalat" w:eastAsia="GHEA Grapalat" w:hAnsi="GHEA Grapalat" w:cs="GHEA Grapalat"/>
          <w:color w:val="000000"/>
          <w:sz w:val="24"/>
          <w:szCs w:val="24"/>
          <w:lang w:val="hy-AM"/>
        </w:rPr>
        <w:t xml:space="preserve"> հանձնարարականներ</w:t>
      </w:r>
      <w:r w:rsidR="00B26180" w:rsidRPr="00DC4042">
        <w:rPr>
          <w:rFonts w:ascii="GHEA Grapalat" w:eastAsia="GHEA Grapalat" w:hAnsi="GHEA Grapalat" w:cs="GHEA Grapalat"/>
          <w:color w:val="000000"/>
          <w:sz w:val="24"/>
          <w:szCs w:val="24"/>
          <w:lang w:val="hy-AM"/>
        </w:rPr>
        <w:t xml:space="preserve">) </w:t>
      </w:r>
      <w:r w:rsidR="004606FD" w:rsidRPr="00DC4042">
        <w:rPr>
          <w:rFonts w:ascii="GHEA Grapalat" w:eastAsia="GHEA Grapalat" w:hAnsi="GHEA Grapalat" w:cs="GHEA Grapalat"/>
          <w:color w:val="000000"/>
          <w:sz w:val="24"/>
          <w:szCs w:val="24"/>
          <w:lang w:val="hy-AM"/>
        </w:rPr>
        <w:t>կատարումն ապահովելու</w:t>
      </w:r>
      <w:r w:rsidR="00B26180" w:rsidRPr="00DC4042">
        <w:rPr>
          <w:rFonts w:ascii="GHEA Grapalat" w:eastAsia="GHEA Grapalat" w:hAnsi="GHEA Grapalat" w:cs="GHEA Grapalat"/>
          <w:color w:val="000000"/>
          <w:sz w:val="24"/>
          <w:szCs w:val="24"/>
          <w:lang w:val="hy-AM"/>
        </w:rPr>
        <w:t xml:space="preserve"> անհրաժեշտությամբ</w:t>
      </w:r>
      <w:r w:rsidR="00462F9D" w:rsidRPr="00DC4042">
        <w:rPr>
          <w:rFonts w:ascii="GHEA Grapalat" w:eastAsia="GHEA Grapalat" w:hAnsi="GHEA Grapalat" w:cs="GHEA Grapalat"/>
          <w:color w:val="000000"/>
          <w:sz w:val="24"/>
          <w:szCs w:val="24"/>
          <w:lang w:val="hy-AM"/>
        </w:rPr>
        <w:t>։</w:t>
      </w:r>
    </w:p>
    <w:p w14:paraId="4D49384A" w14:textId="0D015829" w:rsidR="008A071E" w:rsidRPr="00DC4042" w:rsidRDefault="008A071E" w:rsidP="004A04CC">
      <w:pPr>
        <w:pBdr>
          <w:top w:val="nil"/>
          <w:left w:val="nil"/>
          <w:bottom w:val="nil"/>
          <w:right w:val="nil"/>
          <w:between w:val="nil"/>
        </w:pBdr>
        <w:shd w:val="clear" w:color="auto" w:fill="FFFFFF"/>
        <w:spacing w:after="0" w:line="360" w:lineRule="auto"/>
        <w:ind w:firstLine="720"/>
        <w:contextualSpacing/>
        <w:jc w:val="both"/>
        <w:rPr>
          <w:rFonts w:ascii="GHEA Grapalat" w:eastAsia="GHEA Grapalat" w:hAnsi="GHEA Grapalat" w:cs="GHEA Grapalat"/>
          <w:color w:val="000000"/>
          <w:sz w:val="24"/>
          <w:szCs w:val="24"/>
          <w:lang w:val="hy-AM"/>
        </w:rPr>
      </w:pPr>
    </w:p>
    <w:p w14:paraId="1C6BC16B" w14:textId="63CA49C9" w:rsidR="008A071E" w:rsidRPr="00DC4042" w:rsidRDefault="008A071E" w:rsidP="00DF370F">
      <w:pPr>
        <w:pStyle w:val="Heading1"/>
        <w:spacing w:line="360" w:lineRule="auto"/>
        <w:ind w:firstLine="720"/>
        <w:contextualSpacing/>
        <w:jc w:val="both"/>
        <w:rPr>
          <w:rFonts w:ascii="GHEA Grapalat" w:eastAsia="GHEA Grapalat" w:hAnsi="GHEA Grapalat" w:cs="GHEA Grapalat"/>
          <w:b/>
          <w:bCs/>
          <w:color w:val="000000"/>
          <w:sz w:val="24"/>
          <w:szCs w:val="24"/>
          <w:lang w:val="hy-AM"/>
        </w:rPr>
      </w:pPr>
      <w:r w:rsidRPr="00DC4042">
        <w:rPr>
          <w:rFonts w:ascii="GHEA Grapalat" w:eastAsia="GHEA Grapalat" w:hAnsi="GHEA Grapalat" w:cs="GHEA Grapalat"/>
          <w:b/>
          <w:bCs/>
          <w:color w:val="000000"/>
          <w:sz w:val="24"/>
          <w:szCs w:val="24"/>
          <w:lang w:val="hy-AM"/>
        </w:rPr>
        <w:lastRenderedPageBreak/>
        <w:t>2.</w:t>
      </w:r>
      <w:r w:rsidRPr="00DC4042">
        <w:rPr>
          <w:rFonts w:ascii="GHEA Grapalat" w:eastAsia="GHEA Grapalat" w:hAnsi="GHEA Grapalat" w:cs="GHEA Grapalat"/>
          <w:b/>
          <w:bCs/>
          <w:color w:val="000000"/>
          <w:sz w:val="24"/>
          <w:szCs w:val="24"/>
          <w:lang w:val="hy-AM"/>
        </w:rPr>
        <w:tab/>
        <w:t>Կապը ռազմավարական փաստաթղթերի հետ. Հայաստանի վերափոխման ռազմավարություն 2050, Կառավարության 2021-2026թթ. ծրագիր, Հայաստանի Հանրապետության հակակոռուպցիոն ռազմավարության և դրա իրականացման 2019-2022 թվականների միջոցառումների ծրագիր</w:t>
      </w:r>
    </w:p>
    <w:p w14:paraId="6CE7DB71" w14:textId="6F371EE5" w:rsidR="008A071E" w:rsidRPr="00DC4042" w:rsidRDefault="008A071E" w:rsidP="004A04CC">
      <w:pPr>
        <w:pBdr>
          <w:top w:val="nil"/>
          <w:left w:val="nil"/>
          <w:bottom w:val="nil"/>
          <w:right w:val="nil"/>
          <w:between w:val="nil"/>
        </w:pBdr>
        <w:shd w:val="clear" w:color="auto" w:fill="FFFFFF"/>
        <w:spacing w:after="0" w:line="360" w:lineRule="auto"/>
        <w:ind w:firstLine="720"/>
        <w:contextualSpacing/>
        <w:jc w:val="both"/>
        <w:rPr>
          <w:rFonts w:ascii="GHEA Grapalat" w:eastAsia="GHEA Grapalat" w:hAnsi="GHEA Grapalat" w:cs="GHEA Grapalat"/>
          <w:color w:val="000000"/>
          <w:sz w:val="24"/>
          <w:szCs w:val="24"/>
          <w:lang w:val="hy-AM"/>
        </w:rPr>
      </w:pPr>
      <w:r w:rsidRPr="00DC4042">
        <w:rPr>
          <w:rFonts w:ascii="GHEA Grapalat" w:eastAsia="GHEA Grapalat" w:hAnsi="GHEA Grapalat" w:cs="GHEA Grapalat"/>
          <w:color w:val="000000"/>
          <w:sz w:val="24"/>
          <w:szCs w:val="24"/>
          <w:lang w:val="hy-AM"/>
        </w:rPr>
        <w:t>Նախագծերի ընդունման անհրաժեշտությունը պայմանավորված է Հայաստանի վերափոխման ռազմավարությամբ (2050), որի հիմնական նպատակներից մեկը պետական մարﬕնների գործունեությունը ավելի թափանցիկ, արդյունավետ, վերահսկելի և մասնակցային, ինչպես նաև, բարեվարքության նորﬔրին համապատասխանող, պատասխանատու և արհեստավարժ հանրային ծառայողներ ունենալն է։ Նախագծերի ընդունման անհրաժեշտությունը պայմանավորված է նաև Հայաստանի Հանրապետության կառավարության 2019 թվականի հոկտեմբերի 3-ի «Հայաստանի Հանրապետության հակակոռուպցիոն ռազմավարությունը և դրա իրականացման 2019-2022 թվականների միջոցառումների ծրագիրը հաստատելու մասին» N 1332-Ն որոշման (այսուհետ՝ Հակակոռուպցիոն ռազմավարություն) միջոցառումների ծրագրի 18-րդ</w:t>
      </w:r>
      <w:r w:rsidR="00E040E7" w:rsidRPr="00DC4042">
        <w:rPr>
          <w:rFonts w:ascii="GHEA Grapalat" w:eastAsia="GHEA Grapalat" w:hAnsi="GHEA Grapalat" w:cs="GHEA Grapalat"/>
          <w:color w:val="000000"/>
          <w:sz w:val="24"/>
          <w:szCs w:val="24"/>
          <w:lang w:val="hy-AM"/>
        </w:rPr>
        <w:t xml:space="preserve"> և 19-րդ</w:t>
      </w:r>
      <w:r w:rsidRPr="00DC4042">
        <w:rPr>
          <w:rFonts w:ascii="GHEA Grapalat" w:eastAsia="GHEA Grapalat" w:hAnsi="GHEA Grapalat" w:cs="GHEA Grapalat"/>
          <w:color w:val="000000"/>
          <w:sz w:val="24"/>
          <w:szCs w:val="24"/>
          <w:lang w:val="hy-AM"/>
        </w:rPr>
        <w:t xml:space="preserve"> կետ</w:t>
      </w:r>
      <w:r w:rsidR="00E040E7" w:rsidRPr="00DC4042">
        <w:rPr>
          <w:rFonts w:ascii="GHEA Grapalat" w:eastAsia="GHEA Grapalat" w:hAnsi="GHEA Grapalat" w:cs="GHEA Grapalat"/>
          <w:color w:val="000000"/>
          <w:sz w:val="24"/>
          <w:szCs w:val="24"/>
          <w:lang w:val="hy-AM"/>
        </w:rPr>
        <w:t>եր</w:t>
      </w:r>
      <w:r w:rsidRPr="00DC4042">
        <w:rPr>
          <w:rFonts w:ascii="GHEA Grapalat" w:eastAsia="GHEA Grapalat" w:hAnsi="GHEA Grapalat" w:cs="GHEA Grapalat"/>
          <w:color w:val="000000"/>
          <w:sz w:val="24"/>
          <w:szCs w:val="24"/>
          <w:lang w:val="hy-AM"/>
        </w:rPr>
        <w:t>ի կարգավոր</w:t>
      </w:r>
      <w:r w:rsidR="00E040E7" w:rsidRPr="00DC4042">
        <w:rPr>
          <w:rFonts w:ascii="GHEA Grapalat" w:eastAsia="GHEA Grapalat" w:hAnsi="GHEA Grapalat" w:cs="GHEA Grapalat"/>
          <w:color w:val="000000"/>
          <w:sz w:val="24"/>
          <w:szCs w:val="24"/>
          <w:lang w:val="hy-AM"/>
        </w:rPr>
        <w:t>ումներով</w:t>
      </w:r>
      <w:r w:rsidRPr="00DC4042">
        <w:rPr>
          <w:rFonts w:ascii="GHEA Grapalat" w:eastAsia="GHEA Grapalat" w:hAnsi="GHEA Grapalat" w:cs="GHEA Grapalat"/>
          <w:color w:val="000000"/>
          <w:sz w:val="24"/>
          <w:szCs w:val="24"/>
          <w:lang w:val="hy-AM"/>
        </w:rPr>
        <w:t>, որո</w:t>
      </w:r>
      <w:r w:rsidR="00FB1EE6" w:rsidRPr="00DC4042">
        <w:rPr>
          <w:rFonts w:ascii="GHEA Grapalat" w:eastAsia="GHEA Grapalat" w:hAnsi="GHEA Grapalat" w:cs="GHEA Grapalat"/>
          <w:color w:val="000000"/>
          <w:sz w:val="24"/>
          <w:szCs w:val="24"/>
          <w:lang w:val="hy-AM"/>
        </w:rPr>
        <w:t>նցով</w:t>
      </w:r>
      <w:r w:rsidRPr="00DC4042">
        <w:rPr>
          <w:rFonts w:ascii="GHEA Grapalat" w:eastAsia="GHEA Grapalat" w:hAnsi="GHEA Grapalat" w:cs="GHEA Grapalat"/>
          <w:color w:val="000000"/>
          <w:sz w:val="24"/>
          <w:szCs w:val="24"/>
          <w:lang w:val="hy-AM"/>
        </w:rPr>
        <w:t xml:space="preserve"> նախատեսվում է</w:t>
      </w:r>
      <w:r w:rsidR="00FB1EE6" w:rsidRPr="00DC4042">
        <w:rPr>
          <w:rFonts w:ascii="GHEA Grapalat" w:eastAsia="GHEA Grapalat" w:hAnsi="GHEA Grapalat" w:cs="GHEA Grapalat"/>
          <w:color w:val="000000"/>
          <w:sz w:val="24"/>
          <w:szCs w:val="24"/>
          <w:lang w:val="hy-AM"/>
        </w:rPr>
        <w:t xml:space="preserve"> համապատասխանաբար</w:t>
      </w:r>
      <w:r w:rsidRPr="00DC4042">
        <w:rPr>
          <w:rFonts w:ascii="GHEA Grapalat" w:eastAsia="GHEA Grapalat" w:hAnsi="GHEA Grapalat" w:cs="GHEA Grapalat"/>
          <w:color w:val="000000"/>
          <w:sz w:val="24"/>
          <w:szCs w:val="24"/>
          <w:lang w:val="hy-AM"/>
        </w:rPr>
        <w:t xml:space="preserve"> հստակեցնել հանրային պաշտոն զբաղեցնող անձանց և հանրային ծառայողների անհամատեղելիության պահանջները</w:t>
      </w:r>
      <w:r w:rsidR="00FB1EE6" w:rsidRPr="00DC4042">
        <w:rPr>
          <w:rFonts w:ascii="GHEA Grapalat" w:eastAsia="GHEA Grapalat" w:hAnsi="GHEA Grapalat" w:cs="GHEA Grapalat"/>
          <w:color w:val="000000"/>
          <w:sz w:val="24"/>
          <w:szCs w:val="24"/>
          <w:lang w:val="hy-AM"/>
        </w:rPr>
        <w:t>,</w:t>
      </w:r>
      <w:r w:rsidRPr="00DC4042">
        <w:rPr>
          <w:rFonts w:ascii="GHEA Grapalat" w:eastAsia="GHEA Grapalat" w:hAnsi="GHEA Grapalat" w:cs="GHEA Grapalat"/>
          <w:color w:val="000000"/>
          <w:sz w:val="24"/>
          <w:szCs w:val="24"/>
          <w:lang w:val="hy-AM"/>
        </w:rPr>
        <w:t xml:space="preserve"> հանրային պաշտոն զբաղեցնող անձանց և հանրային ծառայողների՝ առևտրային կազմակերպությունների կանոնադրական կապիտալում մասնակցություն (բաժնեմաս, բաժնետոմս, փայ) ունենալու դեպքում այն հավատարմագրային կառավարման հանձնելու մեխանիզմները</w:t>
      </w:r>
      <w:r w:rsidR="00FB1EE6" w:rsidRPr="00DC4042">
        <w:rPr>
          <w:rFonts w:ascii="GHEA Grapalat" w:eastAsia="GHEA Grapalat" w:hAnsi="GHEA Grapalat" w:cs="GHEA Grapalat"/>
          <w:color w:val="000000"/>
          <w:sz w:val="24"/>
          <w:szCs w:val="24"/>
          <w:lang w:val="hy-AM"/>
        </w:rPr>
        <w:t xml:space="preserve"> և կատարելագործել նվերների ինստիտուտը</w:t>
      </w:r>
      <w:r w:rsidRPr="00DC4042">
        <w:rPr>
          <w:rFonts w:ascii="GHEA Grapalat" w:eastAsia="GHEA Grapalat" w:hAnsi="GHEA Grapalat" w:cs="GHEA Grapalat"/>
          <w:color w:val="000000"/>
          <w:sz w:val="24"/>
          <w:szCs w:val="24"/>
          <w:lang w:val="hy-AM"/>
        </w:rPr>
        <w:t>:</w:t>
      </w:r>
    </w:p>
    <w:p w14:paraId="079FD83E" w14:textId="22EDF1C0" w:rsidR="008A071E" w:rsidRPr="00DC4042" w:rsidRDefault="008A071E" w:rsidP="004A04CC">
      <w:pPr>
        <w:pBdr>
          <w:top w:val="nil"/>
          <w:left w:val="nil"/>
          <w:bottom w:val="nil"/>
          <w:right w:val="nil"/>
          <w:between w:val="nil"/>
        </w:pBdr>
        <w:shd w:val="clear" w:color="auto" w:fill="FFFFFF"/>
        <w:spacing w:after="0" w:line="360" w:lineRule="auto"/>
        <w:ind w:firstLine="720"/>
        <w:contextualSpacing/>
        <w:jc w:val="both"/>
        <w:rPr>
          <w:rFonts w:ascii="GHEA Grapalat" w:eastAsia="GHEA Grapalat" w:hAnsi="GHEA Grapalat" w:cs="GHEA Grapalat"/>
          <w:color w:val="000000"/>
          <w:sz w:val="24"/>
          <w:szCs w:val="24"/>
          <w:lang w:val="hy-AM"/>
        </w:rPr>
      </w:pPr>
      <w:r w:rsidRPr="00DC4042">
        <w:rPr>
          <w:rFonts w:ascii="GHEA Grapalat" w:eastAsia="GHEA Grapalat" w:hAnsi="GHEA Grapalat" w:cs="GHEA Grapalat"/>
          <w:color w:val="000000"/>
          <w:sz w:val="24"/>
          <w:szCs w:val="24"/>
          <w:lang w:val="hy-AM"/>
        </w:rPr>
        <w:t xml:space="preserve">Միաժամանակ,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 1902-Լ որոշման հավելվածի 1-ի 16-րդ՝ Կոռուպցիայի դեմ պայքարը նպատակի 16.3-րդ միջոցառմամբ նախատեսվում է մշակել «Հանրային ծառայության մասին» </w:t>
      </w:r>
      <w:r w:rsidRPr="00DC4042">
        <w:rPr>
          <w:rFonts w:ascii="GHEA Grapalat" w:eastAsia="GHEA Grapalat" w:hAnsi="GHEA Grapalat" w:cs="GHEA Grapalat"/>
          <w:color w:val="000000"/>
          <w:sz w:val="24"/>
          <w:szCs w:val="24"/>
          <w:lang w:val="hy-AM"/>
        </w:rPr>
        <w:lastRenderedPageBreak/>
        <w:t>օրենքում (այսուհետ նաև՝ Օրենք) համապատասխան փոփոխություններ իրականացնելու վերաբերյալ նախագիծ, որն ուղղված կլինի միջազգային փորձի հիման վրա շահերի բախման, այլ սահմանափակումների վերաբերյալ կարգավորումների հստակեցմանը, ինչպես նաև անհամատեղելիության պահանջների վերաբերյալ օրենսդրական դրույթների կատարելագործմանը</w:t>
      </w:r>
      <w:r w:rsidR="00E34478" w:rsidRPr="00DC4042">
        <w:rPr>
          <w:rFonts w:ascii="GHEA Grapalat" w:eastAsia="GHEA Grapalat" w:hAnsi="GHEA Grapalat" w:cs="GHEA Grapalat"/>
          <w:color w:val="000000"/>
          <w:sz w:val="24"/>
          <w:szCs w:val="24"/>
          <w:lang w:val="hy-AM"/>
        </w:rPr>
        <w:t>, իսկ նույն նպատակի 16.4-րդ միջոցառմամբ նախատեսվում է հստակեցնել</w:t>
      </w:r>
      <w:r w:rsidR="00BE0D85" w:rsidRPr="00DC4042">
        <w:rPr>
          <w:rFonts w:ascii="GHEA Grapalat" w:eastAsia="GHEA Grapalat" w:hAnsi="GHEA Grapalat" w:cs="GHEA Grapalat"/>
          <w:color w:val="000000"/>
          <w:sz w:val="24"/>
          <w:szCs w:val="24"/>
          <w:lang w:val="hy-AM"/>
        </w:rPr>
        <w:t xml:space="preserve"> նվերներ ընդուն</w:t>
      </w:r>
      <w:r w:rsidR="00E34478" w:rsidRPr="00DC4042">
        <w:rPr>
          <w:rFonts w:ascii="GHEA Grapalat" w:eastAsia="GHEA Grapalat" w:hAnsi="GHEA Grapalat" w:cs="GHEA Grapalat"/>
          <w:color w:val="000000"/>
          <w:sz w:val="24"/>
          <w:szCs w:val="24"/>
          <w:lang w:val="hy-AM"/>
        </w:rPr>
        <w:t>ելու արգելքին առնչվող</w:t>
      </w:r>
      <w:r w:rsidR="00BE0D85" w:rsidRPr="00DC4042">
        <w:rPr>
          <w:rFonts w:ascii="GHEA Grapalat" w:eastAsia="GHEA Grapalat" w:hAnsi="GHEA Grapalat" w:cs="GHEA Grapalat"/>
          <w:color w:val="000000"/>
          <w:sz w:val="24"/>
          <w:szCs w:val="24"/>
          <w:lang w:val="hy-AM"/>
        </w:rPr>
        <w:t xml:space="preserve"> </w:t>
      </w:r>
      <w:r w:rsidR="00E34478" w:rsidRPr="00DC4042">
        <w:rPr>
          <w:rFonts w:ascii="GHEA Grapalat" w:eastAsia="GHEA Grapalat" w:hAnsi="GHEA Grapalat" w:cs="GHEA Grapalat"/>
          <w:color w:val="000000"/>
          <w:sz w:val="24"/>
          <w:szCs w:val="24"/>
          <w:lang w:val="hy-AM"/>
        </w:rPr>
        <w:t>կարգավորումները</w:t>
      </w:r>
      <w:r w:rsidR="00BE0D85" w:rsidRPr="00DC4042">
        <w:rPr>
          <w:rFonts w:ascii="GHEA Grapalat" w:eastAsia="GHEA Grapalat" w:hAnsi="GHEA Grapalat" w:cs="GHEA Grapalat"/>
          <w:color w:val="000000"/>
          <w:sz w:val="24"/>
          <w:szCs w:val="24"/>
          <w:lang w:val="hy-AM"/>
        </w:rPr>
        <w:t>,</w:t>
      </w:r>
      <w:r w:rsidR="00E34478" w:rsidRPr="00DC4042">
        <w:rPr>
          <w:rFonts w:ascii="GHEA Grapalat" w:eastAsia="GHEA Grapalat" w:hAnsi="GHEA Grapalat" w:cs="GHEA Grapalat"/>
          <w:color w:val="000000"/>
          <w:sz w:val="24"/>
          <w:szCs w:val="24"/>
          <w:lang w:val="hy-AM"/>
        </w:rPr>
        <w:t xml:space="preserve"> Կոռուպցիայի</w:t>
      </w:r>
      <w:r w:rsidR="00BE0D85" w:rsidRPr="00DC4042">
        <w:rPr>
          <w:rFonts w:ascii="GHEA Grapalat" w:eastAsia="GHEA Grapalat" w:hAnsi="GHEA Grapalat" w:cs="GHEA Grapalat"/>
          <w:color w:val="000000"/>
          <w:sz w:val="24"/>
          <w:szCs w:val="24"/>
          <w:lang w:val="hy-AM"/>
        </w:rPr>
        <w:t xml:space="preserve"> </w:t>
      </w:r>
      <w:r w:rsidR="00E34478" w:rsidRPr="00DC4042">
        <w:rPr>
          <w:rFonts w:ascii="GHEA Grapalat" w:eastAsia="GHEA Grapalat" w:hAnsi="GHEA Grapalat" w:cs="GHEA Grapalat"/>
          <w:color w:val="000000"/>
          <w:sz w:val="24"/>
          <w:szCs w:val="24"/>
          <w:lang w:val="hy-AM"/>
        </w:rPr>
        <w:t>կանխարգելման հանձնաժողովին</w:t>
      </w:r>
      <w:r w:rsidR="00BE0D85" w:rsidRPr="00DC4042">
        <w:rPr>
          <w:rFonts w:ascii="GHEA Grapalat" w:eastAsia="GHEA Grapalat" w:hAnsi="GHEA Grapalat" w:cs="GHEA Grapalat"/>
          <w:color w:val="000000"/>
          <w:sz w:val="24"/>
          <w:szCs w:val="24"/>
          <w:lang w:val="hy-AM"/>
        </w:rPr>
        <w:t xml:space="preserve"> </w:t>
      </w:r>
      <w:r w:rsidR="00E34478" w:rsidRPr="00DC4042">
        <w:rPr>
          <w:rFonts w:ascii="GHEA Grapalat" w:eastAsia="GHEA Grapalat" w:hAnsi="GHEA Grapalat" w:cs="GHEA Grapalat"/>
          <w:color w:val="000000"/>
          <w:sz w:val="24"/>
          <w:szCs w:val="24"/>
          <w:lang w:val="hy-AM"/>
        </w:rPr>
        <w:t>վերապահել նվերներ</w:t>
      </w:r>
      <w:r w:rsidR="00BE0D85" w:rsidRPr="00DC4042">
        <w:rPr>
          <w:rFonts w:ascii="GHEA Grapalat" w:eastAsia="GHEA Grapalat" w:hAnsi="GHEA Grapalat" w:cs="GHEA Grapalat"/>
          <w:color w:val="000000"/>
          <w:sz w:val="24"/>
          <w:szCs w:val="24"/>
          <w:lang w:val="hy-AM"/>
        </w:rPr>
        <w:t xml:space="preserve"> </w:t>
      </w:r>
      <w:r w:rsidR="00E34478" w:rsidRPr="00DC4042">
        <w:rPr>
          <w:rFonts w:ascii="GHEA Grapalat" w:eastAsia="GHEA Grapalat" w:hAnsi="GHEA Grapalat" w:cs="GHEA Grapalat"/>
          <w:color w:val="000000"/>
          <w:sz w:val="24"/>
          <w:szCs w:val="24"/>
          <w:lang w:val="hy-AM"/>
        </w:rPr>
        <w:t>ընդունելու արգելքի պահպանմանը</w:t>
      </w:r>
      <w:r w:rsidR="00BE0D85" w:rsidRPr="00DC4042">
        <w:rPr>
          <w:rFonts w:ascii="GHEA Grapalat" w:eastAsia="GHEA Grapalat" w:hAnsi="GHEA Grapalat" w:cs="GHEA Grapalat"/>
          <w:color w:val="000000"/>
          <w:sz w:val="24"/>
          <w:szCs w:val="24"/>
          <w:lang w:val="hy-AM"/>
        </w:rPr>
        <w:t xml:space="preserve"> </w:t>
      </w:r>
      <w:r w:rsidR="00E34478" w:rsidRPr="00DC4042">
        <w:rPr>
          <w:rFonts w:ascii="GHEA Grapalat" w:eastAsia="GHEA Grapalat" w:hAnsi="GHEA Grapalat" w:cs="GHEA Grapalat"/>
          <w:color w:val="000000"/>
          <w:sz w:val="24"/>
          <w:szCs w:val="24"/>
          <w:lang w:val="hy-AM"/>
        </w:rPr>
        <w:t>հետևելու, նվերների ռեեստրի</w:t>
      </w:r>
      <w:r w:rsidR="00BE0D85" w:rsidRPr="00DC4042">
        <w:rPr>
          <w:rFonts w:ascii="GHEA Grapalat" w:eastAsia="GHEA Grapalat" w:hAnsi="GHEA Grapalat" w:cs="GHEA Grapalat"/>
          <w:color w:val="000000"/>
          <w:sz w:val="24"/>
          <w:szCs w:val="24"/>
          <w:lang w:val="hy-AM"/>
        </w:rPr>
        <w:t xml:space="preserve"> </w:t>
      </w:r>
      <w:r w:rsidR="00E34478" w:rsidRPr="00DC4042">
        <w:rPr>
          <w:rFonts w:ascii="GHEA Grapalat" w:eastAsia="GHEA Grapalat" w:hAnsi="GHEA Grapalat" w:cs="GHEA Grapalat"/>
          <w:color w:val="000000"/>
          <w:sz w:val="24"/>
          <w:szCs w:val="24"/>
          <w:lang w:val="hy-AM"/>
        </w:rPr>
        <w:t>վարման, նվերների գրանցման</w:t>
      </w:r>
      <w:r w:rsidR="00BE0D85" w:rsidRPr="00DC4042">
        <w:rPr>
          <w:rFonts w:ascii="GHEA Grapalat" w:eastAsia="GHEA Grapalat" w:hAnsi="GHEA Grapalat" w:cs="GHEA Grapalat"/>
          <w:color w:val="000000"/>
          <w:sz w:val="24"/>
          <w:szCs w:val="24"/>
          <w:lang w:val="hy-AM"/>
        </w:rPr>
        <w:t xml:space="preserve"> </w:t>
      </w:r>
      <w:r w:rsidR="00E34478" w:rsidRPr="00DC4042">
        <w:rPr>
          <w:rFonts w:ascii="GHEA Grapalat" w:eastAsia="GHEA Grapalat" w:hAnsi="GHEA Grapalat" w:cs="GHEA Grapalat"/>
          <w:color w:val="000000"/>
          <w:sz w:val="24"/>
          <w:szCs w:val="24"/>
          <w:lang w:val="hy-AM"/>
        </w:rPr>
        <w:t>և հաշվառման կարգը սահմանելու</w:t>
      </w:r>
      <w:r w:rsidR="00BE0D85" w:rsidRPr="00DC4042">
        <w:rPr>
          <w:rFonts w:ascii="GHEA Grapalat" w:eastAsia="GHEA Grapalat" w:hAnsi="GHEA Grapalat" w:cs="GHEA Grapalat"/>
          <w:color w:val="000000"/>
          <w:sz w:val="24"/>
          <w:szCs w:val="24"/>
          <w:lang w:val="hy-AM"/>
        </w:rPr>
        <w:t xml:space="preserve"> </w:t>
      </w:r>
      <w:r w:rsidR="00E34478" w:rsidRPr="00DC4042">
        <w:rPr>
          <w:rFonts w:ascii="GHEA Grapalat" w:eastAsia="GHEA Grapalat" w:hAnsi="GHEA Grapalat" w:cs="GHEA Grapalat"/>
          <w:color w:val="000000"/>
          <w:sz w:val="24"/>
          <w:szCs w:val="24"/>
          <w:lang w:val="hy-AM"/>
        </w:rPr>
        <w:t>գործառույթներ</w:t>
      </w:r>
      <w:r w:rsidR="00BE0D85" w:rsidRPr="00DC4042">
        <w:rPr>
          <w:rFonts w:ascii="GHEA Grapalat" w:eastAsia="GHEA Grapalat" w:hAnsi="GHEA Grapalat" w:cs="GHEA Grapalat"/>
          <w:color w:val="000000"/>
          <w:sz w:val="24"/>
          <w:szCs w:val="24"/>
          <w:lang w:val="hy-AM"/>
        </w:rPr>
        <w:t>, և ը</w:t>
      </w:r>
      <w:r w:rsidR="00E34478" w:rsidRPr="00DC4042">
        <w:rPr>
          <w:rFonts w:ascii="GHEA Grapalat" w:eastAsia="GHEA Grapalat" w:hAnsi="GHEA Grapalat" w:cs="GHEA Grapalat"/>
          <w:color w:val="000000"/>
          <w:sz w:val="24"/>
          <w:szCs w:val="24"/>
          <w:lang w:val="hy-AM"/>
        </w:rPr>
        <w:t xml:space="preserve">նդունված օրենքների հիման վրա </w:t>
      </w:r>
      <w:r w:rsidR="00BE0D85" w:rsidRPr="00DC4042">
        <w:rPr>
          <w:rFonts w:ascii="GHEA Grapalat" w:eastAsia="GHEA Grapalat" w:hAnsi="GHEA Grapalat" w:cs="GHEA Grapalat"/>
          <w:color w:val="000000"/>
          <w:sz w:val="24"/>
          <w:szCs w:val="24"/>
          <w:lang w:val="hy-AM"/>
        </w:rPr>
        <w:t>ներդնել</w:t>
      </w:r>
      <w:r w:rsidR="00E34478" w:rsidRPr="00DC4042">
        <w:rPr>
          <w:rFonts w:ascii="GHEA Grapalat" w:eastAsia="GHEA Grapalat" w:hAnsi="GHEA Grapalat" w:cs="GHEA Grapalat"/>
          <w:color w:val="000000"/>
          <w:sz w:val="24"/>
          <w:szCs w:val="24"/>
          <w:lang w:val="hy-AM"/>
        </w:rPr>
        <w:t xml:space="preserve"> նվերների ռեեստր, որի արդյունքում հանրային պաշտոն զբաղեցնող անձանց և հանրային ծառայողների կողմից ստացված նվերների հաշվառումը և օրենքով սահմանված մյուս գործընթացներ</w:t>
      </w:r>
      <w:r w:rsidR="00D53959" w:rsidRPr="00DC4042">
        <w:rPr>
          <w:rFonts w:ascii="GHEA Grapalat" w:eastAsia="GHEA Grapalat" w:hAnsi="GHEA Grapalat" w:cs="GHEA Grapalat"/>
          <w:color w:val="000000"/>
          <w:sz w:val="24"/>
          <w:szCs w:val="24"/>
          <w:lang w:val="hy-AM"/>
        </w:rPr>
        <w:t xml:space="preserve">ը կիրականացվեն </w:t>
      </w:r>
      <w:r w:rsidR="00E34478" w:rsidRPr="00DC4042">
        <w:rPr>
          <w:rFonts w:ascii="GHEA Grapalat" w:eastAsia="GHEA Grapalat" w:hAnsi="GHEA Grapalat" w:cs="GHEA Grapalat"/>
          <w:color w:val="000000"/>
          <w:sz w:val="24"/>
          <w:szCs w:val="24"/>
          <w:lang w:val="hy-AM"/>
        </w:rPr>
        <w:t xml:space="preserve">միասնական մեթոդաբանությամբ և </w:t>
      </w:r>
      <w:r w:rsidR="00D53959" w:rsidRPr="00DC4042">
        <w:rPr>
          <w:rFonts w:ascii="GHEA Grapalat" w:eastAsia="GHEA Grapalat" w:hAnsi="GHEA Grapalat" w:cs="GHEA Grapalat"/>
          <w:color w:val="000000"/>
          <w:sz w:val="24"/>
          <w:szCs w:val="24"/>
          <w:lang w:val="hy-AM"/>
        </w:rPr>
        <w:t>կապահովվեն</w:t>
      </w:r>
      <w:r w:rsidR="00E34478" w:rsidRPr="00DC4042">
        <w:rPr>
          <w:rFonts w:ascii="GHEA Grapalat" w:eastAsia="GHEA Grapalat" w:hAnsi="GHEA Grapalat" w:cs="GHEA Grapalat"/>
          <w:color w:val="000000"/>
          <w:sz w:val="24"/>
          <w:szCs w:val="24"/>
          <w:lang w:val="hy-AM"/>
        </w:rPr>
        <w:t xml:space="preserve"> արդյունավետ վերահսկողության մեխանիզմներ</w:t>
      </w:r>
      <w:r w:rsidRPr="00DC4042">
        <w:rPr>
          <w:rFonts w:ascii="GHEA Grapalat" w:eastAsia="GHEA Grapalat" w:hAnsi="GHEA Grapalat" w:cs="GHEA Grapalat"/>
          <w:color w:val="000000"/>
          <w:sz w:val="24"/>
          <w:szCs w:val="24"/>
          <w:lang w:val="hy-AM"/>
        </w:rPr>
        <w:t>:</w:t>
      </w:r>
    </w:p>
    <w:p w14:paraId="7FCA221F" w14:textId="77777777" w:rsidR="00462F9D" w:rsidRPr="00DC4042" w:rsidRDefault="00462F9D" w:rsidP="004A04CC">
      <w:pPr>
        <w:pBdr>
          <w:top w:val="nil"/>
          <w:left w:val="nil"/>
          <w:bottom w:val="nil"/>
          <w:right w:val="nil"/>
          <w:between w:val="nil"/>
        </w:pBdr>
        <w:shd w:val="clear" w:color="auto" w:fill="FFFFFF"/>
        <w:spacing w:after="0" w:line="360" w:lineRule="auto"/>
        <w:ind w:firstLine="720"/>
        <w:contextualSpacing/>
        <w:jc w:val="both"/>
        <w:rPr>
          <w:rFonts w:ascii="GHEA Grapalat" w:eastAsia="GHEA Grapalat" w:hAnsi="GHEA Grapalat" w:cs="GHEA Grapalat"/>
          <w:sz w:val="24"/>
          <w:szCs w:val="24"/>
          <w:lang w:val="hy-AM"/>
        </w:rPr>
      </w:pPr>
    </w:p>
    <w:p w14:paraId="088BEBFD" w14:textId="5D1AAF77" w:rsidR="00462F9D" w:rsidRPr="00DC4042" w:rsidRDefault="00436D89" w:rsidP="00DF370F">
      <w:pPr>
        <w:pStyle w:val="Heading1"/>
        <w:spacing w:line="360" w:lineRule="auto"/>
        <w:ind w:firstLine="720"/>
        <w:contextualSpacing/>
        <w:jc w:val="both"/>
        <w:rPr>
          <w:rFonts w:ascii="GHEA Grapalat" w:eastAsia="GHEA Grapalat" w:hAnsi="GHEA Grapalat" w:cs="GHEA Grapalat"/>
          <w:b/>
          <w:color w:val="000000" w:themeColor="text1"/>
          <w:sz w:val="24"/>
          <w:szCs w:val="24"/>
          <w:lang w:val="hy-AM"/>
        </w:rPr>
      </w:pPr>
      <w:r w:rsidRPr="00DC4042">
        <w:rPr>
          <w:rFonts w:ascii="GHEA Grapalat" w:eastAsia="GHEA Grapalat" w:hAnsi="GHEA Grapalat" w:cs="GHEA Grapalat"/>
          <w:b/>
          <w:color w:val="000000" w:themeColor="text1"/>
          <w:sz w:val="24"/>
          <w:szCs w:val="24"/>
          <w:lang w:val="hy-AM"/>
        </w:rPr>
        <w:t>3</w:t>
      </w:r>
      <w:r w:rsidR="00462F9D" w:rsidRPr="00DC4042">
        <w:rPr>
          <w:rFonts w:ascii="GHEA Grapalat" w:eastAsia="GHEA Grapalat" w:hAnsi="GHEA Grapalat" w:cs="GHEA Grapalat"/>
          <w:b/>
          <w:color w:val="000000" w:themeColor="text1"/>
          <w:sz w:val="24"/>
          <w:szCs w:val="24"/>
          <w:lang w:val="hy-AM"/>
        </w:rPr>
        <w:t xml:space="preserve">. </w:t>
      </w:r>
      <w:r w:rsidR="00462F9D" w:rsidRPr="00DC4042">
        <w:rPr>
          <w:rFonts w:ascii="GHEA Grapalat" w:eastAsia="GHEA Grapalat" w:hAnsi="GHEA Grapalat" w:cs="GHEA Grapalat"/>
          <w:b/>
          <w:bCs/>
          <w:color w:val="000000" w:themeColor="text1"/>
          <w:sz w:val="24"/>
          <w:szCs w:val="24"/>
          <w:lang w:val="hy-AM"/>
        </w:rPr>
        <w:t>Ընթացիկ</w:t>
      </w:r>
      <w:r w:rsidR="00462F9D" w:rsidRPr="00DC4042">
        <w:rPr>
          <w:rFonts w:ascii="GHEA Grapalat" w:eastAsia="GHEA Grapalat" w:hAnsi="GHEA Grapalat" w:cs="GHEA Grapalat"/>
          <w:b/>
          <w:color w:val="000000" w:themeColor="text1"/>
          <w:sz w:val="24"/>
          <w:szCs w:val="24"/>
          <w:lang w:val="hy-AM"/>
        </w:rPr>
        <w:t xml:space="preserve"> իրավիճակը և խնդիրները</w:t>
      </w:r>
    </w:p>
    <w:p w14:paraId="5EBE37BD" w14:textId="1436E629" w:rsidR="00A14270" w:rsidRPr="00DC4042" w:rsidRDefault="00A14270" w:rsidP="004A04CC">
      <w:pPr>
        <w:spacing w:after="0" w:line="360" w:lineRule="auto"/>
        <w:ind w:firstLine="720"/>
        <w:contextualSpacing/>
        <w:jc w:val="both"/>
        <w:rPr>
          <w:rFonts w:ascii="GHEA Grapalat" w:eastAsia="GHEA Grapalat" w:hAnsi="GHEA Grapalat" w:cs="GHEA Grapalat"/>
          <w:b/>
          <w:i/>
          <w:iCs/>
          <w:sz w:val="24"/>
          <w:szCs w:val="24"/>
          <w:lang w:val="hy-AM"/>
        </w:rPr>
      </w:pPr>
      <w:bookmarkStart w:id="0" w:name="_Hlk109200840"/>
      <w:r w:rsidRPr="00DC4042">
        <w:rPr>
          <w:rFonts w:ascii="GHEA Grapalat" w:eastAsia="GHEA Grapalat" w:hAnsi="GHEA Grapalat" w:cs="GHEA Grapalat"/>
          <w:b/>
          <w:i/>
          <w:iCs/>
          <w:sz w:val="24"/>
          <w:szCs w:val="24"/>
          <w:lang w:val="hy-AM"/>
        </w:rPr>
        <w:t>Հանրային պաշտոն զբաղեցնող անձի և հանրային ծառայողի կողմից նվերներ ընդունելու սահմանափակումները</w:t>
      </w:r>
    </w:p>
    <w:bookmarkEnd w:id="0"/>
    <w:p w14:paraId="7AE8EB99" w14:textId="77777777" w:rsidR="00462F9D" w:rsidRPr="00DC4042" w:rsidRDefault="00462F9D" w:rsidP="004A04CC">
      <w:pPr>
        <w:spacing w:after="0" w:line="360" w:lineRule="auto"/>
        <w:ind w:firstLine="720"/>
        <w:contextualSpacing/>
        <w:jc w:val="both"/>
        <w:rPr>
          <w:rFonts w:ascii="GHEA Grapalat" w:eastAsia="GHEA Grapalat" w:hAnsi="GHEA Grapalat" w:cs="GHEA Grapalat"/>
          <w:sz w:val="24"/>
          <w:szCs w:val="24"/>
          <w:lang w:val="hy-AM"/>
        </w:rPr>
      </w:pPr>
      <w:r w:rsidRPr="00DC4042">
        <w:rPr>
          <w:rFonts w:ascii="GHEA Grapalat" w:eastAsia="GHEA Grapalat" w:hAnsi="GHEA Grapalat" w:cs="GHEA Grapalat"/>
          <w:sz w:val="24"/>
          <w:szCs w:val="24"/>
          <w:lang w:val="hy-AM"/>
        </w:rPr>
        <w:t xml:space="preserve">ԳՐԵԿՈ-ի կողմից իր 69-րդ լիագումար նիստում ընդունվել է Գնահատման չորրորդ փուլի՝ Հայաստանի վերաբերյալ զեկույցը, որը հրապարակվել է 2016 թվականի փետրվարի 25-ին՝ Հայաստանի կողմից թույտվություն ստացվելուց հետո (Greco Eval IV Rep (2015) 1E [ԳՐԵԿՈ-ի գնահատման IV զեկույց (2015) 1E]): Զեկույցում ԳՐԵԿՈ-ի կողմից ներկայացվել է 18 հանձնարարական, որոնք վերաբերում են պատգամավորների, դատավորների և դատախազների շրջանում կոռուպցիայի կանխարգելմանը: </w:t>
      </w:r>
    </w:p>
    <w:p w14:paraId="54A3509B" w14:textId="77777777" w:rsidR="00462F9D" w:rsidRPr="00DC4042" w:rsidRDefault="00462F9D" w:rsidP="004A04CC">
      <w:pPr>
        <w:spacing w:after="0" w:line="360" w:lineRule="auto"/>
        <w:ind w:firstLine="720"/>
        <w:contextualSpacing/>
        <w:jc w:val="both"/>
        <w:rPr>
          <w:rFonts w:ascii="GHEA Grapalat" w:eastAsia="GHEA Grapalat" w:hAnsi="GHEA Grapalat" w:cs="GHEA Grapalat"/>
          <w:sz w:val="24"/>
          <w:szCs w:val="24"/>
          <w:lang w:val="hy-AM"/>
        </w:rPr>
      </w:pPr>
      <w:r w:rsidRPr="00DC4042">
        <w:rPr>
          <w:rFonts w:ascii="GHEA Grapalat" w:eastAsia="GHEA Grapalat" w:hAnsi="GHEA Grapalat" w:cs="GHEA Grapalat"/>
          <w:sz w:val="24"/>
          <w:szCs w:val="24"/>
          <w:lang w:val="hy-AM"/>
        </w:rPr>
        <w:t xml:space="preserve">Զեկույցում անդրադառնալով հանրային պաշտող զբաղեցնող անձանց կողմից նվերներ ընդունելու արգելքի վերաբերյալ գործող կարգավորումներին` ԳՐԵԿՈ-ն նշել է, որ «Հանրային ծառայության մասին» օրենքով նախատեսված </w:t>
      </w:r>
      <w:r w:rsidRPr="00DC4042">
        <w:rPr>
          <w:rFonts w:ascii="GHEA Grapalat" w:eastAsia="GHEA Grapalat" w:hAnsi="GHEA Grapalat" w:cs="GHEA Grapalat"/>
          <w:sz w:val="24"/>
          <w:szCs w:val="24"/>
          <w:lang w:val="hy-AM"/>
        </w:rPr>
        <w:lastRenderedPageBreak/>
        <w:t>նվերների վերաբերյալ կանոնները, որոնք վերաբերում են ինչպես խորհրդարանի անդամներին, այնպես էլ այլ հանրային պաշտոն զբաղեցնող անձանց և հանրային ծառայողներին, վերանայման կարիք ունեն։</w:t>
      </w:r>
    </w:p>
    <w:p w14:paraId="18582640" w14:textId="77777777" w:rsidR="00462F9D" w:rsidRPr="00DC4042" w:rsidRDefault="00462F9D" w:rsidP="004A04CC">
      <w:pPr>
        <w:spacing w:after="0" w:line="360" w:lineRule="auto"/>
        <w:ind w:firstLine="720"/>
        <w:contextualSpacing/>
        <w:jc w:val="both"/>
        <w:rPr>
          <w:rFonts w:ascii="GHEA Grapalat" w:eastAsia="GHEA Grapalat" w:hAnsi="GHEA Grapalat" w:cs="GHEA Grapalat"/>
          <w:sz w:val="24"/>
          <w:szCs w:val="24"/>
          <w:lang w:val="hy-AM"/>
        </w:rPr>
      </w:pPr>
      <w:r w:rsidRPr="00DC4042">
        <w:rPr>
          <w:rFonts w:ascii="GHEA Grapalat" w:eastAsia="GHEA Grapalat" w:hAnsi="GHEA Grapalat" w:cs="GHEA Grapalat"/>
          <w:sz w:val="24"/>
          <w:szCs w:val="24"/>
          <w:lang w:val="hy-AM"/>
        </w:rPr>
        <w:t xml:space="preserve">Մասնավորապես, ԳՐԵԿՈ-ն անբավարար է գնահատել ստացված նվերները բացահայտելու վերաբերյալ համընդհանուր պարտականության բացակայությունը (բացի եկամուտների տարեկան հայտարարագրեր ներկայացնելու ընդհանուր պահանջից, որը հստակորեն չի սահմանում նվերների կամ այլ օգուտների տեսակները): </w:t>
      </w:r>
    </w:p>
    <w:p w14:paraId="08C013DC" w14:textId="77777777" w:rsidR="00462F9D" w:rsidRPr="00DC4042" w:rsidRDefault="00462F9D" w:rsidP="004A04CC">
      <w:pPr>
        <w:spacing w:after="0" w:line="360" w:lineRule="auto"/>
        <w:ind w:firstLine="720"/>
        <w:contextualSpacing/>
        <w:jc w:val="both"/>
        <w:rPr>
          <w:rFonts w:ascii="GHEA Grapalat" w:eastAsia="GHEA Grapalat" w:hAnsi="GHEA Grapalat" w:cs="GHEA Grapalat"/>
          <w:sz w:val="24"/>
          <w:szCs w:val="24"/>
          <w:lang w:val="hy-AM"/>
        </w:rPr>
      </w:pPr>
      <w:r w:rsidRPr="00DC4042">
        <w:rPr>
          <w:rFonts w:ascii="GHEA Grapalat" w:eastAsia="GHEA Grapalat" w:hAnsi="GHEA Grapalat" w:cs="GHEA Grapalat"/>
          <w:sz w:val="24"/>
          <w:szCs w:val="24"/>
          <w:lang w:val="hy-AM"/>
        </w:rPr>
        <w:t>Միաժամանակ, ԳՐԵԿՈ-ն արձանագրել է, որ նվերների վերաբերյալ գոյություն ունեցող արգելքներն ու կանոնակարգերը չեն ընդգրկում հանրային պաշտոն զբաղեցնող անձանց և հանրային ծառայողների հետ փոխկապակցված անձանց շրջանակը։ Սահմանված կարգավորումների հնարավոր շրջանցումները կանխելու նպատակով անհրաժեշտ է, որ դրանք տարածվեն նաև հանրային պաշտոն զբաղեցնող անձանց և հանրային ծառայողների հետ փոխկապակցված անձանց տրված կամ առաջարկվող այն նվերների վրա, որոնք կապված են պաշտոնատար անձի պարտականությունների կատարման հետ:</w:t>
      </w:r>
    </w:p>
    <w:p w14:paraId="4BC691A6" w14:textId="77777777" w:rsidR="00462F9D" w:rsidRPr="00DC4042" w:rsidRDefault="00462F9D" w:rsidP="004A04CC">
      <w:pPr>
        <w:spacing w:after="0" w:line="360" w:lineRule="auto"/>
        <w:ind w:firstLine="720"/>
        <w:contextualSpacing/>
        <w:jc w:val="both"/>
        <w:rPr>
          <w:rFonts w:ascii="GHEA Grapalat" w:eastAsia="GHEA Grapalat" w:hAnsi="GHEA Grapalat" w:cs="GHEA Grapalat"/>
          <w:sz w:val="24"/>
          <w:szCs w:val="24"/>
          <w:lang w:val="hy-AM"/>
        </w:rPr>
      </w:pPr>
      <w:r w:rsidRPr="00DC4042">
        <w:rPr>
          <w:rFonts w:ascii="GHEA Grapalat" w:eastAsia="GHEA Grapalat" w:hAnsi="GHEA Grapalat" w:cs="GHEA Grapalat"/>
          <w:sz w:val="24"/>
          <w:szCs w:val="24"/>
          <w:lang w:val="hy-AM"/>
        </w:rPr>
        <w:t>ԳՐԵԿՈ-ն ընդգծել է նաև «նվեր» հասկացության բովանդակությունը հստակեցնելու անհրաժեշտությունը, նշելով, որ գործող կարգավորումներից հասկանալի չէ՝ այդ հասկացությունը վերաբերում է միայն նյութակա՞ն օբյեկտներին, թե՞ այն բավականին լայն է և կարող է ընդգրկել նաև այլ առավելությունները, ինչպիսիք են՝ հյուրասիրությունը, անվճար ճանապարհորդությունը, երրորդ անձանց կողմից տրամադրվող կացարանը, մշակութային և սպորտային միջոցառումների հրավերները և այլն։</w:t>
      </w:r>
    </w:p>
    <w:p w14:paraId="1BCE6606" w14:textId="77777777" w:rsidR="00462F9D" w:rsidRPr="00DC4042" w:rsidRDefault="00462F9D" w:rsidP="004A04CC">
      <w:pPr>
        <w:spacing w:after="0" w:line="360" w:lineRule="auto"/>
        <w:ind w:firstLine="720"/>
        <w:contextualSpacing/>
        <w:jc w:val="both"/>
        <w:rPr>
          <w:rFonts w:ascii="GHEA Grapalat" w:eastAsia="GHEA Grapalat" w:hAnsi="GHEA Grapalat" w:cs="GHEA Grapalat"/>
          <w:sz w:val="24"/>
          <w:szCs w:val="24"/>
          <w:lang w:val="hy-AM"/>
        </w:rPr>
      </w:pPr>
      <w:r w:rsidRPr="00DC4042">
        <w:rPr>
          <w:rFonts w:ascii="GHEA Grapalat" w:eastAsia="GHEA Grapalat" w:hAnsi="GHEA Grapalat" w:cs="GHEA Grapalat"/>
          <w:sz w:val="24"/>
          <w:szCs w:val="24"/>
          <w:lang w:val="hy-AM"/>
        </w:rPr>
        <w:t xml:space="preserve">Ըստ ԳՐԵԿՈ-ի՝ սահմանված կարգավորումները պարունակում են պարզաբանման կարիք ունեցող մի շարք հասկացություններ, մասնավորապես, «առավելություն, որը ողջամտորեն չէր տրամադրվի պաշտոն չզբաղեցնող անձի», կամ «բարեկամից ստացված նվերները, եթե նվերն էությամբ և չափով ողջամտորեն համապատասխանում է միմյանց միջև հարաբերությունների բնույթին» «բացառությամբ մերձավոր ազգականից ստացված նվերների», </w:t>
      </w:r>
      <w:r w:rsidRPr="00DC4042">
        <w:rPr>
          <w:rFonts w:ascii="GHEA Grapalat" w:eastAsia="GHEA Grapalat" w:hAnsi="GHEA Grapalat" w:cs="GHEA Grapalat"/>
          <w:sz w:val="24"/>
          <w:szCs w:val="24"/>
          <w:lang w:val="hy-AM"/>
        </w:rPr>
        <w:lastRenderedPageBreak/>
        <w:t>«պետական կամ պաշտոնական այցերի կամ միջոցառումների ժամանակ տրվող նվերները կամ կազմակերպվող հյուրասիրությունը» հասկացությունները։ Նման անորոշ հասկացություններն ստեղծում են տարբեր չարաշահումների վտանգ, մինչդեռ վերը նշված հարցերի վերաբերյալ գործնական ուղեցույցները պետք է հիմնված լինեն և բխեն օրենսդրական կարգավորումներից և հանրային ծառայողների վարքագծի կանոններից։</w:t>
      </w:r>
    </w:p>
    <w:p w14:paraId="582CAA0D" w14:textId="77777777" w:rsidR="00462F9D" w:rsidRPr="00DC4042" w:rsidRDefault="00462F9D" w:rsidP="004A04CC">
      <w:pPr>
        <w:spacing w:after="0" w:line="360" w:lineRule="auto"/>
        <w:ind w:firstLine="720"/>
        <w:contextualSpacing/>
        <w:jc w:val="both"/>
        <w:rPr>
          <w:rFonts w:ascii="GHEA Grapalat" w:eastAsia="GHEA Grapalat" w:hAnsi="GHEA Grapalat" w:cs="GHEA Grapalat"/>
          <w:sz w:val="24"/>
          <w:szCs w:val="24"/>
          <w:lang w:val="hy-AM"/>
        </w:rPr>
      </w:pPr>
      <w:r w:rsidRPr="00DC4042">
        <w:rPr>
          <w:rFonts w:ascii="GHEA Grapalat" w:eastAsia="GHEA Grapalat" w:hAnsi="GHEA Grapalat" w:cs="GHEA Grapalat"/>
          <w:sz w:val="24"/>
          <w:szCs w:val="24"/>
          <w:lang w:val="hy-AM"/>
        </w:rPr>
        <w:t>ԳՐԵԿՈ-ն առաջարկել է մշակել պատգամավորների, դատավորների, դատախազների կողմից նվերներ ընդունելու նկատմամբ կիրառվող կանոններ, որպեսզի հնարավոր լինի տալ այնպիսի հստակ սահմանումներ, որոնք կընդգրկեն ցանկացած օգուտ, այդ թվում՝ բնաիրային օգուտներն ու փոխկապակցված անձանց տրամադրվող օգուտները, ներմուծել ստացված նվերների մասին վերահսկողություն իրականացնող համապատասխան մարմին հայտնելու պահանջ, իսկ դատավորներին առնչվող հատուկ դեպքում՝ նվազեցնել գործող այն շեմերը, որոնց դեպքում պահանջվում է հայտնել նվերի մասին։</w:t>
      </w:r>
      <w:r w:rsidRPr="00DC4042">
        <w:rPr>
          <w:rFonts w:ascii="GHEA Grapalat" w:eastAsia="GHEA Grapalat" w:hAnsi="GHEA Grapalat" w:cs="GHEA Grapalat"/>
          <w:sz w:val="24"/>
          <w:szCs w:val="24"/>
          <w:vertAlign w:val="superscript"/>
          <w:lang w:val="hy-AM"/>
        </w:rPr>
        <w:footnoteReference w:id="3"/>
      </w:r>
    </w:p>
    <w:p w14:paraId="4484A591" w14:textId="77777777" w:rsidR="00462F9D" w:rsidRPr="00DC4042" w:rsidRDefault="00462F9D" w:rsidP="004A04CC">
      <w:pPr>
        <w:spacing w:after="0" w:line="360" w:lineRule="auto"/>
        <w:ind w:firstLine="720"/>
        <w:contextualSpacing/>
        <w:jc w:val="both"/>
        <w:rPr>
          <w:rFonts w:ascii="GHEA Grapalat" w:eastAsia="GHEA Grapalat" w:hAnsi="GHEA Grapalat" w:cs="GHEA Grapalat"/>
          <w:sz w:val="24"/>
          <w:szCs w:val="24"/>
          <w:lang w:val="hy-AM"/>
        </w:rPr>
      </w:pPr>
      <w:r w:rsidRPr="00DC4042">
        <w:rPr>
          <w:rFonts w:ascii="GHEA Grapalat" w:eastAsia="GHEA Grapalat" w:hAnsi="GHEA Grapalat" w:cs="GHEA Grapalat"/>
          <w:sz w:val="24"/>
          <w:szCs w:val="24"/>
          <w:lang w:val="hy-AM"/>
        </w:rPr>
        <w:t>ԳՐԵԿՈ-ն արձանագրել է նաև, որ թե՛ «Հանրային ծառայության մասին» օրենքի, թե՛ Դատական օրենսգրքի՝ թույլատրելի նվերների վերաբերյալ կարգավորումներում առկա են անորոշ ձևակերպումներ։ Օրենքով որոշ նվերների և հյուրասիության մասին հայտնելու պահանջ սահմանված չէ, օրինակ «սովորաբար կազմակերպվող հյուրասիրություն», «կրթաթոշակ, դրամաշնորհ կամ նպաստ, որը տրվել է հրապարակային մրցույթի արդյունքով՝ մյուս դիմորդների նկատմամբ կիրառված նույն պայմաններով և նույն չափանիշներով կամ թափանցիկ այլ գործընթացի հետևանքով», «բարեկամից ստացված նվերները, եթե նվերն էությամբ և չափով ողջամտորեն համապատասխանում է միմյանց միջև հարաբերությունների բնույթին»։</w:t>
      </w:r>
    </w:p>
    <w:p w14:paraId="2FD07448" w14:textId="77777777" w:rsidR="00462F9D" w:rsidRPr="00DC4042" w:rsidRDefault="00462F9D" w:rsidP="00DC4042">
      <w:pPr>
        <w:spacing w:after="0" w:line="360" w:lineRule="auto"/>
        <w:ind w:firstLine="720"/>
        <w:contextualSpacing/>
        <w:jc w:val="both"/>
        <w:rPr>
          <w:rFonts w:ascii="GHEA Grapalat" w:eastAsia="GHEA Grapalat" w:hAnsi="GHEA Grapalat" w:cs="GHEA Grapalat"/>
          <w:sz w:val="24"/>
          <w:szCs w:val="24"/>
          <w:lang w:val="hy-AM"/>
        </w:rPr>
      </w:pPr>
      <w:r w:rsidRPr="00DC4042">
        <w:rPr>
          <w:rFonts w:ascii="GHEA Grapalat" w:eastAsia="GHEA Grapalat" w:hAnsi="GHEA Grapalat" w:cs="GHEA Grapalat"/>
          <w:sz w:val="24"/>
          <w:szCs w:val="24"/>
          <w:lang w:val="hy-AM"/>
        </w:rPr>
        <w:lastRenderedPageBreak/>
        <w:t>Արձանագրվել է նաև, որ առկա չեն նվերների հաղորդման և գրանցման կոնկրետ մեխանիզմներ,</w:t>
      </w:r>
      <w:r w:rsidRPr="00DC4042">
        <w:rPr>
          <w:rFonts w:ascii="GHEA Grapalat" w:eastAsia="GHEA Grapalat" w:hAnsi="GHEA Grapalat" w:cs="GHEA Grapalat"/>
          <w:sz w:val="24"/>
          <w:szCs w:val="24"/>
          <w:vertAlign w:val="superscript"/>
          <w:lang w:val="hy-AM"/>
        </w:rPr>
        <w:footnoteReference w:id="4"/>
      </w:r>
      <w:r w:rsidRPr="00DC4042">
        <w:rPr>
          <w:rFonts w:ascii="GHEA Grapalat" w:eastAsia="GHEA Grapalat" w:hAnsi="GHEA Grapalat" w:cs="GHEA Grapalat"/>
          <w:sz w:val="24"/>
          <w:szCs w:val="24"/>
          <w:lang w:val="hy-AM"/>
        </w:rPr>
        <w:t xml:space="preserve"> իսկ ընթացիկ կարգավորումները, որոնց համաձայն՝ նվերները ստուգվում են միայն որպես տարեկան եկամուտների հայտարարագրերի մաս՝ այնքանով, որքանով դրանք հանդիսանում են գույք կամ եկամուտ, ակնհայտորեն բավարար չեն ապահովելու համար շարունակական և համապարփակ վերահսկողություն:</w:t>
      </w:r>
      <w:r w:rsidRPr="00DC4042">
        <w:rPr>
          <w:rFonts w:ascii="GHEA Grapalat" w:eastAsia="GHEA Grapalat" w:hAnsi="GHEA Grapalat" w:cs="GHEA Grapalat"/>
          <w:sz w:val="24"/>
          <w:szCs w:val="24"/>
          <w:vertAlign w:val="superscript"/>
          <w:lang w:val="hy-AM"/>
        </w:rPr>
        <w:footnoteReference w:id="5"/>
      </w:r>
    </w:p>
    <w:p w14:paraId="6B09C85E" w14:textId="1427E502" w:rsidR="00462F9D" w:rsidRPr="00DC4042" w:rsidRDefault="00462F9D" w:rsidP="004A04CC">
      <w:pPr>
        <w:spacing w:after="0" w:line="360" w:lineRule="auto"/>
        <w:ind w:firstLine="720"/>
        <w:contextualSpacing/>
        <w:jc w:val="both"/>
        <w:rPr>
          <w:rFonts w:ascii="GHEA Grapalat" w:eastAsia="GHEA Grapalat" w:hAnsi="GHEA Grapalat" w:cs="GHEA Grapalat"/>
          <w:sz w:val="24"/>
          <w:szCs w:val="24"/>
          <w:lang w:val="hy-AM"/>
        </w:rPr>
      </w:pPr>
      <w:r w:rsidRPr="00DC4042">
        <w:rPr>
          <w:rFonts w:ascii="GHEA Grapalat" w:eastAsia="GHEA Grapalat" w:hAnsi="GHEA Grapalat" w:cs="GHEA Grapalat"/>
          <w:sz w:val="24"/>
          <w:szCs w:val="24"/>
          <w:lang w:val="hy-AM"/>
        </w:rPr>
        <w:t>ԳՐԵԿՈ-ն հրապարակված զեկույցում առաջարկում է ներդնել մեխանիզմներ, այդ թվում՝ նախատեսելով համապատասխան պատժամիջոցներ՝ ապահովելու համար անկախ, շարունակական և ակտիվ վերահսկողություն էթիկայի կանոնների և անհամատեղելիության պահանջների, շահերի բախման և նվերների ընդունման սահմանափակումների պահպանման նկատմամբ</w:t>
      </w:r>
      <w:r w:rsidRPr="00DC4042">
        <w:rPr>
          <w:rFonts w:ascii="GHEA Grapalat" w:eastAsia="GHEA Grapalat" w:hAnsi="GHEA Grapalat" w:cs="GHEA Grapalat"/>
          <w:sz w:val="24"/>
          <w:szCs w:val="24"/>
          <w:vertAlign w:val="superscript"/>
          <w:lang w:val="hy-AM"/>
        </w:rPr>
        <w:footnoteReference w:id="6"/>
      </w:r>
      <w:r w:rsidRPr="00DC4042">
        <w:rPr>
          <w:rFonts w:ascii="GHEA Grapalat" w:eastAsia="GHEA Grapalat" w:hAnsi="GHEA Grapalat" w:cs="GHEA Grapalat"/>
          <w:sz w:val="24"/>
          <w:szCs w:val="24"/>
          <w:lang w:val="hy-AM"/>
        </w:rPr>
        <w:t>։</w:t>
      </w:r>
    </w:p>
    <w:p w14:paraId="02A101FE" w14:textId="77777777" w:rsidR="00422E6C" w:rsidRPr="00DC4042" w:rsidRDefault="00422E6C" w:rsidP="004A04CC">
      <w:pPr>
        <w:spacing w:line="360" w:lineRule="auto"/>
        <w:ind w:firstLine="720"/>
        <w:contextualSpacing/>
        <w:jc w:val="both"/>
        <w:rPr>
          <w:rFonts w:ascii="GHEA Grapalat" w:eastAsia="Times New Roman" w:hAnsi="GHEA Grapalat" w:cs="Times New Roman"/>
          <w:b/>
          <w:bCs/>
          <w:i/>
          <w:color w:val="000000"/>
          <w:sz w:val="24"/>
          <w:szCs w:val="24"/>
          <w:lang w:val="hy-AM"/>
        </w:rPr>
      </w:pPr>
      <w:r w:rsidRPr="00DC4042">
        <w:rPr>
          <w:rFonts w:ascii="GHEA Grapalat" w:eastAsia="Times New Roman" w:hAnsi="GHEA Grapalat" w:cs="Times New Roman"/>
          <w:b/>
          <w:bCs/>
          <w:i/>
          <w:color w:val="000000"/>
          <w:sz w:val="24"/>
          <w:szCs w:val="24"/>
          <w:lang w:val="hy-AM"/>
        </w:rPr>
        <w:t>Հանրային պաշտոն զբաղեցնող անձանց և հանրային ծառայողների անհամատեղելիության պահանջները.</w:t>
      </w:r>
    </w:p>
    <w:p w14:paraId="71759750" w14:textId="05E505AF" w:rsidR="006A0F8D" w:rsidRPr="00CA623C" w:rsidRDefault="006A0F8D" w:rsidP="00CA623C">
      <w:pPr>
        <w:spacing w:after="0" w:line="360" w:lineRule="auto"/>
        <w:ind w:firstLine="720"/>
        <w:contextualSpacing/>
        <w:jc w:val="both"/>
        <w:rPr>
          <w:rFonts w:ascii="GHEA Grapalat" w:eastAsia="Calibri" w:hAnsi="GHEA Grapalat" w:cs="Times New Roman"/>
          <w:bCs/>
          <w:sz w:val="24"/>
          <w:szCs w:val="24"/>
          <w:lang w:val="hy-AM"/>
        </w:rPr>
      </w:pPr>
      <w:r w:rsidRPr="00DC4042">
        <w:rPr>
          <w:rFonts w:ascii="GHEA Grapalat" w:eastAsia="Calibri" w:hAnsi="GHEA Grapalat" w:cs="Times New Roman"/>
          <w:bCs/>
          <w:sz w:val="24"/>
          <w:szCs w:val="24"/>
          <w:lang w:val="hy-AM"/>
        </w:rPr>
        <w:t xml:space="preserve">Նախագծով </w:t>
      </w:r>
      <w:r>
        <w:rPr>
          <w:rFonts w:ascii="GHEA Grapalat" w:eastAsia="Calibri" w:hAnsi="GHEA Grapalat" w:cs="Times New Roman"/>
          <w:bCs/>
          <w:sz w:val="24"/>
          <w:szCs w:val="24"/>
          <w:lang w:val="hy-AM"/>
        </w:rPr>
        <w:t xml:space="preserve">հստակեցվել, վերախմբագրվել են հանրային պաշտոն զբաղեցնող անձանց և հանրային ծառայողների անհամատեղելիության վերաբերյալ առկա կարգավորումները: Մասնավորապես, նախագծով </w:t>
      </w:r>
      <w:r w:rsidRPr="00DC4042">
        <w:rPr>
          <w:rFonts w:ascii="GHEA Grapalat" w:eastAsia="Calibri" w:hAnsi="GHEA Grapalat" w:cs="Times New Roman"/>
          <w:bCs/>
          <w:sz w:val="24"/>
          <w:szCs w:val="24"/>
          <w:lang w:val="hy-AM"/>
        </w:rPr>
        <w:t xml:space="preserve">առաջարկվում է վերախմբագրել և ընդլայնել կրթական աշխատանք» եզրույթը՝ ներառելով նաև մասնագիտական վերապատրաստումների իրականացումը: </w:t>
      </w:r>
    </w:p>
    <w:p w14:paraId="22D4689E" w14:textId="77777777" w:rsidR="00422E6C" w:rsidRPr="00DC4042" w:rsidRDefault="00422E6C" w:rsidP="004A04CC">
      <w:pPr>
        <w:spacing w:after="0" w:line="360" w:lineRule="auto"/>
        <w:ind w:firstLine="720"/>
        <w:contextualSpacing/>
        <w:jc w:val="both"/>
        <w:rPr>
          <w:rFonts w:ascii="GHEA Grapalat" w:eastAsia="Calibri" w:hAnsi="GHEA Grapalat" w:cs="Times New Roman"/>
          <w:bCs/>
          <w:sz w:val="24"/>
          <w:szCs w:val="24"/>
          <w:lang w:val="hy-AM"/>
        </w:rPr>
      </w:pPr>
      <w:r w:rsidRPr="00DC4042">
        <w:rPr>
          <w:rFonts w:ascii="GHEA Grapalat" w:eastAsia="Calibri" w:hAnsi="GHEA Grapalat" w:cs="Times New Roman"/>
          <w:bCs/>
          <w:sz w:val="24"/>
          <w:szCs w:val="24"/>
          <w:lang w:val="hy-AM"/>
        </w:rPr>
        <w:t>Նախագծով</w:t>
      </w:r>
      <w:r w:rsidRPr="00DC4042">
        <w:rPr>
          <w:rFonts w:ascii="GHEA Grapalat" w:eastAsia="Times New Roman" w:hAnsi="GHEA Grapalat" w:cs="Times New Roman"/>
          <w:bCs/>
          <w:color w:val="000000"/>
          <w:sz w:val="24"/>
          <w:szCs w:val="24"/>
          <w:lang w:val="hy-AM"/>
        </w:rPr>
        <w:t xml:space="preserve"> հստակեցվում է նաև ձեռնարկատիրական գործունեության հասկացությունը. մասնավորապես, գործող </w:t>
      </w:r>
      <w:r w:rsidRPr="00DC4042">
        <w:rPr>
          <w:rFonts w:ascii="GHEA Grapalat" w:eastAsia="Calibri" w:hAnsi="GHEA Grapalat" w:cs="Times New Roman"/>
          <w:bCs/>
          <w:sz w:val="24"/>
          <w:szCs w:val="24"/>
          <w:lang w:val="hy-AM"/>
        </w:rPr>
        <w:t xml:space="preserve">օրենքի 31-րդ հոդվածի 7-րդ մասը տալիս է ձեռնարկատիրական գործունեության հասկացությունը` նշելով, որ ձեռնարկատիրական գործունեություն է համարվում` 1) անհատ ձեռնարկատեր լինելը, 2) առանց պետական գրանցման կամ հաշվառման ձեռնարկատիրական գործունեությամբ զբաղվելը՝ Հայաստանի Հանրապետության օրենքներով </w:t>
      </w:r>
      <w:r w:rsidRPr="00DC4042">
        <w:rPr>
          <w:rFonts w:ascii="GHEA Grapalat" w:eastAsia="Calibri" w:hAnsi="GHEA Grapalat" w:cs="Times New Roman"/>
          <w:bCs/>
          <w:sz w:val="24"/>
          <w:szCs w:val="24"/>
          <w:lang w:val="hy-AM"/>
        </w:rPr>
        <w:lastRenderedPageBreak/>
        <w:t>սահմանված դեպքերում, 3) առևտրային կազմակերպության մասնակից լինելը, բացառությամբ այն դեպքի, երբ առևտրային կազմակերպության մասնակցի բաժնեմասն ամբողջությամբ հանձնվել է հավատարմագրային կառավարման:</w:t>
      </w:r>
    </w:p>
    <w:p w14:paraId="49BE4B57" w14:textId="77777777" w:rsidR="00422E6C" w:rsidRPr="00DC4042" w:rsidRDefault="00422E6C" w:rsidP="004A04CC">
      <w:pPr>
        <w:spacing w:after="0" w:line="360" w:lineRule="auto"/>
        <w:ind w:firstLine="720"/>
        <w:contextualSpacing/>
        <w:jc w:val="both"/>
        <w:rPr>
          <w:rFonts w:ascii="GHEA Grapalat" w:eastAsia="Calibri" w:hAnsi="GHEA Grapalat" w:cs="Times New Roman"/>
          <w:bCs/>
          <w:sz w:val="24"/>
          <w:szCs w:val="24"/>
          <w:lang w:val="hy-AM"/>
        </w:rPr>
      </w:pPr>
      <w:r w:rsidRPr="00DC4042">
        <w:rPr>
          <w:rFonts w:ascii="GHEA Grapalat" w:eastAsia="Calibri" w:hAnsi="GHEA Grapalat" w:cs="Times New Roman"/>
          <w:bCs/>
          <w:sz w:val="24"/>
          <w:szCs w:val="24"/>
          <w:lang w:val="hy-AM"/>
        </w:rPr>
        <w:t xml:space="preserve">Առկա կարգավորմամբ նախատեսված «առանց պետական գրանցման կամ հաշվառման ձեռնարկատիրական գործունեությամբ զբաղվելը՝ Հայաստանի Հանրապետության օրենքներով սահմանված դեպքերում» հասկացությունը տարընկալումների տեղիք է տալիս՝ իրականացվող գործունեության բնույթի կապակցությամբ, ուստի նախագծով հստակեցվել է համապատասխան կարգավորումը:  </w:t>
      </w:r>
    </w:p>
    <w:p w14:paraId="245D2F8F" w14:textId="77777777" w:rsidR="00422E6C" w:rsidRPr="00DC4042" w:rsidRDefault="00422E6C" w:rsidP="004A04CC">
      <w:pPr>
        <w:spacing w:after="0" w:line="360" w:lineRule="auto"/>
        <w:ind w:firstLine="720"/>
        <w:contextualSpacing/>
        <w:jc w:val="both"/>
        <w:rPr>
          <w:rFonts w:ascii="GHEA Grapalat" w:eastAsia="Calibri" w:hAnsi="GHEA Grapalat" w:cs="Times New Roman"/>
          <w:bCs/>
          <w:sz w:val="24"/>
          <w:szCs w:val="24"/>
          <w:lang w:val="hy-AM"/>
        </w:rPr>
      </w:pPr>
      <w:r w:rsidRPr="00DC4042">
        <w:rPr>
          <w:rFonts w:ascii="GHEA Grapalat" w:eastAsia="Calibri" w:hAnsi="GHEA Grapalat" w:cs="Times New Roman"/>
          <w:bCs/>
          <w:sz w:val="24"/>
          <w:szCs w:val="24"/>
          <w:lang w:val="hy-AM"/>
        </w:rPr>
        <w:t>Օրենքի 31-րդ հոդվածի 7-րդ մասը Նախագծով սահմանված կարգավորմամբ վերախմբագրվել է, որի արդյունքում, ձեռնարկատիրական գործունեություն է դիտարկվում երկու խումբ դեպքեր`</w:t>
      </w:r>
    </w:p>
    <w:p w14:paraId="25F64A75" w14:textId="77777777" w:rsidR="00422E6C" w:rsidRPr="00DC4042" w:rsidRDefault="00422E6C" w:rsidP="004A04CC">
      <w:pPr>
        <w:spacing w:after="0" w:line="360" w:lineRule="auto"/>
        <w:ind w:firstLine="720"/>
        <w:contextualSpacing/>
        <w:jc w:val="both"/>
        <w:rPr>
          <w:rFonts w:ascii="GHEA Grapalat" w:eastAsia="GHEA Grapalat" w:hAnsi="GHEA Grapalat" w:cs="GHEA Grapalat"/>
          <w:color w:val="000000"/>
          <w:sz w:val="24"/>
          <w:szCs w:val="24"/>
          <w:lang w:val="hy-AM"/>
        </w:rPr>
      </w:pPr>
      <w:r w:rsidRPr="00DC4042">
        <w:rPr>
          <w:rFonts w:ascii="GHEA Grapalat" w:eastAsia="Calibri" w:hAnsi="GHEA Grapalat" w:cs="Times New Roman"/>
          <w:bCs/>
          <w:sz w:val="24"/>
          <w:szCs w:val="24"/>
          <w:lang w:val="hy-AM"/>
        </w:rPr>
        <w:t xml:space="preserve">1. </w:t>
      </w:r>
      <w:r w:rsidRPr="00DC4042">
        <w:rPr>
          <w:rFonts w:ascii="GHEA Grapalat" w:eastAsia="Calibri" w:hAnsi="GHEA Grapalat" w:cs="Times New Roman"/>
          <w:b/>
          <w:bCs/>
          <w:i/>
          <w:sz w:val="24"/>
          <w:szCs w:val="24"/>
          <w:lang w:val="hy-AM"/>
        </w:rPr>
        <w:t xml:space="preserve">Կարգավիճակով պայմանավորված: </w:t>
      </w:r>
      <w:r w:rsidRPr="00DC4042">
        <w:rPr>
          <w:rFonts w:ascii="GHEA Grapalat" w:eastAsia="Calibri" w:hAnsi="GHEA Grapalat" w:cs="Times New Roman"/>
          <w:bCs/>
          <w:sz w:val="24"/>
          <w:szCs w:val="24"/>
          <w:lang w:val="hy-AM"/>
        </w:rPr>
        <w:t xml:space="preserve">Անձը դիտարկվում է ձեռնարկատեր, եթե ունի անհատ ձեռնարկատիրոջ կարգավիճակ կամ առևտրային կազմակերպության մասնակից, բաժնետեր կամ փայատեր է, </w:t>
      </w:r>
      <w:r w:rsidRPr="00DC4042">
        <w:rPr>
          <w:rFonts w:ascii="GHEA Grapalat" w:eastAsia="GHEA Grapalat" w:hAnsi="GHEA Grapalat" w:cs="GHEA Grapalat"/>
          <w:color w:val="000000"/>
          <w:sz w:val="24"/>
          <w:szCs w:val="24"/>
          <w:lang w:val="hy-AM"/>
        </w:rPr>
        <w:t>բացառությամբ այն դեպքի, երբ առևտրային կազմակերպության բաժնեմասը, բաժնետոմսը, փայն ամբողջությամբ հանձնվել է հավատարմագրային կառավարման:</w:t>
      </w:r>
    </w:p>
    <w:p w14:paraId="7493253F" w14:textId="77777777" w:rsidR="00422E6C" w:rsidRPr="00DC4042" w:rsidRDefault="00422E6C" w:rsidP="004A04CC">
      <w:pPr>
        <w:spacing w:after="0" w:line="360" w:lineRule="auto"/>
        <w:ind w:firstLine="720"/>
        <w:contextualSpacing/>
        <w:jc w:val="both"/>
        <w:rPr>
          <w:rFonts w:ascii="GHEA Grapalat" w:eastAsia="GHEA Grapalat" w:hAnsi="GHEA Grapalat" w:cs="GHEA Grapalat"/>
          <w:color w:val="000000"/>
          <w:sz w:val="24"/>
          <w:szCs w:val="24"/>
          <w:lang w:val="hy-AM"/>
        </w:rPr>
      </w:pPr>
      <w:r w:rsidRPr="00DC4042">
        <w:rPr>
          <w:rFonts w:ascii="GHEA Grapalat" w:eastAsia="Calibri" w:hAnsi="GHEA Grapalat" w:cs="Times New Roman"/>
          <w:b/>
          <w:bCs/>
          <w:i/>
          <w:sz w:val="24"/>
          <w:szCs w:val="24"/>
          <w:lang w:val="hy-AM"/>
        </w:rPr>
        <w:t>2. Գործունեությամբ պայմանավորված</w:t>
      </w:r>
      <w:r w:rsidRPr="00DC4042">
        <w:rPr>
          <w:rFonts w:ascii="GHEA Grapalat" w:eastAsia="Calibri" w:hAnsi="GHEA Grapalat" w:cs="Times New Roman"/>
          <w:bCs/>
          <w:sz w:val="24"/>
          <w:szCs w:val="24"/>
          <w:lang w:val="hy-AM"/>
        </w:rPr>
        <w:t xml:space="preserve">: </w:t>
      </w:r>
      <w:r w:rsidRPr="00DC4042">
        <w:rPr>
          <w:rFonts w:ascii="GHEA Grapalat" w:eastAsia="GHEA Grapalat" w:hAnsi="GHEA Grapalat" w:cs="GHEA Grapalat"/>
          <w:color w:val="000000"/>
          <w:sz w:val="24"/>
          <w:szCs w:val="24"/>
          <w:lang w:val="hy-AM"/>
        </w:rPr>
        <w:t xml:space="preserve">Ձեռնարկատիրական գործունեություն է համարվում, </w:t>
      </w:r>
      <w:r w:rsidRPr="00DC4042">
        <w:rPr>
          <w:rFonts w:ascii="GHEA Grapalat" w:eastAsia="Calibri" w:hAnsi="GHEA Grapalat" w:cs="Times New Roman"/>
          <w:bCs/>
          <w:sz w:val="24"/>
          <w:szCs w:val="24"/>
          <w:lang w:val="hy-AM"/>
        </w:rPr>
        <w:t>եթե անձն իրականացնում է ՀՀ քաղաքացիական օրենսգրքի 2-րդ հոդվածով նախատեսված գործունեությունը:</w:t>
      </w:r>
    </w:p>
    <w:p w14:paraId="4C08CB4F" w14:textId="77777777" w:rsidR="00422E6C" w:rsidRPr="00DC4042" w:rsidRDefault="00422E6C" w:rsidP="004A04CC">
      <w:pPr>
        <w:spacing w:after="0" w:line="360" w:lineRule="auto"/>
        <w:ind w:firstLine="720"/>
        <w:contextualSpacing/>
        <w:jc w:val="both"/>
        <w:rPr>
          <w:rFonts w:ascii="GHEA Grapalat" w:eastAsia="Calibri" w:hAnsi="GHEA Grapalat" w:cs="Times New Roman"/>
          <w:bCs/>
          <w:sz w:val="24"/>
          <w:szCs w:val="24"/>
          <w:lang w:val="hy-AM"/>
        </w:rPr>
      </w:pPr>
      <w:r w:rsidRPr="00DC4042">
        <w:rPr>
          <w:rFonts w:ascii="GHEA Grapalat" w:eastAsia="Calibri" w:hAnsi="GHEA Grapalat" w:cs="Times New Roman"/>
          <w:bCs/>
          <w:sz w:val="24"/>
          <w:szCs w:val="24"/>
          <w:lang w:val="hy-AM"/>
        </w:rPr>
        <w:t>Բացի այդ, Օրենքի գործող խմբագրության 31-րդ հոդվածի 7-րդ մասի 3-րդ կետը հղում է կատարում միայն բաժնեմասին` բաց թողնելով բաժնետոմսերը և փայերը: Նախագծով լրացվել է նաև այդ բացթողումը:</w:t>
      </w:r>
    </w:p>
    <w:p w14:paraId="10C4557E" w14:textId="30CE7FCB" w:rsidR="0004548D" w:rsidRPr="00DC4042" w:rsidRDefault="0004548D" w:rsidP="0004548D">
      <w:pPr>
        <w:spacing w:after="0" w:line="360" w:lineRule="auto"/>
        <w:ind w:firstLine="720"/>
        <w:contextualSpacing/>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Բաց</w:t>
      </w:r>
      <w:r w:rsidR="00CA623C">
        <w:rPr>
          <w:rFonts w:ascii="GHEA Grapalat" w:eastAsia="Times New Roman" w:hAnsi="GHEA Grapalat" w:cs="Times New Roman"/>
          <w:bCs/>
          <w:color w:val="000000"/>
          <w:sz w:val="24"/>
          <w:szCs w:val="24"/>
          <w:lang w:val="hy-AM"/>
        </w:rPr>
        <w:t>ի</w:t>
      </w:r>
      <w:r w:rsidRPr="00DC4042">
        <w:rPr>
          <w:rFonts w:ascii="GHEA Grapalat" w:eastAsia="Times New Roman" w:hAnsi="GHEA Grapalat" w:cs="Times New Roman"/>
          <w:bCs/>
          <w:color w:val="000000"/>
          <w:sz w:val="24"/>
          <w:szCs w:val="24"/>
          <w:lang w:val="hy-AM"/>
        </w:rPr>
        <w:t xml:space="preserve"> այդ, նույն հոդվածի 8-րդ մասում կատարվում է համապատասխան լրացում, որի համաձայն ձեռնարկատիրական գործունեություն չի համարվում </w:t>
      </w:r>
      <w:r w:rsidRPr="00DC4042">
        <w:rPr>
          <w:rFonts w:ascii="GHEA Grapalat" w:eastAsia="GHEA Grapalat" w:hAnsi="GHEA Grapalat" w:cs="GHEA Grapalat"/>
          <w:color w:val="000000"/>
          <w:sz w:val="24"/>
          <w:szCs w:val="24"/>
          <w:lang w:val="hy-AM"/>
        </w:rPr>
        <w:t xml:space="preserve">Հայաստանի Հանրապետության կամ օտարերկրյա ֆոնդային բորսայում առևտրին թույլատրված արժեթղթեր ունենալը` նույն ընկերության կանոնադրական կապիտալում առավելագույնը 1 տոկոս մասնակցության </w:t>
      </w:r>
      <w:r w:rsidRPr="00DC4042">
        <w:rPr>
          <w:rFonts w:ascii="GHEA Grapalat" w:eastAsia="GHEA Grapalat" w:hAnsi="GHEA Grapalat" w:cs="GHEA Grapalat"/>
          <w:color w:val="000000"/>
          <w:sz w:val="24"/>
          <w:szCs w:val="24"/>
          <w:lang w:val="hy-AM"/>
        </w:rPr>
        <w:lastRenderedPageBreak/>
        <w:t>շրջանակներում և բանկի թողարկած մինչև ընդհանուր չորս միլիոն Հայաստանի Հանրապետության դրամը չգերազանցող անվանական արժեքով բաժնետոմս ունենալը:</w:t>
      </w:r>
    </w:p>
    <w:p w14:paraId="086C856C" w14:textId="57106E88" w:rsidR="00422E6C" w:rsidRPr="00DC4042" w:rsidRDefault="0004548D" w:rsidP="0004548D">
      <w:pPr>
        <w:spacing w:after="0" w:line="360" w:lineRule="auto"/>
        <w:ind w:firstLine="720"/>
        <w:contextualSpacing/>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 xml:space="preserve"> </w:t>
      </w:r>
      <w:r w:rsidR="00422E6C" w:rsidRPr="00DC4042">
        <w:rPr>
          <w:rFonts w:ascii="GHEA Grapalat" w:eastAsia="Times New Roman" w:hAnsi="GHEA Grapalat" w:cs="Times New Roman"/>
          <w:bCs/>
          <w:color w:val="000000"/>
          <w:sz w:val="24"/>
          <w:szCs w:val="24"/>
          <w:lang w:val="hy-AM"/>
        </w:rPr>
        <w:t xml:space="preserve">«Հանրային ծառայության մասին» օրենքի 31-րդ հոդվածի դրույթներով է կարգավորվում նաև հանրային պաշտոն զբաղեցնող անձանց և հանրային ծառայողների՝ առևտրային կազմակերպությունների կանոնադրական կապիտալում ունեցած բաժնեմասերի կառավարման վերաբերյալ հարաբերությունները։ Նշված հոդվածի 10-րդ կետի համաձայն՝ </w:t>
      </w:r>
      <w:r w:rsidR="00422E6C" w:rsidRPr="00DC4042">
        <w:rPr>
          <w:rFonts w:ascii="GHEA Grapalat" w:eastAsia="Times New Roman" w:hAnsi="GHEA Grapalat" w:cs="GHEA Grapalat"/>
          <w:bCs/>
          <w:color w:val="000000"/>
          <w:sz w:val="24"/>
          <w:szCs w:val="24"/>
          <w:lang w:val="hy-AM"/>
        </w:rPr>
        <w:t>«</w:t>
      </w:r>
      <w:r w:rsidR="00422E6C" w:rsidRPr="00DC4042">
        <w:rPr>
          <w:rFonts w:ascii="GHEA Grapalat" w:eastAsia="Times New Roman" w:hAnsi="GHEA Grapalat" w:cs="Times New Roman"/>
          <w:bCs/>
          <w:color w:val="000000"/>
          <w:sz w:val="24"/>
          <w:szCs w:val="24"/>
          <w:lang w:val="hy-AM"/>
        </w:rPr>
        <w:t>Առևտրային կազմակերպությունների կանոնադրական կապիտալում մասնակցություն (բաժնեմաս, բաժնետոմս, փայ) ունենալու դեպքում հանրային պաշտոն զբաղեցնող անձինք և հանրային ծառայողները պարտավոր են պաշտոնում նշանակվելուց (ընտրվելուց) հետո՝ մեկ ամսվա ընթացքում, այն օրենքով սահմանված կարգով հանձնել հավատարմագրային կառավարման»: Ընդ որում, նույն հոդվածի կարգավորումների համաձայն, հավատարմագրային կառավարիչ կարող են հանդիսանալ նաև ոչ առևտրային կազմակերպությունները և անհատ ձեռնարկատեր չհանդիսացող ֆիզիկական անձինք։ Ընդհանուր առմամբ, հարկ է նշել, որ Օրենքի 31-րդ հոդվածի 10-րդ և 11-րդ կետերով ամրագրված կարգավորումները ըստ էության չեն լուծում իրենց առջև դրված խնդիրը, այն է՝ չեն ապահովում հանրային պաշտոն զբաղեցնող անձանց և հանրային ծառայողների կողմից պաշտոնավարման ընթացքում ձեռնարկատիրական գործունեությամբ զբաղվելու արգելքի փաստացի պահպանումը։</w:t>
      </w:r>
    </w:p>
    <w:p w14:paraId="46472D0B" w14:textId="77777777" w:rsidR="00422E6C" w:rsidRPr="00DC4042" w:rsidRDefault="00422E6C" w:rsidP="004A04CC">
      <w:pPr>
        <w:spacing w:line="360" w:lineRule="auto"/>
        <w:ind w:firstLine="720"/>
        <w:contextualSpacing/>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 xml:space="preserve">Վերոնշյալ դիտարկմանը կարելի է հանգել համապատասխան ոլորտները կարգավորող օրենսդրական նորմերի ուսումնասիրության արդյունքում։ </w:t>
      </w:r>
    </w:p>
    <w:p w14:paraId="3397CA4D" w14:textId="77777777" w:rsidR="00422E6C" w:rsidRPr="00DC4042" w:rsidRDefault="00422E6C" w:rsidP="004A04CC">
      <w:pPr>
        <w:spacing w:line="360" w:lineRule="auto"/>
        <w:ind w:firstLine="720"/>
        <w:contextualSpacing/>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 xml:space="preserve">Այսպես, «Արժեթղթերի շուկայի մասին» գործող օրենքը կարգավորում է ներդրումային գործունեության հետ կապված հարաբերությունները։ Նշված օրենքի 25-րդ հոդվածի համաձայն ներդրումային ծառայություն է համարվում նաև արժեթղթերի փաթեթի կառավարումը։ Ներդրումային ծառայություններ կարող են մատուցել միայն «Արժեթղթերի շուկայի մասին» ՀՀ օրենքի պահանջներին բավարարող սուբյեկտները բացառությամբ, նույն օրենքի 30-րդ </w:t>
      </w:r>
      <w:r w:rsidRPr="00DC4042">
        <w:rPr>
          <w:rFonts w:ascii="GHEA Grapalat" w:eastAsia="Times New Roman" w:hAnsi="GHEA Grapalat" w:cs="Times New Roman"/>
          <w:bCs/>
          <w:color w:val="000000"/>
          <w:sz w:val="24"/>
          <w:szCs w:val="24"/>
          <w:lang w:val="hy-AM"/>
        </w:rPr>
        <w:lastRenderedPageBreak/>
        <w:t>հոդվածով սահմանված սուբյեկտների։ Նշված հոդվածում ամրագրված բացառություններից են հանդիսանում միայն հանրային ծառայողի կամ բարձրաստիճան պաշտոնատար անձի՝ առևտրային կազմակերպության կանոնադրական կապիտալում ունեցած բաժնեմասի հավատարմագրային կառավարումը իրականացնող սուբյեկտները։ Ստեղծվում է մի իրավիճակ, երբ օրենսդրությամբ պարտադիր պայման չի հանդիսանում պաշտոնատար անձի ունեցած բաժնեմասերի կառավարումը փոխանցել մասնագիտացված կառույցների և անձանց, մյուս կողմից հավատարմագրային կառավարիչներին չեն ներկայացվում նվազագույն պահանջներ։ Նման պարագայում չկա օրենսդրական որևէ արգելք հավատարմագրային կառավարիչ նշանակել, օրինակ՝ պաշտոնատար անձի ամուսնուն, չափահաս երեխային, ծնողին կամ այլ փոխկապակցված անձի, ինչի պայմաններում ունենում ենք մի իրավիճակ, երբ հանրային ծառայողներն ու պետական պաշտոնատար անձինք փաստացի շարունակում են զբաղվել ձեռնարկատիրական գործունեությամբ:</w:t>
      </w:r>
    </w:p>
    <w:p w14:paraId="6138B480" w14:textId="77777777" w:rsidR="00422E6C" w:rsidRPr="00DC4042" w:rsidRDefault="00422E6C" w:rsidP="004A04CC">
      <w:pPr>
        <w:tabs>
          <w:tab w:val="left" w:pos="851"/>
          <w:tab w:val="left" w:pos="993"/>
          <w:tab w:val="left" w:pos="1276"/>
          <w:tab w:val="left" w:pos="1418"/>
        </w:tabs>
        <w:spacing w:line="360" w:lineRule="auto"/>
        <w:ind w:firstLine="720"/>
        <w:contextualSpacing/>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Հարկ է նշել, որ աշխարհի մի շարք երկրներում նշված խնդրից խուսափելու համար ներդրվել է, այսպես կոչված, «կույր» հավատարմագրային կառավարման կառուցակարգի ինստիտուտը։ Հավատարմագրային կառավարման սույն մեխանիզմի պարագայում առկա են որոշակի պարտադիր պայմաններ։ Պայմաններից, թերևս, ամենակարևորը կառավարման հիմնադրի և հավատարմագրային կառավարչի միջև փոխկապակցվածության և միասնական շահի բացակայությունն է։ Մյուս կարևոր պայմանը հանդիսանում է այն, որ հավատարմագրային կառավարման հիմնադիրը չպետք է որևէ ձևով ազդեցություն գործի հավատարմագրային կառավարչի վրա կամ միջամտի հավատարմագրային կառավարման գործընթացին:</w:t>
      </w:r>
    </w:p>
    <w:p w14:paraId="57718C1C" w14:textId="77777777" w:rsidR="00422E6C" w:rsidRPr="00DC4042" w:rsidRDefault="00422E6C" w:rsidP="004A04CC">
      <w:pPr>
        <w:spacing w:line="360" w:lineRule="auto"/>
        <w:ind w:firstLine="720"/>
        <w:contextualSpacing/>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Այս մեխանիզմը կիրառվում է Կանանդայում</w:t>
      </w:r>
      <w:r w:rsidRPr="00DC4042">
        <w:rPr>
          <w:rFonts w:ascii="GHEA Grapalat" w:eastAsia="Times New Roman" w:hAnsi="GHEA Grapalat" w:cs="Times New Roman"/>
          <w:bCs/>
          <w:color w:val="000000"/>
          <w:sz w:val="24"/>
          <w:szCs w:val="24"/>
          <w:vertAlign w:val="superscript"/>
        </w:rPr>
        <w:footnoteReference w:id="7"/>
      </w:r>
      <w:r w:rsidRPr="00DC4042">
        <w:rPr>
          <w:rFonts w:ascii="GHEA Grapalat" w:eastAsia="Times New Roman" w:hAnsi="GHEA Grapalat" w:cs="Times New Roman"/>
          <w:bCs/>
          <w:color w:val="000000"/>
          <w:sz w:val="24"/>
          <w:szCs w:val="24"/>
          <w:lang w:val="hy-AM"/>
        </w:rPr>
        <w:t>, Ուկրաինայում</w:t>
      </w:r>
      <w:r w:rsidRPr="00DC4042">
        <w:rPr>
          <w:rFonts w:ascii="GHEA Grapalat" w:eastAsia="Times New Roman" w:hAnsi="GHEA Grapalat" w:cs="Times New Roman"/>
          <w:bCs/>
          <w:color w:val="000000"/>
          <w:sz w:val="24"/>
          <w:szCs w:val="24"/>
          <w:vertAlign w:val="superscript"/>
        </w:rPr>
        <w:footnoteReference w:id="8"/>
      </w:r>
      <w:r w:rsidRPr="00DC4042">
        <w:rPr>
          <w:rFonts w:ascii="GHEA Grapalat" w:eastAsia="Times New Roman" w:hAnsi="GHEA Grapalat" w:cs="Times New Roman"/>
          <w:bCs/>
          <w:color w:val="000000"/>
          <w:sz w:val="24"/>
          <w:szCs w:val="24"/>
          <w:lang w:val="hy-AM"/>
        </w:rPr>
        <w:t>, ԱՄՆ-ում</w:t>
      </w:r>
      <w:r w:rsidRPr="00DC4042">
        <w:rPr>
          <w:rFonts w:ascii="GHEA Grapalat" w:eastAsia="Calibri" w:hAnsi="GHEA Grapalat" w:cs="Times New Roman"/>
          <w:sz w:val="24"/>
          <w:szCs w:val="24"/>
          <w:vertAlign w:val="superscript"/>
        </w:rPr>
        <w:footnoteReference w:id="9"/>
      </w:r>
      <w:r w:rsidRPr="00DC4042">
        <w:rPr>
          <w:rFonts w:ascii="GHEA Grapalat" w:eastAsia="Times New Roman" w:hAnsi="GHEA Grapalat" w:cs="Times New Roman"/>
          <w:bCs/>
          <w:color w:val="000000"/>
          <w:sz w:val="24"/>
          <w:szCs w:val="24"/>
          <w:lang w:val="hy-AM"/>
        </w:rPr>
        <w:t>, Խորվաթիայում</w:t>
      </w:r>
      <w:r w:rsidRPr="00DC4042">
        <w:rPr>
          <w:rFonts w:ascii="GHEA Grapalat" w:eastAsia="Times New Roman" w:hAnsi="GHEA Grapalat" w:cs="Times New Roman"/>
          <w:bCs/>
          <w:color w:val="000000"/>
          <w:sz w:val="24"/>
          <w:szCs w:val="24"/>
          <w:vertAlign w:val="superscript"/>
        </w:rPr>
        <w:footnoteReference w:id="10"/>
      </w:r>
      <w:r w:rsidRPr="00DC4042">
        <w:rPr>
          <w:rFonts w:ascii="GHEA Grapalat" w:eastAsia="Times New Roman" w:hAnsi="GHEA Grapalat" w:cs="Times New Roman"/>
          <w:bCs/>
          <w:color w:val="000000"/>
          <w:sz w:val="24"/>
          <w:szCs w:val="24"/>
          <w:lang w:val="hy-AM"/>
        </w:rPr>
        <w:t>, Սերբիայում</w:t>
      </w:r>
      <w:r w:rsidRPr="00DC4042">
        <w:rPr>
          <w:rFonts w:ascii="GHEA Grapalat" w:eastAsia="Calibri" w:hAnsi="GHEA Grapalat" w:cs="Times New Roman"/>
          <w:sz w:val="24"/>
          <w:szCs w:val="24"/>
          <w:vertAlign w:val="superscript"/>
        </w:rPr>
        <w:footnoteReference w:id="11"/>
      </w:r>
      <w:r w:rsidRPr="00DC4042">
        <w:rPr>
          <w:rFonts w:ascii="GHEA Grapalat" w:eastAsia="Times New Roman" w:hAnsi="GHEA Grapalat" w:cs="Times New Roman"/>
          <w:bCs/>
          <w:color w:val="000000"/>
          <w:sz w:val="24"/>
          <w:szCs w:val="24"/>
          <w:lang w:val="hy-AM"/>
        </w:rPr>
        <w:t>, Մեծ Բրիտանիայում</w:t>
      </w:r>
      <w:r w:rsidRPr="00DC4042">
        <w:rPr>
          <w:rFonts w:ascii="GHEA Grapalat" w:eastAsia="Times New Roman" w:hAnsi="GHEA Grapalat" w:cs="Times New Roman"/>
          <w:bCs/>
          <w:color w:val="000000"/>
          <w:sz w:val="24"/>
          <w:szCs w:val="24"/>
          <w:vertAlign w:val="superscript"/>
        </w:rPr>
        <w:footnoteReference w:id="12"/>
      </w:r>
      <w:r w:rsidRPr="00DC4042">
        <w:rPr>
          <w:rFonts w:ascii="GHEA Grapalat" w:eastAsia="Times New Roman" w:hAnsi="GHEA Grapalat" w:cs="Times New Roman"/>
          <w:bCs/>
          <w:color w:val="000000"/>
          <w:sz w:val="24"/>
          <w:szCs w:val="24"/>
          <w:lang w:val="hy-AM"/>
        </w:rPr>
        <w:t>, Հոնկ Կոնգում</w:t>
      </w:r>
      <w:r w:rsidRPr="00DC4042">
        <w:rPr>
          <w:rFonts w:ascii="GHEA Grapalat" w:eastAsia="Times New Roman" w:hAnsi="GHEA Grapalat" w:cs="Times New Roman"/>
          <w:bCs/>
          <w:color w:val="000000"/>
          <w:sz w:val="24"/>
          <w:szCs w:val="24"/>
          <w:vertAlign w:val="superscript"/>
        </w:rPr>
        <w:footnoteReference w:id="13"/>
      </w:r>
      <w:r w:rsidRPr="00DC4042">
        <w:rPr>
          <w:rFonts w:ascii="GHEA Grapalat" w:eastAsia="Times New Roman" w:hAnsi="GHEA Grapalat" w:cs="Times New Roman"/>
          <w:bCs/>
          <w:color w:val="000000"/>
          <w:sz w:val="24"/>
          <w:szCs w:val="24"/>
          <w:lang w:val="hy-AM"/>
        </w:rPr>
        <w:t>, Թաիլանդում</w:t>
      </w:r>
      <w:r w:rsidRPr="00DC4042">
        <w:rPr>
          <w:rFonts w:ascii="GHEA Grapalat" w:eastAsia="Calibri" w:hAnsi="GHEA Grapalat" w:cs="Times New Roman"/>
          <w:sz w:val="24"/>
          <w:szCs w:val="24"/>
          <w:vertAlign w:val="superscript"/>
        </w:rPr>
        <w:footnoteReference w:id="14"/>
      </w:r>
      <w:r w:rsidRPr="00DC4042">
        <w:rPr>
          <w:rFonts w:ascii="GHEA Grapalat" w:eastAsia="Times New Roman" w:hAnsi="GHEA Grapalat" w:cs="Times New Roman"/>
          <w:bCs/>
          <w:color w:val="000000"/>
          <w:sz w:val="24"/>
          <w:szCs w:val="24"/>
          <w:lang w:val="hy-AM"/>
        </w:rPr>
        <w:t xml:space="preserve"> և այլն։</w:t>
      </w:r>
    </w:p>
    <w:p w14:paraId="3A18E072" w14:textId="77777777" w:rsidR="00422E6C" w:rsidRPr="00DC4042" w:rsidRDefault="00422E6C" w:rsidP="004A04CC">
      <w:pPr>
        <w:spacing w:after="160" w:line="360" w:lineRule="auto"/>
        <w:ind w:firstLine="720"/>
        <w:contextualSpacing/>
        <w:jc w:val="both"/>
        <w:rPr>
          <w:rFonts w:ascii="GHEA Grapalat" w:eastAsia="Calibri" w:hAnsi="GHEA Grapalat" w:cs="Times New Roman"/>
          <w:sz w:val="24"/>
          <w:szCs w:val="24"/>
          <w:lang w:val="hy-AM"/>
        </w:rPr>
      </w:pPr>
      <w:r w:rsidRPr="00DC4042">
        <w:rPr>
          <w:rFonts w:ascii="GHEA Grapalat" w:eastAsia="Calibri" w:hAnsi="GHEA Grapalat" w:cs="Times New Roman"/>
          <w:sz w:val="24"/>
          <w:szCs w:val="24"/>
          <w:lang w:val="hy-AM"/>
        </w:rPr>
        <w:lastRenderedPageBreak/>
        <w:t>Միջազգային կազմակերպությունները ևս անդրադարձ են կատարել վերոնշյալ համատեքստում հանրային ծառայությունում մասնավոր և հանրային շահերի հավասարակշռման հիմնախնդրին։ Օրինակ՝ ՏՀԶԿ-ն հանրային ծառայության ոլորտում նշված խնդիրը կարգավորելու համար, ի թիվս այլ միջոցների, առաջարկում է կիրառել հավատարմագրային կառավարման նշված մոդելը։</w:t>
      </w:r>
      <w:r w:rsidRPr="00DC4042">
        <w:rPr>
          <w:rFonts w:ascii="GHEA Grapalat" w:eastAsia="Calibri" w:hAnsi="GHEA Grapalat" w:cs="Times New Roman"/>
          <w:sz w:val="24"/>
          <w:szCs w:val="24"/>
          <w:vertAlign w:val="superscript"/>
        </w:rPr>
        <w:footnoteReference w:id="15"/>
      </w:r>
    </w:p>
    <w:p w14:paraId="676739D2" w14:textId="77777777" w:rsidR="00422E6C" w:rsidRPr="00DC4042" w:rsidRDefault="00422E6C" w:rsidP="004A04CC">
      <w:pPr>
        <w:tabs>
          <w:tab w:val="left" w:pos="851"/>
          <w:tab w:val="left" w:pos="993"/>
          <w:tab w:val="left" w:pos="1276"/>
          <w:tab w:val="left" w:pos="1418"/>
        </w:tabs>
        <w:spacing w:line="360" w:lineRule="auto"/>
        <w:ind w:firstLine="720"/>
        <w:contextualSpacing/>
        <w:jc w:val="both"/>
        <w:rPr>
          <w:rFonts w:ascii="GHEA Grapalat" w:eastAsia="Calibri" w:hAnsi="GHEA Grapalat" w:cs="Times New Roman"/>
          <w:bCs/>
          <w:sz w:val="24"/>
          <w:szCs w:val="24"/>
          <w:lang w:val="hy-AM"/>
        </w:rPr>
      </w:pPr>
      <w:r w:rsidRPr="00DC4042">
        <w:rPr>
          <w:rFonts w:ascii="GHEA Grapalat" w:eastAsia="Calibri" w:hAnsi="GHEA Grapalat" w:cs="Times New Roman"/>
          <w:sz w:val="24"/>
          <w:szCs w:val="24"/>
          <w:lang w:val="hy-AM"/>
        </w:rPr>
        <w:t>Սույն խնդրին անդրադարձ են կատարել ՀՀ-ում գործող ոլորտային քաղաքացիական հասարակության կազմակերպությունները: Մասնավորապես, առաջարկվում է դիտարկել այնպիսի կարգավորումների ներդրումը, որոնք կսահմանափակեն հանրային պաշտոն զբաղեցնող անձանց և հանրային ծառայողների կողմից գույքի, առևտրային կազմակերպությունում մասնակցության (բաժնեմասը, բաժնետոմսը, փայը)՝ ընտանիքի անդամներին, ինչպես նաև, մերձավոր ազգակցությամբ ու խնամիությամբ կապված անձանց հավատարմագրային կառավարման հանձնելու հնարավորությունները կամ ներդնել «կույր կառավարիչներ»-ի ինստիտուտը</w:t>
      </w:r>
      <w:r w:rsidRPr="00DC4042">
        <w:rPr>
          <w:rFonts w:ascii="GHEA Grapalat" w:eastAsia="Calibri" w:hAnsi="GHEA Grapalat" w:cs="Times New Roman"/>
          <w:bCs/>
          <w:sz w:val="24"/>
          <w:szCs w:val="24"/>
          <w:vertAlign w:val="superscript"/>
        </w:rPr>
        <w:footnoteReference w:id="16"/>
      </w:r>
      <w:r w:rsidRPr="00DC4042">
        <w:rPr>
          <w:rFonts w:ascii="GHEA Grapalat" w:eastAsia="Calibri" w:hAnsi="GHEA Grapalat" w:cs="Times New Roman"/>
          <w:bCs/>
          <w:sz w:val="24"/>
          <w:szCs w:val="24"/>
          <w:lang w:val="hy-AM"/>
        </w:rPr>
        <w:t xml:space="preserve">: </w:t>
      </w:r>
    </w:p>
    <w:p w14:paraId="7E222745" w14:textId="77777777" w:rsidR="00422E6C" w:rsidRPr="00DC4042" w:rsidRDefault="00422E6C" w:rsidP="004A04CC">
      <w:pPr>
        <w:tabs>
          <w:tab w:val="left" w:pos="851"/>
          <w:tab w:val="left" w:pos="993"/>
          <w:tab w:val="left" w:pos="1276"/>
          <w:tab w:val="left" w:pos="1418"/>
        </w:tabs>
        <w:spacing w:line="360" w:lineRule="auto"/>
        <w:ind w:firstLine="720"/>
        <w:contextualSpacing/>
        <w:jc w:val="both"/>
        <w:rPr>
          <w:rFonts w:ascii="GHEA Grapalat" w:eastAsia="GHEA Grapalat" w:hAnsi="GHEA Grapalat" w:cs="GHEA Grapalat"/>
          <w:color w:val="000000"/>
          <w:sz w:val="24"/>
          <w:szCs w:val="24"/>
          <w:lang w:val="hy-AM"/>
        </w:rPr>
      </w:pPr>
      <w:r w:rsidRPr="00DC4042">
        <w:rPr>
          <w:rFonts w:ascii="GHEA Grapalat" w:eastAsia="Calibri" w:hAnsi="GHEA Grapalat" w:cs="Times New Roman"/>
          <w:bCs/>
          <w:sz w:val="24"/>
          <w:szCs w:val="24"/>
          <w:lang w:val="hy-AM"/>
        </w:rPr>
        <w:t xml:space="preserve">Ուստի, Նախագծով առաջարկվող ձևակերպմամբ փորձ է արվել սահմանելու նոր կարգավորում, համաձայն որի՝ </w:t>
      </w:r>
      <w:r w:rsidRPr="00DC4042">
        <w:rPr>
          <w:rFonts w:ascii="GHEA Grapalat" w:eastAsia="GHEA Grapalat" w:hAnsi="GHEA Grapalat" w:cs="GHEA Grapalat"/>
          <w:color w:val="000000"/>
          <w:sz w:val="24"/>
          <w:szCs w:val="24"/>
          <w:lang w:val="hy-AM"/>
        </w:rPr>
        <w:t xml:space="preserve">որպես հավատարմագրային կառավարիչ հանդես գալ չեն կարող հանրային պաշտոն զբաղեցնող անձի և հանրային ծառայողների հետ փոխկապակցված անձինք։ </w:t>
      </w:r>
    </w:p>
    <w:p w14:paraId="7F49772D" w14:textId="48D03CCB" w:rsidR="00422E6C" w:rsidRPr="00DC4042" w:rsidRDefault="00422E6C" w:rsidP="004A04CC">
      <w:pPr>
        <w:spacing w:after="160" w:line="360" w:lineRule="auto"/>
        <w:ind w:firstLine="720"/>
        <w:contextualSpacing/>
        <w:jc w:val="both"/>
        <w:rPr>
          <w:rFonts w:ascii="GHEA Grapalat" w:eastAsia="Calibri" w:hAnsi="GHEA Grapalat" w:cs="Times New Roman"/>
          <w:bCs/>
          <w:sz w:val="24"/>
          <w:szCs w:val="24"/>
          <w:lang w:val="hy-AM"/>
        </w:rPr>
      </w:pPr>
      <w:r w:rsidRPr="00DC4042">
        <w:rPr>
          <w:rFonts w:ascii="GHEA Grapalat" w:eastAsia="Calibri" w:hAnsi="GHEA Grapalat" w:cs="Times New Roman"/>
          <w:bCs/>
          <w:sz w:val="24"/>
          <w:szCs w:val="24"/>
          <w:lang w:val="hy-AM"/>
        </w:rPr>
        <w:t xml:space="preserve">Նախագծով ընդլայնվել է առևտրային կազմակերպություններում </w:t>
      </w:r>
      <w:r w:rsidRPr="00DC4042">
        <w:rPr>
          <w:rFonts w:ascii="GHEA Grapalat" w:eastAsia="GHEA Grapalat" w:hAnsi="GHEA Grapalat" w:cs="GHEA Grapalat"/>
          <w:color w:val="000000"/>
          <w:sz w:val="24"/>
          <w:szCs w:val="24"/>
          <w:lang w:val="hy-AM"/>
        </w:rPr>
        <w:t xml:space="preserve">հանրային պաշտոն զբաղեցնող անձի և հանրային ծառայողների՝ իրենց </w:t>
      </w:r>
      <w:r w:rsidRPr="00DC4042">
        <w:rPr>
          <w:rFonts w:ascii="GHEA Grapalat" w:eastAsia="GHEA Grapalat" w:hAnsi="GHEA Grapalat" w:cs="GHEA Grapalat"/>
          <w:color w:val="000000"/>
          <w:sz w:val="24"/>
          <w:szCs w:val="24"/>
          <w:lang w:val="hy-AM"/>
        </w:rPr>
        <w:lastRenderedPageBreak/>
        <w:t>մասնակցությունը հավատարմագրային կառա</w:t>
      </w:r>
      <w:r w:rsidRPr="00DC4042">
        <w:rPr>
          <w:rFonts w:ascii="GHEA Grapalat" w:eastAsia="Calibri" w:hAnsi="GHEA Grapalat" w:cs="Times New Roman"/>
          <w:bCs/>
          <w:sz w:val="24"/>
          <w:szCs w:val="24"/>
          <w:lang w:val="hy-AM"/>
        </w:rPr>
        <w:t xml:space="preserve">վարման հանձնելու դեպքերը՝ մասնավորապես ներառելով այն դեպքը, երբ համապատասխան մասնակցությունը ձեռք է բերվում պաշտոնավարման ընթացքում ժառանգություն ստանալու դեպքում. այդպիսի մասնակցություն ձեռք բերելուց հետո մեկ ամսվա ընթացքում բաժնեմասը, բաժնետոմսը, փայը օրենքով սահմանված կարգով պետք է հանձնվի հավատարմագրային կառավարման: </w:t>
      </w:r>
    </w:p>
    <w:p w14:paraId="1E77A384" w14:textId="77777777" w:rsidR="00422E6C" w:rsidRPr="00DC4042" w:rsidRDefault="00422E6C" w:rsidP="004A04CC">
      <w:pPr>
        <w:spacing w:after="160" w:line="360" w:lineRule="auto"/>
        <w:ind w:firstLine="720"/>
        <w:contextualSpacing/>
        <w:jc w:val="both"/>
        <w:rPr>
          <w:rFonts w:ascii="GHEA Grapalat" w:eastAsia="Calibri" w:hAnsi="GHEA Grapalat" w:cs="Times New Roman"/>
          <w:b/>
          <w:i/>
          <w:sz w:val="24"/>
          <w:szCs w:val="24"/>
          <w:lang w:val="hy-AM"/>
        </w:rPr>
      </w:pPr>
      <w:r w:rsidRPr="00DC4042">
        <w:rPr>
          <w:rFonts w:ascii="GHEA Grapalat" w:eastAsia="Calibri" w:hAnsi="GHEA Grapalat" w:cs="Times New Roman"/>
          <w:b/>
          <w:i/>
          <w:sz w:val="24"/>
          <w:szCs w:val="24"/>
          <w:lang w:val="hy-AM"/>
        </w:rPr>
        <w:t>Շահերի բախման հասկացությունը.</w:t>
      </w:r>
    </w:p>
    <w:p w14:paraId="6EC8B44D" w14:textId="77777777" w:rsidR="00422E6C" w:rsidRPr="00DC4042" w:rsidRDefault="00422E6C" w:rsidP="004A04CC">
      <w:pPr>
        <w:spacing w:line="360" w:lineRule="auto"/>
        <w:ind w:firstLine="720"/>
        <w:contextualSpacing/>
        <w:jc w:val="both"/>
        <w:rPr>
          <w:rFonts w:ascii="GHEA Grapalat" w:eastAsia="Arial" w:hAnsi="GHEA Grapalat" w:cs="Arial"/>
          <w:iCs/>
          <w:color w:val="000000"/>
          <w:sz w:val="24"/>
          <w:szCs w:val="24"/>
          <w:shd w:val="clear" w:color="auto" w:fill="FFFFFF"/>
          <w:lang w:val="hy-AM"/>
        </w:rPr>
      </w:pPr>
      <w:r w:rsidRPr="00DC4042">
        <w:rPr>
          <w:rFonts w:ascii="GHEA Grapalat" w:eastAsia="Arial" w:hAnsi="GHEA Grapalat" w:cs="Arial"/>
          <w:sz w:val="24"/>
          <w:szCs w:val="24"/>
          <w:lang w:val="hy-AM"/>
        </w:rPr>
        <w:t xml:space="preserve">Հանրային ծառայության ոլորտում շահերի բախումը կարգավորված է «Հանրային ծառայության մասին» ՀՀ օրենքի 33-րդ հոդվածով: </w:t>
      </w:r>
      <w:r w:rsidRPr="00DC4042">
        <w:rPr>
          <w:rFonts w:ascii="GHEA Grapalat" w:eastAsia="Arial" w:hAnsi="GHEA Grapalat" w:cs="Arial"/>
          <w:color w:val="000000"/>
          <w:sz w:val="24"/>
          <w:szCs w:val="24"/>
          <w:shd w:val="clear" w:color="auto" w:fill="FFFFFF"/>
          <w:lang w:val="hy-AM"/>
        </w:rPr>
        <w:t xml:space="preserve">Ըստ «Հանրային ծառայության մասին» ՀՀ օրենքի 33-րդ հոդվածի 1-ին մասի` </w:t>
      </w:r>
      <w:r w:rsidRPr="00DC4042">
        <w:rPr>
          <w:rFonts w:ascii="GHEA Grapalat" w:eastAsia="Arial" w:hAnsi="GHEA Grapalat" w:cs="Arial"/>
          <w:iCs/>
          <w:color w:val="000000"/>
          <w:sz w:val="24"/>
          <w:szCs w:val="24"/>
          <w:shd w:val="clear" w:color="auto" w:fill="FFFFFF"/>
          <w:lang w:val="hy-AM"/>
        </w:rPr>
        <w:t>«Շահերի բախումն իրավիճակ է, երբ պաշտոն զբաղեցնող անձն իր լիազորություններն իրականացնելիս կատարում է գործողություն կամ ընդունում որոշում, որը ողջամտորեն կարող է մեկնաբանվել որպես իր կամ իր հետ փոխկապակցված անձի անձնական շահերով առաջնորդվել:</w:t>
      </w:r>
    </w:p>
    <w:p w14:paraId="24B9D467" w14:textId="77777777" w:rsidR="00422E6C" w:rsidRPr="00DC4042" w:rsidRDefault="00422E6C" w:rsidP="004A04CC">
      <w:pPr>
        <w:spacing w:line="360" w:lineRule="auto"/>
        <w:ind w:firstLine="720"/>
        <w:contextualSpacing/>
        <w:jc w:val="both"/>
        <w:rPr>
          <w:rFonts w:ascii="GHEA Grapalat" w:eastAsia="Arial" w:hAnsi="GHEA Grapalat" w:cs="Arial"/>
          <w:iCs/>
          <w:color w:val="000000"/>
          <w:sz w:val="24"/>
          <w:szCs w:val="24"/>
          <w:shd w:val="clear" w:color="auto" w:fill="FFFFFF"/>
          <w:lang w:val="hy-AM"/>
        </w:rPr>
      </w:pPr>
      <w:r w:rsidRPr="00DC4042">
        <w:rPr>
          <w:rFonts w:ascii="GHEA Grapalat" w:eastAsia="Arial" w:hAnsi="GHEA Grapalat" w:cs="Arial"/>
          <w:iCs/>
          <w:color w:val="000000"/>
          <w:sz w:val="24"/>
          <w:szCs w:val="24"/>
          <w:shd w:val="clear" w:color="auto" w:fill="FFFFFF"/>
          <w:lang w:val="hy-AM"/>
        </w:rPr>
        <w:t>2. Պաշտոն զբաղեցնող անձի՝ իր կամ իր հետ փոխկապակցված անձի անձնական շահերով առաջնորդվելը նշանակում է անձի լիազորությունների շրջանակում այնպիսի գործողություն կատարելը կամ որոշում ընդունելը (այդ թվում` կոլեգիալ մարմնի կազմում որոշում ընդունելուն մասնակցելը), որը թեև ինքնին օրինական է, սակայն հանգեցնում կամ նպաստում է կամ ողջամտորեն կարող է հանգեցնել կամ նպաստել նաև`</w:t>
      </w:r>
    </w:p>
    <w:p w14:paraId="08163296" w14:textId="77777777" w:rsidR="00422E6C" w:rsidRPr="00DC4042" w:rsidRDefault="00422E6C" w:rsidP="004A04CC">
      <w:pPr>
        <w:spacing w:line="360" w:lineRule="auto"/>
        <w:ind w:firstLine="720"/>
        <w:contextualSpacing/>
        <w:jc w:val="both"/>
        <w:rPr>
          <w:rFonts w:ascii="GHEA Grapalat" w:eastAsia="Arial" w:hAnsi="GHEA Grapalat" w:cs="Arial"/>
          <w:iCs/>
          <w:color w:val="000000"/>
          <w:sz w:val="24"/>
          <w:szCs w:val="24"/>
          <w:shd w:val="clear" w:color="auto" w:fill="FFFFFF"/>
          <w:lang w:val="hy-AM"/>
        </w:rPr>
      </w:pPr>
      <w:r w:rsidRPr="00DC4042">
        <w:rPr>
          <w:rFonts w:ascii="GHEA Grapalat" w:eastAsia="Arial" w:hAnsi="GHEA Grapalat" w:cs="Arial"/>
          <w:iCs/>
          <w:color w:val="000000"/>
          <w:sz w:val="24"/>
          <w:szCs w:val="24"/>
          <w:shd w:val="clear" w:color="auto" w:fill="FFFFFF"/>
          <w:lang w:val="hy-AM"/>
        </w:rPr>
        <w:t>1) իր կամ իր հետ փոխկապակցված անձի գույքային կամ իրավական դրության բարելավմանը.</w:t>
      </w:r>
    </w:p>
    <w:p w14:paraId="569F5CB0" w14:textId="77777777" w:rsidR="00422E6C" w:rsidRPr="00DC4042" w:rsidRDefault="00422E6C" w:rsidP="004A04CC">
      <w:pPr>
        <w:spacing w:line="360" w:lineRule="auto"/>
        <w:ind w:firstLine="720"/>
        <w:contextualSpacing/>
        <w:jc w:val="both"/>
        <w:rPr>
          <w:rFonts w:ascii="GHEA Grapalat" w:eastAsia="Arial" w:hAnsi="GHEA Grapalat" w:cs="Arial"/>
          <w:iCs/>
          <w:color w:val="000000"/>
          <w:sz w:val="24"/>
          <w:szCs w:val="24"/>
          <w:shd w:val="clear" w:color="auto" w:fill="FFFFFF"/>
          <w:lang w:val="hy-AM"/>
        </w:rPr>
      </w:pPr>
      <w:r w:rsidRPr="00DC4042">
        <w:rPr>
          <w:rFonts w:ascii="GHEA Grapalat" w:eastAsia="Arial" w:hAnsi="GHEA Grapalat" w:cs="Arial"/>
          <w:iCs/>
          <w:color w:val="000000"/>
          <w:sz w:val="24"/>
          <w:szCs w:val="24"/>
          <w:shd w:val="clear" w:color="auto" w:fill="FFFFFF"/>
          <w:lang w:val="hy-AM"/>
        </w:rPr>
        <w:t>2) իր կամ իր հետ փոխկապակցված անձի անդամակցած ոչ առևտրային կազմակերպության գույքային կամ իրավական դրության բարելավմանը.</w:t>
      </w:r>
    </w:p>
    <w:p w14:paraId="3AB3AE9E" w14:textId="77777777" w:rsidR="00422E6C" w:rsidRPr="00DC4042" w:rsidRDefault="00422E6C" w:rsidP="004A04CC">
      <w:pPr>
        <w:spacing w:line="360" w:lineRule="auto"/>
        <w:ind w:firstLine="720"/>
        <w:contextualSpacing/>
        <w:jc w:val="both"/>
        <w:rPr>
          <w:rFonts w:ascii="GHEA Grapalat" w:eastAsia="Arial" w:hAnsi="GHEA Grapalat" w:cs="Arial"/>
          <w:iCs/>
          <w:color w:val="000000"/>
          <w:sz w:val="24"/>
          <w:szCs w:val="24"/>
          <w:shd w:val="clear" w:color="auto" w:fill="FFFFFF"/>
          <w:lang w:val="hy-AM"/>
        </w:rPr>
      </w:pPr>
      <w:r w:rsidRPr="00DC4042">
        <w:rPr>
          <w:rFonts w:ascii="GHEA Grapalat" w:eastAsia="Arial" w:hAnsi="GHEA Grapalat" w:cs="Arial"/>
          <w:iCs/>
          <w:color w:val="000000"/>
          <w:sz w:val="24"/>
          <w:szCs w:val="24"/>
          <w:shd w:val="clear" w:color="auto" w:fill="FFFFFF"/>
          <w:lang w:val="hy-AM"/>
        </w:rPr>
        <w:t>3) իր կամ իր հետ փոխկապակցված անձի մասնակցությամբ առևտրային կազմակերպության գույքային կամ իրավական դրության բարելավմանը.</w:t>
      </w:r>
    </w:p>
    <w:p w14:paraId="1A3EC5B5" w14:textId="77777777" w:rsidR="00422E6C" w:rsidRPr="00DC4042" w:rsidRDefault="00422E6C" w:rsidP="004A04CC">
      <w:pPr>
        <w:spacing w:line="360" w:lineRule="auto"/>
        <w:ind w:firstLine="720"/>
        <w:contextualSpacing/>
        <w:jc w:val="both"/>
        <w:rPr>
          <w:rFonts w:ascii="GHEA Grapalat" w:eastAsia="Arial" w:hAnsi="GHEA Grapalat" w:cs="Arial"/>
          <w:color w:val="000000"/>
          <w:sz w:val="24"/>
          <w:szCs w:val="24"/>
          <w:shd w:val="clear" w:color="auto" w:fill="FFFFFF"/>
          <w:lang w:val="hy-AM"/>
        </w:rPr>
      </w:pPr>
      <w:r w:rsidRPr="00DC4042">
        <w:rPr>
          <w:rFonts w:ascii="GHEA Grapalat" w:eastAsia="Arial" w:hAnsi="GHEA Grapalat" w:cs="Arial"/>
          <w:iCs/>
          <w:color w:val="000000"/>
          <w:sz w:val="24"/>
          <w:szCs w:val="24"/>
          <w:shd w:val="clear" w:color="auto" w:fill="FFFFFF"/>
          <w:lang w:val="hy-AM"/>
        </w:rPr>
        <w:t>4) իր հետ փոխկապակցված անձին պաշտոնում նշանակմանը»</w:t>
      </w:r>
      <w:r w:rsidRPr="00DC4042">
        <w:rPr>
          <w:rFonts w:ascii="GHEA Grapalat" w:eastAsia="Arial" w:hAnsi="GHEA Grapalat" w:cs="Arial"/>
          <w:color w:val="000000"/>
          <w:sz w:val="24"/>
          <w:szCs w:val="24"/>
          <w:shd w:val="clear" w:color="auto" w:fill="FFFFFF"/>
          <w:lang w:val="hy-AM"/>
        </w:rPr>
        <w:t>:</w:t>
      </w:r>
    </w:p>
    <w:p w14:paraId="75337037" w14:textId="77777777" w:rsidR="00422E6C" w:rsidRPr="00DC4042" w:rsidRDefault="00422E6C" w:rsidP="004A04CC">
      <w:pPr>
        <w:spacing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 xml:space="preserve">Հարկ է նշել, որ վերոգրյալ հոդվածով տրվող սահմանումը չի արտացոլում շահերի բախման ամբողջական բովանդակությունն ու շրջանակը։ Սա </w:t>
      </w:r>
      <w:r w:rsidRPr="00DC4042">
        <w:rPr>
          <w:rFonts w:ascii="GHEA Grapalat" w:eastAsia="Arial" w:hAnsi="GHEA Grapalat" w:cs="Arial"/>
          <w:sz w:val="24"/>
          <w:szCs w:val="24"/>
          <w:lang w:val="hy-AM"/>
        </w:rPr>
        <w:lastRenderedPageBreak/>
        <w:t>պայմանավորված է նախ այն հանգամանքով, որ գործող կարգավորմամբ շահերի բախման իրավիճակը կապվում է պաշտոնատար անձի կողմից կատարվող ակտիվ գործողությունների հետ։ Մասնավորապես, ինչպես արդեն իսկ նշվել է վերևում, օրենսդրությամբ շահերի բախման հասկացությունը բնութագրվում է որպես</w:t>
      </w:r>
      <w:r w:rsidRPr="00DC4042">
        <w:rPr>
          <w:rFonts w:ascii="GHEA Grapalat" w:eastAsia="Arial" w:hAnsi="GHEA Grapalat" w:cs="Arial"/>
          <w:color w:val="000000"/>
          <w:sz w:val="24"/>
          <w:szCs w:val="24"/>
          <w:shd w:val="clear" w:color="auto" w:fill="FFFFFF"/>
          <w:lang w:val="hy-AM"/>
        </w:rPr>
        <w:t xml:space="preserve"> </w:t>
      </w:r>
      <w:r w:rsidRPr="00DC4042">
        <w:rPr>
          <w:rFonts w:ascii="GHEA Grapalat" w:eastAsia="Arial" w:hAnsi="GHEA Grapalat" w:cs="Arial"/>
          <w:iCs/>
          <w:color w:val="000000"/>
          <w:sz w:val="24"/>
          <w:szCs w:val="24"/>
          <w:shd w:val="clear" w:color="auto" w:fill="FFFFFF"/>
          <w:lang w:val="hy-AM"/>
        </w:rPr>
        <w:t xml:space="preserve">պաշտոն զբաղեցնող անձի՝ իր լիազորություններն իրականացնելիս գործողության կատարումը կամ որոշման ընդունումը։ Միևնույն ժամանակ, միջազգային փորձի, ինչպես նաև միջազգային կառույցների զեկույցների և ոլորտային այլ փաստաթղթերի ուսումնասիրությունը ցույց է տալիս, որ շահերի բախումը նկարագրվում է որպես մի իրավիճակ երբ, պաշտոնատար անձի մասնավոր շահը ազդում է վերջինիս պաշտոնեական պարտականությունների իրականացման վրա։ </w:t>
      </w:r>
    </w:p>
    <w:p w14:paraId="5164E86A" w14:textId="77777777" w:rsidR="00422E6C" w:rsidRPr="00DC4042" w:rsidRDefault="00422E6C" w:rsidP="004A04CC">
      <w:pPr>
        <w:spacing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Մասնավորապես, այս տեսանկյունից հետաքրքրական են ԵԽ-ի և ՏՀԶԿ-ի կողմից տրված շահերի բախման սահմանումները։ ՏՀԶԿ-ի կողմից մշակված «Հանրային ծառայողների շահերի բախման կառավարման ուղեցույց»-ում (այսուհետ նաև՝ Ուղեցույց) շահերի բախումը սահմանվում է, որպես «պաշտոնատար անձի պաշտոնեական պարտականությունների և մասնավոր շահերի միջև բախում, որում պաշտոնատար անձն ունի մասնավոր կարգավիճակից բխող շահեր, ինչը կարող է անբարենպաստ ազդեցություն ունենալ անձի պաշտոնեական պարտականությունների և գործառույթների վրա»։</w:t>
      </w:r>
    </w:p>
    <w:p w14:paraId="2734FCDB" w14:textId="77777777" w:rsidR="00422E6C" w:rsidRPr="00DC4042" w:rsidRDefault="00422E6C" w:rsidP="004A04CC">
      <w:pPr>
        <w:spacing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ԵԽ-ի «Հանրային պաշտոնյաների էթիկայի տիպային կանոնագրքի մեկնաբանություններ և կիրառում» փաստաթղթի</w:t>
      </w:r>
      <w:r w:rsidRPr="00DC4042">
        <w:rPr>
          <w:rStyle w:val="FootnoteReference"/>
          <w:rFonts w:ascii="GHEA Grapalat" w:eastAsia="Arial" w:hAnsi="GHEA Grapalat" w:cs="Arial"/>
          <w:sz w:val="24"/>
          <w:szCs w:val="24"/>
        </w:rPr>
        <w:footnoteReference w:id="17"/>
      </w:r>
      <w:r w:rsidRPr="00DC4042">
        <w:rPr>
          <w:rFonts w:ascii="GHEA Grapalat" w:eastAsia="Arial" w:hAnsi="GHEA Grapalat" w:cs="Arial"/>
          <w:sz w:val="24"/>
          <w:szCs w:val="24"/>
          <w:lang w:val="hy-AM"/>
        </w:rPr>
        <w:t xml:space="preserve"> հավելված 2-ի հոդված 13-ում սահմանված է, որ «Շահերի բախումն առաջանում է այնպիսի իրավիճակում, երբ պետական պաշտոնյան ունի մասնավոր շահ, որն ազդում է կամ կարող է ազդել կամ թվում է թե ազդեցություն է գործում իր պաշտոնեական պարտականությունների անաչառ և օբյեկտիվ կատարման վրա»։</w:t>
      </w:r>
    </w:p>
    <w:p w14:paraId="36D528F0" w14:textId="77777777" w:rsidR="00422E6C" w:rsidRPr="00DC4042" w:rsidRDefault="00422E6C" w:rsidP="004A04CC">
      <w:pPr>
        <w:spacing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 xml:space="preserve">Օրենքի 33-րդ հոդվածը առաջացնում է տարընկալումներ շահերի բախման իրավիճակի տարատեսակների վերաբերյալ: Մասնավորապես, ՀՀ օրենսդրությամբ առկա շահերի բախման իրավիճակի հասկացությունը </w:t>
      </w:r>
      <w:r w:rsidRPr="00DC4042">
        <w:rPr>
          <w:rFonts w:ascii="GHEA Grapalat" w:eastAsia="Arial" w:hAnsi="GHEA Grapalat" w:cs="Arial"/>
          <w:sz w:val="24"/>
          <w:szCs w:val="24"/>
          <w:lang w:val="hy-AM"/>
        </w:rPr>
        <w:lastRenderedPageBreak/>
        <w:t>սահմանում է միայն իրական կամ փաստացի շահերի բախման իրավիճակային դեպքերը՝ դուրս թողնելով պոտենցիալ շահերի բախման իրավիճակները։</w:t>
      </w:r>
    </w:p>
    <w:p w14:paraId="2A904EB0" w14:textId="77777777" w:rsidR="00422E6C" w:rsidRPr="00DC4042" w:rsidRDefault="00422E6C" w:rsidP="004A04CC">
      <w:pPr>
        <w:spacing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 xml:space="preserve">Միջազգային կազմակերպությունների կողմից ևս կարևորում են շահերի բախման իրավիճակների կարգավորմանն ուղղված կառուցակարգերի առկայությունը։ </w:t>
      </w:r>
    </w:p>
    <w:p w14:paraId="7D27850F" w14:textId="77777777" w:rsidR="00422E6C" w:rsidRPr="00DC4042" w:rsidRDefault="00422E6C" w:rsidP="004A04CC">
      <w:pPr>
        <w:spacing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ՏՀԶԿ-ի կողմից պոտենցիալ շահերի բախումը նկարագրվում է, որպես իրավիճակ, երբ պաշտոնատար անձի ունեցած մասնավոր շահերը ապագայում որոշակի հանգամանքների փոփոխության արդյունքում կարող են ազդեցություն ունենալ վերջինիս պաշտոնեական գործունեության վրա։ Նման իրավիճակ առաջանում է այն ժամանակ, երբ օրինակ պաշտոնատար անձի ընտանիքի անդամը աշխատում է նույն մարմնում և ապագայում կարող է պաշտոնատար անձից պահանջվել իրականացնելու վերահսկողություն իր ընտանիքի անդամի կատարած աշխատանքի նկատմամբ</w:t>
      </w:r>
      <w:r w:rsidRPr="00DC4042">
        <w:rPr>
          <w:rStyle w:val="FootnoteReference"/>
          <w:rFonts w:ascii="GHEA Grapalat" w:eastAsia="Arial" w:hAnsi="GHEA Grapalat" w:cs="Arial"/>
          <w:sz w:val="24"/>
          <w:szCs w:val="24"/>
          <w:lang w:val="hy-AM"/>
        </w:rPr>
        <w:t xml:space="preserve"> </w:t>
      </w:r>
      <w:r w:rsidRPr="00DC4042">
        <w:rPr>
          <w:rStyle w:val="FootnoteReference"/>
          <w:rFonts w:ascii="GHEA Grapalat" w:eastAsia="Arial" w:hAnsi="GHEA Grapalat" w:cs="Arial"/>
          <w:sz w:val="24"/>
          <w:szCs w:val="24"/>
        </w:rPr>
        <w:footnoteReference w:id="18"/>
      </w:r>
      <w:r w:rsidRPr="00DC4042">
        <w:rPr>
          <w:rFonts w:ascii="GHEA Grapalat" w:eastAsia="Arial" w:hAnsi="GHEA Grapalat" w:cs="Arial"/>
          <w:sz w:val="24"/>
          <w:szCs w:val="24"/>
          <w:lang w:val="hy-AM"/>
        </w:rPr>
        <w:t>։</w:t>
      </w:r>
    </w:p>
    <w:p w14:paraId="70288975" w14:textId="77777777" w:rsidR="00422E6C" w:rsidRPr="00DC4042" w:rsidRDefault="00422E6C" w:rsidP="004A04CC">
      <w:pPr>
        <w:spacing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ԵԽ/ԵՄ Արևելյան գործընկերության ծրագրային համագործակցության շրջանակներում մշակված «Պայքար կոռուպցիայի դեմ և լավ կառավարման խթանում/պայքար փողերի լվացման դեմ» զեկույցի</w:t>
      </w:r>
      <w:r w:rsidRPr="00DC4042">
        <w:rPr>
          <w:rStyle w:val="FootnoteReference"/>
          <w:rFonts w:ascii="GHEA Grapalat" w:eastAsia="Arial" w:hAnsi="GHEA Grapalat" w:cs="Arial"/>
          <w:sz w:val="24"/>
          <w:szCs w:val="24"/>
        </w:rPr>
        <w:footnoteReference w:id="19"/>
      </w:r>
      <w:r w:rsidRPr="00DC4042">
        <w:rPr>
          <w:rFonts w:ascii="GHEA Grapalat" w:eastAsia="Arial" w:hAnsi="GHEA Grapalat" w:cs="Arial"/>
          <w:sz w:val="24"/>
          <w:szCs w:val="24"/>
          <w:lang w:val="hy-AM"/>
        </w:rPr>
        <w:t xml:space="preserve"> շրջանակներում պոտենցիալ շահերի բախումը նկարագրվում է որպես մի իրավիճակ, երբ պաշտոնատար անձի մասնավոր շահերը ապագայում կարող են ազդեցություն ունենալ նրա պաշտոնեական պարտականությունների պատշաճ կատարման վրա: </w:t>
      </w:r>
    </w:p>
    <w:p w14:paraId="5E2E34D4" w14:textId="77777777" w:rsidR="00422E6C" w:rsidRPr="00DC4042" w:rsidRDefault="00422E6C" w:rsidP="004A04CC">
      <w:pPr>
        <w:spacing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Շահերի բախման իրավիճակի հասկացության, դրա տարատեսակների բնորոշման վերաբերյալ իրավակարգավորումներ են առկա Լիտվայի</w:t>
      </w:r>
      <w:r w:rsidRPr="00DC4042">
        <w:rPr>
          <w:rStyle w:val="FootnoteReference"/>
          <w:rFonts w:ascii="GHEA Grapalat" w:eastAsia="Arial" w:hAnsi="GHEA Grapalat" w:cs="Arial"/>
          <w:sz w:val="24"/>
          <w:szCs w:val="24"/>
        </w:rPr>
        <w:footnoteReference w:id="20"/>
      </w:r>
      <w:r w:rsidRPr="00DC4042">
        <w:rPr>
          <w:rFonts w:ascii="GHEA Grapalat" w:eastAsia="Arial" w:hAnsi="GHEA Grapalat" w:cs="Arial"/>
          <w:sz w:val="24"/>
          <w:szCs w:val="24"/>
          <w:lang w:val="hy-AM"/>
        </w:rPr>
        <w:t>, Լատվիայի</w:t>
      </w:r>
      <w:r w:rsidRPr="00DC4042">
        <w:rPr>
          <w:rStyle w:val="FootnoteReference"/>
          <w:rFonts w:ascii="GHEA Grapalat" w:eastAsia="Arial" w:hAnsi="GHEA Grapalat" w:cs="Arial"/>
          <w:sz w:val="24"/>
          <w:szCs w:val="24"/>
        </w:rPr>
        <w:footnoteReference w:id="21"/>
      </w:r>
      <w:r w:rsidRPr="00DC4042">
        <w:rPr>
          <w:rFonts w:ascii="GHEA Grapalat" w:eastAsia="Arial" w:hAnsi="GHEA Grapalat" w:cs="Arial"/>
          <w:sz w:val="24"/>
          <w:szCs w:val="24"/>
          <w:lang w:val="hy-AM"/>
        </w:rPr>
        <w:t xml:space="preserve"> «Շահերի բախման մասին», Սերբիայի</w:t>
      </w:r>
      <w:r w:rsidRPr="00DC4042">
        <w:rPr>
          <w:rStyle w:val="FootnoteReference"/>
          <w:rFonts w:ascii="GHEA Grapalat" w:eastAsia="Arial" w:hAnsi="GHEA Grapalat" w:cs="Arial"/>
          <w:sz w:val="24"/>
          <w:szCs w:val="24"/>
        </w:rPr>
        <w:footnoteReference w:id="22"/>
      </w:r>
      <w:r w:rsidRPr="00DC4042">
        <w:rPr>
          <w:rFonts w:ascii="GHEA Grapalat" w:eastAsia="Arial" w:hAnsi="GHEA Grapalat" w:cs="Arial"/>
          <w:sz w:val="24"/>
          <w:szCs w:val="24"/>
          <w:lang w:val="hy-AM"/>
        </w:rPr>
        <w:t xml:space="preserve"> «Հակակոռուպցիոն </w:t>
      </w:r>
      <w:r w:rsidRPr="00DC4042">
        <w:rPr>
          <w:rFonts w:ascii="GHEA Grapalat" w:eastAsia="Arial" w:hAnsi="GHEA Grapalat" w:cs="Arial"/>
          <w:sz w:val="24"/>
          <w:szCs w:val="24"/>
          <w:lang w:val="hy-AM"/>
        </w:rPr>
        <w:lastRenderedPageBreak/>
        <w:t>գործակալության, մասին», Մոնտենեգրոյի</w:t>
      </w:r>
      <w:r w:rsidRPr="00DC4042">
        <w:rPr>
          <w:rStyle w:val="FootnoteReference"/>
          <w:rFonts w:ascii="GHEA Grapalat" w:eastAsia="Arial" w:hAnsi="GHEA Grapalat" w:cs="Arial"/>
          <w:sz w:val="24"/>
          <w:szCs w:val="24"/>
        </w:rPr>
        <w:footnoteReference w:id="23"/>
      </w:r>
      <w:r w:rsidRPr="00DC4042">
        <w:rPr>
          <w:rFonts w:ascii="GHEA Grapalat" w:eastAsia="Arial" w:hAnsi="GHEA Grapalat" w:cs="Arial"/>
          <w:sz w:val="24"/>
          <w:szCs w:val="24"/>
          <w:lang w:val="hy-AM"/>
        </w:rPr>
        <w:t xml:space="preserve"> «Կոռուպցիայի կանխարգելման մասին», Ուկրաինայի</w:t>
      </w:r>
      <w:r w:rsidRPr="00DC4042">
        <w:rPr>
          <w:rStyle w:val="FootnoteReference"/>
          <w:rFonts w:ascii="GHEA Grapalat" w:eastAsia="Arial" w:hAnsi="GHEA Grapalat" w:cs="Arial"/>
          <w:sz w:val="24"/>
          <w:szCs w:val="24"/>
        </w:rPr>
        <w:footnoteReference w:id="24"/>
      </w:r>
      <w:r w:rsidRPr="00DC4042">
        <w:rPr>
          <w:rFonts w:ascii="GHEA Grapalat" w:eastAsia="Arial" w:hAnsi="GHEA Grapalat" w:cs="Arial"/>
          <w:sz w:val="24"/>
          <w:szCs w:val="24"/>
          <w:lang w:val="hy-AM"/>
        </w:rPr>
        <w:t xml:space="preserve"> «Կոռուպցիայի կանխարգելման մասին», Խորվաթիայի</w:t>
      </w:r>
      <w:r w:rsidRPr="00DC4042">
        <w:rPr>
          <w:rStyle w:val="FootnoteReference"/>
          <w:rFonts w:ascii="GHEA Grapalat" w:eastAsia="Arial" w:hAnsi="GHEA Grapalat" w:cs="Arial"/>
          <w:sz w:val="24"/>
          <w:szCs w:val="24"/>
        </w:rPr>
        <w:footnoteReference w:id="25"/>
      </w:r>
      <w:r w:rsidRPr="00DC4042">
        <w:rPr>
          <w:rFonts w:ascii="GHEA Grapalat" w:eastAsia="Arial" w:hAnsi="GHEA Grapalat" w:cs="Arial"/>
          <w:sz w:val="24"/>
          <w:szCs w:val="24"/>
          <w:lang w:val="hy-AM"/>
        </w:rPr>
        <w:t xml:space="preserve"> «Շահերի բախումը կանխարգելելու մասին» օրենքներով, Կանադայի</w:t>
      </w:r>
      <w:r w:rsidRPr="00DC4042">
        <w:rPr>
          <w:rStyle w:val="FootnoteReference"/>
          <w:rFonts w:ascii="GHEA Grapalat" w:eastAsia="Arial" w:hAnsi="GHEA Grapalat" w:cs="Arial"/>
          <w:sz w:val="24"/>
          <w:szCs w:val="24"/>
        </w:rPr>
        <w:footnoteReference w:id="26"/>
      </w:r>
      <w:r w:rsidRPr="00DC4042">
        <w:rPr>
          <w:rFonts w:ascii="GHEA Grapalat" w:eastAsia="Arial" w:hAnsi="GHEA Grapalat" w:cs="Arial"/>
          <w:sz w:val="24"/>
          <w:szCs w:val="24"/>
          <w:lang w:val="hy-AM"/>
        </w:rPr>
        <w:t xml:space="preserve"> «Շահերի բախման ակտով» և այլն:</w:t>
      </w:r>
    </w:p>
    <w:p w14:paraId="2DAD9570" w14:textId="77777777" w:rsidR="00422E6C" w:rsidRPr="00DC4042" w:rsidRDefault="00422E6C" w:rsidP="004A04CC">
      <w:pPr>
        <w:spacing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Սույն խնդրին անդրադարձ են կատարել նաև ՀՀ-ում գործող քաղաքացիական հասարակության ներկայացուցիչները և ոլորտային մասնագետները։</w:t>
      </w:r>
    </w:p>
    <w:p w14:paraId="774ABD28" w14:textId="77777777" w:rsidR="00422E6C" w:rsidRPr="00DC4042" w:rsidRDefault="00422E6C" w:rsidP="004A04CC">
      <w:pPr>
        <w:spacing w:line="360" w:lineRule="auto"/>
        <w:ind w:firstLine="720"/>
        <w:contextualSpacing/>
        <w:jc w:val="both"/>
        <w:rPr>
          <w:rFonts w:ascii="GHEA Grapalat" w:eastAsia="Arial" w:hAnsi="GHEA Grapalat" w:cs="Arial"/>
          <w:i/>
          <w:sz w:val="24"/>
          <w:szCs w:val="24"/>
          <w:lang w:val="hy-AM"/>
        </w:rPr>
      </w:pPr>
      <w:r w:rsidRPr="00DC4042">
        <w:rPr>
          <w:rFonts w:ascii="GHEA Grapalat" w:eastAsia="Arial" w:hAnsi="GHEA Grapalat" w:cs="Arial"/>
          <w:sz w:val="24"/>
          <w:szCs w:val="24"/>
          <w:lang w:val="hy-AM"/>
        </w:rPr>
        <w:t>Նման դիրքորոշում է արտահայտվել, օրինակ՝ «Թրանսփարենսի ինթերնեշնլ հակաոռուպցիան կենտրոն» (ԹԻՀԿ) Հասարակական կազմակերպության կողմից 2021 թվականին մշակված «Շահերի բախման համակարգը և դրա կառավարումը ՀՀ հանրային ծառայության ոլորտում» զեկույցով։ Մասնավորապես, նշված զեկույցի շրջանակներում առաջարկվում է «ՀԾՄ օրենքով կամ շահերի բախման կարգավորման առանձին օրենսդրական ակտով սահմանել</w:t>
      </w:r>
      <w:r w:rsidRPr="00DC4042">
        <w:rPr>
          <w:rFonts w:ascii="GHEA Grapalat" w:eastAsia="Arial" w:hAnsi="GHEA Grapalat" w:cs="Arial"/>
          <w:b/>
          <w:sz w:val="24"/>
          <w:szCs w:val="24"/>
          <w:lang w:val="hy-AM"/>
        </w:rPr>
        <w:t xml:space="preserve"> նաև պոտենցիալ</w:t>
      </w:r>
      <w:r w:rsidRPr="00DC4042">
        <w:rPr>
          <w:rFonts w:ascii="GHEA Grapalat" w:eastAsia="Arial" w:hAnsi="GHEA Grapalat" w:cs="Arial"/>
          <w:sz w:val="24"/>
          <w:szCs w:val="24"/>
          <w:lang w:val="hy-AM"/>
        </w:rPr>
        <w:t xml:space="preserve"> շահերի բախման իրավիճակի օրենսդրական գնահատման ու կարգավորման շրջանակները</w:t>
      </w:r>
      <w:r w:rsidRPr="00DC4042">
        <w:rPr>
          <w:rFonts w:ascii="Cambria Math" w:eastAsia="MS Mincho" w:hAnsi="Cambria Math" w:cs="Cambria Math"/>
          <w:sz w:val="24"/>
          <w:szCs w:val="24"/>
          <w:lang w:val="hy-AM"/>
        </w:rPr>
        <w:t>․</w:t>
      </w:r>
      <w:r w:rsidRPr="00DC4042">
        <w:rPr>
          <w:rFonts w:ascii="GHEA Grapalat" w:eastAsia="Arial" w:hAnsi="GHEA Grapalat" w:cs="Arial"/>
          <w:sz w:val="24"/>
          <w:szCs w:val="24"/>
          <w:lang w:val="hy-AM"/>
        </w:rPr>
        <w:t>»</w:t>
      </w:r>
      <w:r w:rsidRPr="00DC4042">
        <w:rPr>
          <w:rStyle w:val="FootnoteReference"/>
          <w:rFonts w:ascii="GHEA Grapalat" w:eastAsia="Arial" w:hAnsi="GHEA Grapalat" w:cs="Arial"/>
          <w:sz w:val="24"/>
          <w:szCs w:val="24"/>
        </w:rPr>
        <w:footnoteReference w:id="27"/>
      </w:r>
      <w:r w:rsidRPr="00DC4042">
        <w:rPr>
          <w:rFonts w:ascii="GHEA Grapalat" w:eastAsia="Arial" w:hAnsi="GHEA Grapalat" w:cs="Arial"/>
          <w:sz w:val="24"/>
          <w:szCs w:val="24"/>
          <w:lang w:val="hy-AM"/>
        </w:rPr>
        <w:t>:</w:t>
      </w:r>
    </w:p>
    <w:p w14:paraId="09478EB6" w14:textId="3F9D58FB" w:rsidR="00422E6C" w:rsidRPr="00DC4042" w:rsidRDefault="00422E6C" w:rsidP="004A04CC">
      <w:pPr>
        <w:spacing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 xml:space="preserve">Այսպիսով, անհրաժեշություն է առաջացել վերանայելու շահերի բախման՝ ՀՀ օրենսդրությամբ առկա հասկացությունը՝ հստակեցնելով շահերի բախման տարատեսակներից պոտենցիալ շահերի բախման սահմանումը՝ սահմանելով, </w:t>
      </w:r>
      <w:r w:rsidRPr="00DC4042">
        <w:rPr>
          <w:rFonts w:ascii="GHEA Grapalat" w:hAnsi="GHEA Grapalat"/>
          <w:sz w:val="24"/>
          <w:szCs w:val="24"/>
          <w:lang w:val="hy-AM"/>
        </w:rPr>
        <w:t xml:space="preserve">որ </w:t>
      </w:r>
      <w:r w:rsidRPr="00DC4042">
        <w:rPr>
          <w:rFonts w:ascii="GHEA Grapalat" w:eastAsia="Arial" w:hAnsi="GHEA Grapalat" w:cs="Arial"/>
          <w:sz w:val="24"/>
          <w:szCs w:val="24"/>
          <w:lang w:val="hy-AM"/>
        </w:rPr>
        <w:t xml:space="preserve">շահերի բախման իրավիճակ է նաև, երբ պաշտոն զբաղեցնող անձի մասնավոր շահերը </w:t>
      </w:r>
      <w:r w:rsidRPr="00DC4042">
        <w:rPr>
          <w:rFonts w:ascii="GHEA Grapalat" w:eastAsia="Arial" w:hAnsi="GHEA Grapalat" w:cs="Arial"/>
          <w:b/>
          <w:sz w:val="24"/>
          <w:szCs w:val="24"/>
          <w:lang w:val="hy-AM"/>
        </w:rPr>
        <w:t>կարող են</w:t>
      </w:r>
      <w:r w:rsidRPr="00DC4042">
        <w:rPr>
          <w:rFonts w:ascii="GHEA Grapalat" w:eastAsia="Arial" w:hAnsi="GHEA Grapalat" w:cs="Arial"/>
          <w:sz w:val="24"/>
          <w:szCs w:val="24"/>
          <w:lang w:val="hy-AM"/>
        </w:rPr>
        <w:t xml:space="preserve"> ազդել վերջինիս պաշտոնեական պարտականությունների անաչառ և օբյեկտիվ կատարման վրա։  Ընդ որում, ի տարբերություն Օրենքի ներկայիս կարգավորումների, որտեղ ըստ էության բացահայտված չէ </w:t>
      </w:r>
      <w:r w:rsidR="00944A31" w:rsidRPr="00DC4042">
        <w:rPr>
          <w:rFonts w:ascii="GHEA Grapalat" w:eastAsia="Arial" w:hAnsi="GHEA Grapalat" w:cs="Arial"/>
          <w:sz w:val="24"/>
          <w:szCs w:val="24"/>
          <w:lang w:val="hy-AM"/>
        </w:rPr>
        <w:t>«</w:t>
      </w:r>
      <w:r w:rsidRPr="00DC4042">
        <w:rPr>
          <w:rFonts w:ascii="GHEA Grapalat" w:eastAsia="Arial" w:hAnsi="GHEA Grapalat" w:cs="Arial"/>
          <w:sz w:val="24"/>
          <w:szCs w:val="24"/>
          <w:lang w:val="hy-AM"/>
        </w:rPr>
        <w:t>մասնավոր շահ</w:t>
      </w:r>
      <w:r w:rsidR="00944A31" w:rsidRPr="00DC4042">
        <w:rPr>
          <w:rFonts w:ascii="GHEA Grapalat" w:eastAsia="Arial" w:hAnsi="GHEA Grapalat" w:cs="Arial"/>
          <w:sz w:val="24"/>
          <w:szCs w:val="24"/>
          <w:lang w:val="hy-AM"/>
        </w:rPr>
        <w:t>»</w:t>
      </w:r>
      <w:r w:rsidRPr="00DC4042">
        <w:rPr>
          <w:rFonts w:ascii="GHEA Grapalat" w:eastAsia="Arial" w:hAnsi="GHEA Grapalat" w:cs="Arial"/>
          <w:sz w:val="24"/>
          <w:szCs w:val="24"/>
          <w:lang w:val="hy-AM"/>
        </w:rPr>
        <w:t xml:space="preserve"> եզրույթի բովանդակությունը, վերոգրյալ փաստաթղթերը նկարագրում են նաև այդ հասկացությունը։ Այսպես՝ ՏՀԶԿ Ուղեցույցի 14-րդ կետում </w:t>
      </w:r>
      <w:r w:rsidRPr="00DC4042">
        <w:rPr>
          <w:rFonts w:ascii="GHEA Grapalat" w:eastAsia="Arial" w:hAnsi="GHEA Grapalat" w:cs="Arial"/>
          <w:sz w:val="24"/>
          <w:szCs w:val="24"/>
          <w:lang w:val="hy-AM"/>
        </w:rPr>
        <w:lastRenderedPageBreak/>
        <w:t>պաշտոնատար անձի մասնավոր շահերի շրջանակը սահմանելիս նշվում է, որ «Այս սահմանման մեջ «մասնավոր շահերը» սահմանափակված չեն միայն ֆինանսական կամ դրամային շահերով, կամ այն շահերով, որոնք պաշտոնատար անձին տալիս են անմիջական անձնական շահ: Շահերի բախումը կարող է կապված լինել այդ պաշտոնատար անձի՝ որպես մասնավոր անձի՝ այլ իրավիճակներում իրավաչափ համարվող գործողությունների հետ, նրա պատկանելիությանը այլ կազմակերպություններին կամ դրանց հետ կապերին, ընտանեկան շահերին, եթե այդ շահերը կարող են ողջամտորեն դիտարկվել որպես անձի պաշտոնեական պարտականությունների իրականացման վրա անպատշաճ ազդեցություն ունեցող։»</w:t>
      </w:r>
      <w:r w:rsidRPr="00DC4042">
        <w:rPr>
          <w:rFonts w:ascii="GHEA Grapalat" w:eastAsia="Arial" w:hAnsi="GHEA Grapalat" w:cs="Arial"/>
          <w:sz w:val="24"/>
          <w:szCs w:val="24"/>
          <w:vertAlign w:val="superscript"/>
        </w:rPr>
        <w:footnoteReference w:id="28"/>
      </w:r>
      <w:r w:rsidRPr="00DC4042">
        <w:rPr>
          <w:rFonts w:ascii="GHEA Grapalat" w:eastAsia="Arial" w:hAnsi="GHEA Grapalat" w:cs="Arial"/>
          <w:sz w:val="24"/>
          <w:szCs w:val="24"/>
          <w:lang w:val="hy-AM"/>
        </w:rPr>
        <w:t xml:space="preserve">: </w:t>
      </w:r>
    </w:p>
    <w:p w14:paraId="193A943E" w14:textId="77777777" w:rsidR="00422E6C" w:rsidRPr="00DC4042" w:rsidRDefault="00422E6C" w:rsidP="004A04CC">
      <w:pPr>
        <w:spacing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ԵԽ-ի «Հանրային պաշտոնյաների էթիկայի տիպային կանոնագրքի մեկնաբանություններ և կիրառում» փաստաթղթի հավելված 2-ի հոդված 13-ի հոդվածի 2-րդ մասում տրված է պաշտոնատար անձի մասնավոր շահերի շրջանակը, որը բնութագրվում է հետևյալ կերպ. «պաշտոնյայի մասնավոր շահը ներառում է որևէ արտոնություն իրեն, իր ընտանիքին, մերձավոր ազգականներին, ընկերներին և անձանց կամ կազմակերպություններին, որոնց հետ նա ունի նաև գործարար կամ քաղաքական հարաբերություններ։ Այն ներառում է նաև նրանց հետ կապված ֆինանսական կամ քաղաքացիական պարտավորությունները»</w:t>
      </w:r>
      <w:r w:rsidRPr="00DC4042">
        <w:rPr>
          <w:rFonts w:ascii="GHEA Grapalat" w:eastAsia="Arial" w:hAnsi="GHEA Grapalat" w:cs="Arial"/>
          <w:sz w:val="24"/>
          <w:szCs w:val="24"/>
          <w:vertAlign w:val="superscript"/>
        </w:rPr>
        <w:footnoteReference w:id="29"/>
      </w:r>
      <w:r w:rsidRPr="00DC4042">
        <w:rPr>
          <w:rFonts w:ascii="GHEA Grapalat" w:eastAsia="Arial" w:hAnsi="GHEA Grapalat" w:cs="Arial"/>
          <w:sz w:val="24"/>
          <w:szCs w:val="24"/>
          <w:lang w:val="hy-AM"/>
        </w:rPr>
        <w:t>:</w:t>
      </w:r>
    </w:p>
    <w:p w14:paraId="7755C3DF" w14:textId="77777777" w:rsidR="00422E6C" w:rsidRPr="00DC4042" w:rsidRDefault="00422E6C" w:rsidP="004A04CC">
      <w:pPr>
        <w:spacing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Վերոգրյալի հաշվառմամբ՝ անհրաժեշտություն է առաջացել նաև գործող օրենսդրական կարգավորումների շրջանակում հստակորեն սահմանել պաշտոնատար անձի մասնավոր շահերի շրջանակը։</w:t>
      </w:r>
    </w:p>
    <w:p w14:paraId="62E0BA8A" w14:textId="77777777" w:rsidR="00422E6C" w:rsidRPr="00DC4042" w:rsidRDefault="00422E6C" w:rsidP="004A04CC">
      <w:pPr>
        <w:spacing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b/>
          <w:i/>
          <w:sz w:val="24"/>
          <w:szCs w:val="24"/>
          <w:lang w:val="hy-AM"/>
        </w:rPr>
        <w:t>Փոխկապակցված անձանց շրջանակը.</w:t>
      </w:r>
    </w:p>
    <w:p w14:paraId="626122D0" w14:textId="77777777" w:rsidR="00422E6C" w:rsidRPr="00DC4042" w:rsidRDefault="00422E6C" w:rsidP="004A04CC">
      <w:pPr>
        <w:spacing w:after="160"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 xml:space="preserve">«Հանրային ծառայության մասին» ՀՀ օրենքի 33-րդ հոդվածի 8-րդ մասի համաձայն՝ պաշտոն զբաղեցնող անձի փոխկապակցված անձինք են համարվում </w:t>
      </w:r>
      <w:r w:rsidRPr="00DC4042">
        <w:rPr>
          <w:rFonts w:ascii="GHEA Grapalat" w:eastAsia="Arial" w:hAnsi="GHEA Grapalat" w:cs="Arial"/>
          <w:sz w:val="24"/>
          <w:szCs w:val="24"/>
          <w:lang w:val="hy-AM"/>
        </w:rPr>
        <w:lastRenderedPageBreak/>
        <w:t>«</w:t>
      </w:r>
      <w:r w:rsidRPr="00DC4042">
        <w:rPr>
          <w:rFonts w:ascii="Cambria Math" w:eastAsia="Arial" w:hAnsi="Cambria Math" w:cs="Cambria Math"/>
          <w:sz w:val="24"/>
          <w:szCs w:val="24"/>
          <w:lang w:val="hy-AM"/>
        </w:rPr>
        <w:t>․․․․</w:t>
      </w:r>
      <w:r w:rsidRPr="00DC4042">
        <w:rPr>
          <w:rFonts w:ascii="GHEA Grapalat" w:eastAsia="Arial" w:hAnsi="GHEA Grapalat" w:cs="Arial"/>
          <w:sz w:val="24"/>
          <w:szCs w:val="24"/>
          <w:lang w:val="hy-AM"/>
        </w:rPr>
        <w:t xml:space="preserve"> պաշտոն զբաղեցնող անձի ամուսինը, պաշտոն զբաղեցնող անձի կամ նրա ամուսնու զավակը (այդ թվում՝ որդեգրված), ծնողը (այդ թվում՝ որդեգրողը), քույրը, եղբայրը, պապը, տատը, թոռը, մորաքույրը, հորաքույրը, հորեղբայրը, մորեղբայրը, քրոջ, եղբոր զավակները, պաշտոն զբաղեցնող անձի մորաքրոջ, հորաքրոջ, հորեղբոր, մորեղբոր զավակները, քրոջ, եղբոր, զավակի ամուսիններ»։ Ըստ էության, «Հանրային ծառայության մասին» ՀՀ օրենքում շահերի բախման սահմանման մեջ փոխկապակցված անձանց շրջանակը միայն կախվածության մեջ է դրված հանրային պաշտոն զբաղեցնող անձի և հանրային ծառայողի հետ արյունակցական կապով կապված անձանց հետ։ Մինչդեռ, օրինակ, ԵԽ-ի «Հանրային պաշտոնյաների էթիկայի տիպային կանոնագրքի մեկնաբանություններ և կիրառում» փաստաթղթի հավելվածի 13-րդ հոդվածի 2-րդ մասում</w:t>
      </w:r>
      <w:r w:rsidRPr="00DC4042">
        <w:rPr>
          <w:rFonts w:ascii="GHEA Grapalat" w:eastAsia="Arial" w:hAnsi="GHEA Grapalat" w:cs="Arial"/>
          <w:sz w:val="24"/>
          <w:szCs w:val="24"/>
          <w:vertAlign w:val="superscript"/>
        </w:rPr>
        <w:footnoteReference w:id="30"/>
      </w:r>
      <w:r w:rsidRPr="00DC4042">
        <w:rPr>
          <w:rFonts w:ascii="GHEA Grapalat" w:eastAsia="Arial" w:hAnsi="GHEA Grapalat" w:cs="Arial"/>
          <w:sz w:val="24"/>
          <w:szCs w:val="24"/>
          <w:lang w:val="hy-AM"/>
        </w:rPr>
        <w:t xml:space="preserve"> տրված պաշտոնատար անձի մասնավոր շահերի շրջանակը լայն է. հանրային պաշտոնյայի և ծառայողի կողմից առավելություններ ստանալը ներառում է նաև հանրային պաշտոնյայի մասնավոր (ֆինանսական, տնտեսական, քաղաքական) ավելի լայն շահերի շրջանակ, որոնք պարտադիր չէ որ միայն պայմանավորված լինեն նրա հետ ազգակցական կապով կապված անձանց հետ. օրինակ՝ բիզնեսի գործընկերը, մանկության, կուսակցական կամ գաղափարակից ընկերը, որոնց հետ հանրային պաշտոնյան հնարավոր է ավելի շատ սերտ հարաբերություններ ու շահեր ունենա, քան ազգակցական կապով կապված հարազատի հետ:</w:t>
      </w:r>
    </w:p>
    <w:p w14:paraId="438167DE" w14:textId="77777777" w:rsidR="00422E6C" w:rsidRPr="00DC4042" w:rsidRDefault="00422E6C" w:rsidP="004A04CC">
      <w:pPr>
        <w:spacing w:after="160"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ՏՀԶԿ հինգերորդ փուլի գնահատման զեկույցի շրջանակներում նույնպես անդրադարձ է կատարվել փոխկապակցված անձ եզրույթի մեկնաբանմանը՝ արձանագրելով, որ առկա կարգավորումներում փոխկապակցված անձանց շրջանակը չափազանց նեղ է սահմանված և ներառում է միայն պաշտոնատար անձի հետ ազգակացական կապի մեջ գտնվող անձանց, այնինչ փոխկապակցված անձանց շրջանակը կարող է ներառել նաև պաշտոնատար անձի</w:t>
      </w:r>
      <w:bookmarkStart w:id="1" w:name="_Hlk102692221"/>
      <w:r w:rsidRPr="00DC4042">
        <w:rPr>
          <w:rFonts w:ascii="GHEA Grapalat" w:eastAsia="Arial" w:hAnsi="GHEA Grapalat" w:cs="Arial"/>
          <w:sz w:val="24"/>
          <w:szCs w:val="24"/>
          <w:lang w:val="hy-AM"/>
        </w:rPr>
        <w:t xml:space="preserve"> հետ </w:t>
      </w:r>
      <w:r w:rsidRPr="00DC4042">
        <w:rPr>
          <w:rFonts w:ascii="GHEA Grapalat" w:eastAsia="Times New Roman" w:hAnsi="GHEA Grapalat" w:cs="Times New Roman"/>
          <w:color w:val="000000"/>
          <w:sz w:val="24"/>
          <w:szCs w:val="24"/>
          <w:lang w:val="hy-AM" w:eastAsia="en-GB"/>
        </w:rPr>
        <w:t xml:space="preserve">ոչ ազգակցական, սակայն սերտ անձնական հարաբերություններ </w:t>
      </w:r>
      <w:r w:rsidRPr="00DC4042">
        <w:rPr>
          <w:rFonts w:ascii="GHEA Grapalat" w:eastAsia="Times New Roman" w:hAnsi="GHEA Grapalat" w:cs="Times New Roman"/>
          <w:color w:val="000000"/>
          <w:sz w:val="24"/>
          <w:szCs w:val="24"/>
          <w:lang w:val="hy-AM" w:eastAsia="en-GB"/>
        </w:rPr>
        <w:lastRenderedPageBreak/>
        <w:t>ունեցող անձ</w:t>
      </w:r>
      <w:bookmarkEnd w:id="1"/>
      <w:r w:rsidRPr="00DC4042">
        <w:rPr>
          <w:rFonts w:ascii="GHEA Grapalat" w:eastAsia="Times New Roman" w:hAnsi="GHEA Grapalat" w:cs="Times New Roman"/>
          <w:color w:val="000000"/>
          <w:sz w:val="24"/>
          <w:szCs w:val="24"/>
          <w:lang w:val="hy-AM" w:eastAsia="en-GB"/>
        </w:rPr>
        <w:t>անց, այդ թվում` քաղաքական, տնտեսական, իրավաբանական անձանց հետ, ընկերակցությունների, առևտրային և ոչ առևտրային կազմակերպություններին անդամակցության կամ այլ հարաբերությունների վրա հիմնված շահերը:</w:t>
      </w:r>
    </w:p>
    <w:p w14:paraId="567A957A" w14:textId="77777777" w:rsidR="00422E6C" w:rsidRPr="00DC4042" w:rsidRDefault="00422E6C" w:rsidP="004A04CC">
      <w:pPr>
        <w:spacing w:after="160"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 xml:space="preserve">Ուստի, նախագծով փորձ է արվել ընդլայնելու փոխկապակցված անձանց շրջանակը՝ ներառելով նաև ոչ միայն ազգակցական կապեր ունեցող անձանց այլև ոչ ազգակցական սերտ անձնական հարաբերություններ ունեցող անձանց, առևտրային իրավաբանական անձանց և այլն: </w:t>
      </w:r>
    </w:p>
    <w:p w14:paraId="37C53D64" w14:textId="77777777" w:rsidR="00422E6C" w:rsidRPr="00DC4042" w:rsidRDefault="00422E6C" w:rsidP="004A04CC">
      <w:pPr>
        <w:spacing w:line="360" w:lineRule="auto"/>
        <w:ind w:firstLine="720"/>
        <w:contextualSpacing/>
        <w:jc w:val="both"/>
        <w:rPr>
          <w:rFonts w:ascii="GHEA Grapalat" w:eastAsia="Arial" w:hAnsi="GHEA Grapalat" w:cs="Arial"/>
          <w:b/>
          <w:i/>
          <w:sz w:val="24"/>
          <w:szCs w:val="24"/>
          <w:lang w:val="hy-AM"/>
        </w:rPr>
      </w:pPr>
      <w:r w:rsidRPr="00DC4042">
        <w:rPr>
          <w:rFonts w:ascii="GHEA Grapalat" w:eastAsia="Arial" w:hAnsi="GHEA Grapalat" w:cs="Arial"/>
          <w:b/>
          <w:i/>
          <w:sz w:val="24"/>
          <w:szCs w:val="24"/>
          <w:lang w:val="hy-AM"/>
        </w:rPr>
        <w:t>Շահերի բախման իրավիճակի կառավարումը և լուծումը</w:t>
      </w:r>
      <w:r w:rsidRPr="00DC4042">
        <w:rPr>
          <w:rFonts w:ascii="Cambria Math" w:eastAsia="MS Mincho" w:hAnsi="Cambria Math" w:cs="Cambria Math"/>
          <w:b/>
          <w:i/>
          <w:sz w:val="24"/>
          <w:szCs w:val="24"/>
          <w:lang w:val="hy-AM"/>
        </w:rPr>
        <w:t>․</w:t>
      </w:r>
    </w:p>
    <w:p w14:paraId="24D0F787" w14:textId="77777777" w:rsidR="00422E6C" w:rsidRPr="00DC4042" w:rsidRDefault="00422E6C" w:rsidP="004A04CC">
      <w:pPr>
        <w:spacing w:after="160"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Ներկայումս Օրենքի 33-րդ հոդվածի 5-րդ և 6-րդ մասերով կարգավորվում են շահերի բախման իրավիճակի լուծմանն ուղղված իրավահարաբերությունները։ Մասնավորապես, օրենքի 5-րդ հոդվածի համաձայն՝ վերադաս կամ անմիջական ղեկավար ունեցող պաշտոնատար անձը շահերի բախման իրավիճակի առաջացման ժամանակ պետք է դիմի վերջիններիս, որոնք առաջարկում են ձեռնարկել շահերի բախման իրավիճակի լուծման ուղղված քայլեր։</w:t>
      </w:r>
    </w:p>
    <w:p w14:paraId="7FB4B37B" w14:textId="77777777" w:rsidR="00422E6C" w:rsidRPr="00DC4042" w:rsidRDefault="00422E6C" w:rsidP="004A04CC">
      <w:pPr>
        <w:spacing w:after="160"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 xml:space="preserve">Մասնավորապես, ըստ Օրենքի քննարկվող կարգավորման՝ «Վերադաս անձը կամ անմիջական ղեկավարը ձեռնարկում է կամ առաջարկում է ձեռնարկել իրավիճակի լուծմանն ուղղված քայլեր: Վերադաս անձը կամ անմիջական ղեկավարն իրավունք ունի տվյալ հարցը քննարկելու և լուծելու իրավասությունը հանձնարարելու պաշտոն զբաղեցնող այլ անձի, եթե դա օրենքով արգելված չէ:»։ </w:t>
      </w:r>
    </w:p>
    <w:p w14:paraId="525673CA" w14:textId="77777777" w:rsidR="00422E6C" w:rsidRPr="00DC4042" w:rsidRDefault="00422E6C" w:rsidP="004A04CC">
      <w:pPr>
        <w:spacing w:after="160"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 xml:space="preserve">Սույն կարգավորման վերլուծությունը ցույց է տալիս, որ ըստ էության շահերի բախման իրավիճակի լուծման տեսանկյունից Օրենքը չունի հագեցած գործիքակազմ։ Մասնավորապես, Օրենքով նախատեսվում է ղեկավարի կամ վերադասի հայեցողական լիազորությունը՝ տվյալ հարցը քննարկելու և լուծելու իրավասությունը հանձնարարելու պաշտոն զբաղեցնող այլ անձի։ Բացի այդ, բացակայում են պաշտոնատար անձի կողմից </w:t>
      </w:r>
      <w:r w:rsidRPr="00DC4042">
        <w:rPr>
          <w:rFonts w:ascii="GHEA Grapalat" w:eastAsia="GHEA Grapalat" w:hAnsi="GHEA Grapalat" w:cs="GHEA Grapalat"/>
          <w:color w:val="000000"/>
          <w:sz w:val="24"/>
          <w:szCs w:val="24"/>
          <w:lang w:val="hy-AM"/>
        </w:rPr>
        <w:t>շահերի բախման իրավիճակի առաջացման պարագայում իր վերադաս անձին կամ անմիջական ղեկավարին գրավոր հայտարարություն ներկայացնելու ժամկետները</w:t>
      </w:r>
      <w:r w:rsidRPr="00DC4042">
        <w:rPr>
          <w:rFonts w:ascii="GHEA Grapalat" w:eastAsia="Arial" w:hAnsi="GHEA Grapalat" w:cs="Arial"/>
          <w:sz w:val="24"/>
          <w:szCs w:val="24"/>
          <w:lang w:val="hy-AM"/>
        </w:rPr>
        <w:t>, ինչը նախագծով ևս կարգավորվել է:</w:t>
      </w:r>
    </w:p>
    <w:p w14:paraId="59A4DAD5" w14:textId="77777777" w:rsidR="00422E6C" w:rsidRPr="00DC4042" w:rsidRDefault="00422E6C" w:rsidP="004A04CC">
      <w:pPr>
        <w:spacing w:after="160"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lastRenderedPageBreak/>
        <w:t>Նախագծով փորձ է արվել Օրենքի գործող իրավակարգավորումներում Կոռուպցիայի կանխարգելման հանձնաժողովին գրավոր հայտարարություն ներկայացնելու պարտականություն ունեցող անձանց թվին ավելացնելու նաև քաղաքական պաշտոն զբաղեցնող անձնանց:</w:t>
      </w:r>
    </w:p>
    <w:p w14:paraId="246BFE0A" w14:textId="77777777" w:rsidR="00422E6C" w:rsidRPr="00DC4042" w:rsidRDefault="00422E6C" w:rsidP="004A04CC">
      <w:pPr>
        <w:spacing w:after="160"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Միևնույն ժամանակ, միջազգային փորձի ուսումնասիրությունը, ինչպես նաև ոլորտային միջազգային կառույցների ուղենիշային փաստաթղթերը սահմանում են շահերի բախման իրավիճակի լուծման առավել լայն մեխանիզմներ։ Օրինակ՝ ՏՀԶԿ ուղեցույցով</w:t>
      </w:r>
      <w:r w:rsidRPr="00DC4042">
        <w:rPr>
          <w:rStyle w:val="FootnoteReference"/>
          <w:rFonts w:ascii="GHEA Grapalat" w:eastAsia="Arial" w:hAnsi="GHEA Grapalat" w:cs="Arial"/>
          <w:sz w:val="24"/>
          <w:szCs w:val="24"/>
        </w:rPr>
        <w:footnoteReference w:id="31"/>
      </w:r>
      <w:r w:rsidRPr="00DC4042">
        <w:rPr>
          <w:rFonts w:ascii="GHEA Grapalat" w:eastAsia="Arial" w:hAnsi="GHEA Grapalat" w:cs="Arial"/>
          <w:sz w:val="24"/>
          <w:szCs w:val="24"/>
          <w:lang w:val="hy-AM"/>
        </w:rPr>
        <w:t xml:space="preserve"> նման իրավիճակներում առաջարկվող գործիքակազմից է պաշտոնատար անձին որոշակի տեղեկատվության հասանելիությունից զրկելը, պաշտոնատար անձի լիազորությունների վերանայումը, պաշտոնյայի տեղափոխությունն ու պարտականությունների շրջանակի վերանայումը և այլն։</w:t>
      </w:r>
    </w:p>
    <w:p w14:paraId="5DFD853F" w14:textId="77777777" w:rsidR="00422E6C" w:rsidRPr="00DC4042" w:rsidRDefault="00422E6C" w:rsidP="004A04CC">
      <w:pPr>
        <w:spacing w:after="160"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Միջազգային փորձի ուսումնասիրությունը ցույց է տալիս, որ շահերի բախման իրավիճակի լուծման նմանատիպ լայն մեխանիզմներ առկա են Ուկրաինայում</w:t>
      </w:r>
      <w:r w:rsidRPr="00DC4042">
        <w:rPr>
          <w:rStyle w:val="FootnoteReference"/>
          <w:rFonts w:ascii="GHEA Grapalat" w:eastAsia="Arial" w:hAnsi="GHEA Grapalat" w:cs="Arial"/>
          <w:sz w:val="24"/>
          <w:szCs w:val="24"/>
        </w:rPr>
        <w:footnoteReference w:id="32"/>
      </w:r>
      <w:r w:rsidRPr="00DC4042">
        <w:rPr>
          <w:rFonts w:ascii="GHEA Grapalat" w:eastAsia="Arial" w:hAnsi="GHEA Grapalat" w:cs="Arial"/>
          <w:sz w:val="24"/>
          <w:szCs w:val="24"/>
          <w:lang w:val="hy-AM"/>
        </w:rPr>
        <w:t>, Կանադայում</w:t>
      </w:r>
      <w:r w:rsidRPr="00DC4042">
        <w:rPr>
          <w:rStyle w:val="FootnoteReference"/>
          <w:rFonts w:ascii="GHEA Grapalat" w:eastAsia="Arial" w:hAnsi="GHEA Grapalat" w:cs="Arial"/>
          <w:sz w:val="24"/>
          <w:szCs w:val="24"/>
        </w:rPr>
        <w:footnoteReference w:id="33"/>
      </w:r>
      <w:r w:rsidRPr="00DC4042">
        <w:rPr>
          <w:rFonts w:ascii="GHEA Grapalat" w:eastAsia="Arial" w:hAnsi="GHEA Grapalat" w:cs="Arial"/>
          <w:sz w:val="24"/>
          <w:szCs w:val="24"/>
          <w:lang w:val="hy-AM"/>
        </w:rPr>
        <w:t xml:space="preserve"> և մի շարք այլ երկրներում: Վերոգրյալի համատեքստում անհրաժեշտ է վերանայել նաև Օրենքի 33-րդ հոդվածի 5-րդ և 6-րդ մասերը՝ այն համապատասխանեցնելով միջազգայնորեն գործող կարգավորումներին։</w:t>
      </w:r>
    </w:p>
    <w:p w14:paraId="61EDA3E4" w14:textId="77777777" w:rsidR="00422E6C" w:rsidRPr="00DC4042" w:rsidRDefault="00422E6C" w:rsidP="004A04CC">
      <w:pPr>
        <w:shd w:val="clear" w:color="auto" w:fill="FFFFFF"/>
        <w:tabs>
          <w:tab w:val="left" w:pos="851"/>
          <w:tab w:val="left" w:pos="993"/>
          <w:tab w:val="left" w:pos="1276"/>
          <w:tab w:val="left" w:pos="1418"/>
        </w:tabs>
        <w:spacing w:line="360" w:lineRule="auto"/>
        <w:ind w:firstLine="720"/>
        <w:contextualSpacing/>
        <w:jc w:val="both"/>
        <w:rPr>
          <w:rFonts w:ascii="GHEA Grapalat" w:eastAsia="GHEA Grapalat" w:hAnsi="GHEA Grapalat" w:cs="GHEA Grapalat"/>
          <w:color w:val="000000"/>
          <w:sz w:val="24"/>
          <w:szCs w:val="24"/>
          <w:lang w:val="hy-AM"/>
        </w:rPr>
      </w:pPr>
      <w:r w:rsidRPr="00DC4042">
        <w:rPr>
          <w:rFonts w:ascii="GHEA Grapalat" w:eastAsia="Arial" w:hAnsi="GHEA Grapalat" w:cs="Arial"/>
          <w:sz w:val="24"/>
          <w:szCs w:val="24"/>
          <w:lang w:val="hy-AM"/>
        </w:rPr>
        <w:t xml:space="preserve">Միաժամանակ, Օրենքի գործող կարգավորումների ուսումնասիրությունը ցույց է տալիս, որ շահերի բախման պահանջների պահպանման նպատակով կիրառվող պատասխանատվության մեխանիզմները ևս վերանայման կարիք ունեն, որի արդյունքում Նախագծով շահերի բախման դրույթների խախտումը արձանագրելու պարագայում առաջարկվում է պատասխանատվության երկու մեխանիզմ՝ </w:t>
      </w:r>
      <w:r w:rsidRPr="00DC4042">
        <w:rPr>
          <w:rFonts w:ascii="GHEA Grapalat" w:eastAsia="GHEA Grapalat" w:hAnsi="GHEA Grapalat" w:cs="GHEA Grapalat"/>
          <w:color w:val="000000"/>
          <w:sz w:val="24"/>
          <w:szCs w:val="24"/>
          <w:lang w:val="hy-AM"/>
        </w:rPr>
        <w:t>վարչական կամ կարգապահական պատասխանատվություն</w:t>
      </w:r>
      <w:r w:rsidRPr="00DC4042">
        <w:rPr>
          <w:rFonts w:ascii="GHEA Grapalat" w:eastAsia="Times New Roman" w:hAnsi="GHEA Grapalat" w:cs="Times New Roman"/>
          <w:color w:val="000000"/>
          <w:sz w:val="24"/>
          <w:szCs w:val="24"/>
          <w:lang w:val="hy-AM" w:eastAsia="en-GB"/>
        </w:rPr>
        <w:t>:</w:t>
      </w:r>
    </w:p>
    <w:p w14:paraId="74B55225" w14:textId="77777777" w:rsidR="00422E6C" w:rsidRPr="00DC4042" w:rsidRDefault="00422E6C" w:rsidP="004A04CC">
      <w:pPr>
        <w:spacing w:after="160" w:line="360" w:lineRule="auto"/>
        <w:ind w:firstLine="720"/>
        <w:contextualSpacing/>
        <w:jc w:val="both"/>
        <w:rPr>
          <w:rFonts w:ascii="GHEA Grapalat" w:eastAsia="Arial" w:hAnsi="GHEA Grapalat" w:cs="Arial"/>
          <w:b/>
          <w:bCs/>
          <w:i/>
          <w:iCs/>
          <w:sz w:val="24"/>
          <w:szCs w:val="24"/>
          <w:lang w:val="hy-AM"/>
        </w:rPr>
      </w:pPr>
      <w:bookmarkStart w:id="2" w:name="_Hlk103858408"/>
      <w:r w:rsidRPr="00DC4042">
        <w:rPr>
          <w:rFonts w:ascii="GHEA Grapalat" w:eastAsia="Arial" w:hAnsi="GHEA Grapalat" w:cs="Arial"/>
          <w:b/>
          <w:bCs/>
          <w:i/>
          <w:iCs/>
          <w:sz w:val="24"/>
          <w:szCs w:val="24"/>
          <w:lang w:val="hy-AM"/>
        </w:rPr>
        <w:t>Հայտարարագիր ներկայացնելու պարտավորություն ունեցող անձանց ընդլայնումը.</w:t>
      </w:r>
    </w:p>
    <w:p w14:paraId="6B1D39FE" w14:textId="77777777" w:rsidR="00422E6C" w:rsidRPr="00DC4042" w:rsidRDefault="00422E6C" w:rsidP="004A04CC">
      <w:pPr>
        <w:spacing w:after="160" w:line="360" w:lineRule="auto"/>
        <w:ind w:firstLine="720"/>
        <w:contextualSpacing/>
        <w:jc w:val="both"/>
        <w:rPr>
          <w:rFonts w:ascii="GHEA Grapalat" w:eastAsia="GHEA Grapalat" w:hAnsi="GHEA Grapalat" w:cs="GHEA Grapalat"/>
          <w:color w:val="000000"/>
          <w:sz w:val="24"/>
          <w:szCs w:val="24"/>
          <w:lang w:val="hy-AM"/>
        </w:rPr>
      </w:pPr>
      <w:r w:rsidRPr="00DC4042">
        <w:rPr>
          <w:rFonts w:ascii="GHEA Grapalat" w:eastAsia="Arial" w:hAnsi="GHEA Grapalat" w:cs="Arial"/>
          <w:sz w:val="24"/>
          <w:szCs w:val="24"/>
          <w:lang w:val="hy-AM"/>
        </w:rPr>
        <w:lastRenderedPageBreak/>
        <w:t>Հանրային ծառայության ոլորտում հայտարարագիր ներկայացնելու պարտականություն ունեցող անձանց շրջանակը սահմանված է Օրենքի 34-րդ հոդվածով, սակայն դրանց մեջ չեն ներառված պ</w:t>
      </w:r>
      <w:r w:rsidRPr="00DC4042">
        <w:rPr>
          <w:rFonts w:ascii="GHEA Grapalat" w:eastAsia="GHEA Grapalat" w:hAnsi="GHEA Grapalat" w:cs="GHEA Grapalat"/>
          <w:color w:val="000000"/>
          <w:sz w:val="24"/>
          <w:szCs w:val="24"/>
          <w:lang w:val="hy-AM"/>
        </w:rPr>
        <w:t xml:space="preserve">ետական և համայնքային ոչ առևտրային կազմակերպությունների, պետության կողմից հիմնադրած հիմնադրամների, 50 և ավելի տոկոս Հայաստանի Հանրապետության և համայնքի մասնակցությամբ առևտրային կազմակերպության գործադիր մարմնի ղեկավարները: </w:t>
      </w:r>
    </w:p>
    <w:bookmarkEnd w:id="2"/>
    <w:p w14:paraId="5B46BC7C" w14:textId="77777777" w:rsidR="00422E6C" w:rsidRPr="00DC4042" w:rsidRDefault="00422E6C" w:rsidP="004A04CC">
      <w:pPr>
        <w:tabs>
          <w:tab w:val="left" w:pos="851"/>
          <w:tab w:val="left" w:pos="993"/>
          <w:tab w:val="left" w:pos="1276"/>
          <w:tab w:val="left" w:pos="1418"/>
        </w:tabs>
        <w:spacing w:line="360" w:lineRule="auto"/>
        <w:ind w:firstLine="720"/>
        <w:contextualSpacing/>
        <w:jc w:val="both"/>
        <w:rPr>
          <w:rFonts w:ascii="GHEA Grapalat" w:eastAsia="GHEA Grapalat" w:hAnsi="GHEA Grapalat" w:cs="GHEA Grapalat"/>
          <w:color w:val="000000"/>
          <w:sz w:val="24"/>
          <w:szCs w:val="24"/>
          <w:lang w:val="hy-AM"/>
        </w:rPr>
      </w:pPr>
      <w:r w:rsidRPr="00DC4042">
        <w:rPr>
          <w:rFonts w:ascii="GHEA Grapalat" w:eastAsia="GHEA Grapalat" w:hAnsi="GHEA Grapalat" w:cs="GHEA Grapalat"/>
          <w:color w:val="000000"/>
          <w:sz w:val="24"/>
          <w:szCs w:val="24"/>
          <w:lang w:val="hy-AM"/>
        </w:rPr>
        <w:t>Հաշվի առնելով նշված կազմակերպությունների գործունեության բնույթը, դրանից բխող ռիսկերը (օրինակ՝ նշված կազմակերպությունները հանդիսանում են «Գնումների մասին» ՀՀ օրենքի 2-րդ հոդվածի 1-ին մասի իմաստով պատվիրատու)՝ անհրաժեշտություն է առաջացել Նախագծով վերոնշյալ կազմակերպությունների  գործադիր մարմնի ղեկավարների և նրանց ընտանիքի անդամների համար նույնպես նախատեսելու գույքի, եկամուտների, շահերի և ծախսերի հայտարարագիր ներկայացնելու պարտավորություն:</w:t>
      </w:r>
    </w:p>
    <w:p w14:paraId="43B9BA96" w14:textId="77777777" w:rsidR="00422E6C" w:rsidRPr="00DC4042" w:rsidRDefault="00422E6C" w:rsidP="004A04CC">
      <w:pPr>
        <w:tabs>
          <w:tab w:val="left" w:pos="851"/>
          <w:tab w:val="left" w:pos="993"/>
          <w:tab w:val="left" w:pos="1276"/>
          <w:tab w:val="left" w:pos="1418"/>
        </w:tabs>
        <w:spacing w:line="360" w:lineRule="auto"/>
        <w:ind w:firstLine="720"/>
        <w:contextualSpacing/>
        <w:jc w:val="both"/>
        <w:rPr>
          <w:rFonts w:ascii="GHEA Grapalat" w:hAnsi="GHEA Grapalat"/>
          <w:sz w:val="24"/>
          <w:szCs w:val="24"/>
          <w:lang w:val="hy-AM"/>
        </w:rPr>
      </w:pPr>
      <w:r w:rsidRPr="00DC4042">
        <w:rPr>
          <w:rFonts w:ascii="GHEA Grapalat" w:eastAsia="Calibri" w:hAnsi="GHEA Grapalat" w:cs="Times New Roman"/>
          <w:bCs/>
          <w:sz w:val="24"/>
          <w:szCs w:val="24"/>
          <w:lang w:val="hy-AM"/>
        </w:rPr>
        <w:t>Հայտարարագիր ներկայացնելու պարտավորություն ունեցող անձանց շրջանակի ընդլայնման մասին պահանջը ամրագրված է նաև Միջազգային կազմակերպությունների կողմից: Մասնավորապես, ՄԱԿ-ի Կոռուպցիայի դեմ Կոնվենցիայի 8-րդ հոդվածի 5-րդ մասի համաձայն՝</w:t>
      </w:r>
      <w:r w:rsidRPr="00DC4042">
        <w:rPr>
          <w:rFonts w:ascii="GHEA Grapalat" w:hAnsi="GHEA Grapalat"/>
          <w:sz w:val="24"/>
          <w:szCs w:val="24"/>
          <w:lang w:val="hy-AM"/>
        </w:rPr>
        <w:t xml:space="preserve"> </w:t>
      </w:r>
      <w:r w:rsidRPr="00DC4042">
        <w:rPr>
          <w:rFonts w:ascii="GHEA Grapalat" w:eastAsia="Calibri" w:hAnsi="GHEA Grapalat" w:cs="Times New Roman"/>
          <w:bCs/>
          <w:sz w:val="24"/>
          <w:szCs w:val="24"/>
          <w:lang w:val="hy-AM"/>
        </w:rPr>
        <w:t>յուրաքանչյուր մասնակից պետություն պետք է ձգտի համապատասխան դեպքերում և իր ներքին օրենսդրության հիմնարար սկզբունքներին համապատասխան, սահմանել այնպիսի միջոցներ և համակարգեր, որոնք պաշտոնատար անձանց կպարտավորեցնեն համապատասխան մարմիններին ներկայացնել հայտարարագրեր, inter alia, արտածառայողական գործունեության, զբաղմունքի, ներդրումների, ակտիվների մասին և էական նվիրատվությունների կամ օգուտների մասին, որոնց հետ կապված կարող է շահերի բախում առաջանալ որպես պաշտոնատար անձ նրանց գործառույթների առնչությամբ։ Սույն օրենսդրական բացին հանձնարարականի տեսքով անդրադարձ է կատարվել նաև Տնտեսական համագործակցության և զարգացման կազմակերպության (</w:t>
      </w:r>
      <w:r w:rsidRPr="00DC4042">
        <w:rPr>
          <w:rFonts w:ascii="GHEA Grapalat" w:hAnsi="GHEA Grapalat"/>
          <w:sz w:val="24"/>
          <w:szCs w:val="24"/>
          <w:lang w:val="hy-AM"/>
        </w:rPr>
        <w:t xml:space="preserve">ՏՀԶԿ)-ի՝ Արեւելյան Եվրոպայի և Կենտրոնական Ասիայի հակակոռուպցիոն </w:t>
      </w:r>
      <w:r w:rsidRPr="00DC4042">
        <w:rPr>
          <w:rFonts w:ascii="GHEA Grapalat" w:hAnsi="GHEA Grapalat"/>
          <w:sz w:val="24"/>
          <w:szCs w:val="24"/>
          <w:lang w:val="hy-AM"/>
        </w:rPr>
        <w:lastRenderedPageBreak/>
        <w:t>ցանցի Ստամբուլյան հակակոռուպցիոն գործողությունների ծրագրի մոնիթորինգի հինգերորդ փուլի շրջանակներում՝ հատկապես կարևորելով հայտարարագրման պահանջի սահմանումը պետական մասնակցությամբ ընկերությունների, ՊՈԱԿ/ՀՈԱԿ-ների ղեկավար կազմի համար:</w:t>
      </w:r>
    </w:p>
    <w:p w14:paraId="4737E8A7" w14:textId="77777777" w:rsidR="00422E6C" w:rsidRPr="00DC4042" w:rsidRDefault="00422E6C" w:rsidP="004A04CC">
      <w:pPr>
        <w:tabs>
          <w:tab w:val="left" w:pos="851"/>
          <w:tab w:val="left" w:pos="993"/>
          <w:tab w:val="left" w:pos="1276"/>
          <w:tab w:val="left" w:pos="1418"/>
        </w:tabs>
        <w:spacing w:line="360" w:lineRule="auto"/>
        <w:ind w:firstLine="720"/>
        <w:contextualSpacing/>
        <w:jc w:val="both"/>
        <w:rPr>
          <w:rFonts w:ascii="GHEA Grapalat" w:eastAsia="Arial" w:hAnsi="GHEA Grapalat" w:cs="Arial"/>
          <w:b/>
          <w:i/>
          <w:sz w:val="24"/>
          <w:szCs w:val="24"/>
          <w:lang w:val="hy-AM"/>
        </w:rPr>
      </w:pPr>
      <w:r w:rsidRPr="00DC4042">
        <w:rPr>
          <w:rFonts w:ascii="GHEA Grapalat" w:eastAsia="GHEA Grapalat" w:hAnsi="GHEA Grapalat" w:cs="GHEA Grapalat"/>
          <w:b/>
          <w:i/>
          <w:color w:val="000000"/>
          <w:sz w:val="24"/>
          <w:szCs w:val="24"/>
          <w:lang w:val="hy-AM"/>
        </w:rPr>
        <w:t xml:space="preserve">Պատասխանատվությունը </w:t>
      </w:r>
      <w:r w:rsidRPr="00DC4042">
        <w:rPr>
          <w:rFonts w:ascii="GHEA Grapalat" w:eastAsia="Arial" w:hAnsi="GHEA Grapalat" w:cs="Arial"/>
          <w:b/>
          <w:i/>
          <w:sz w:val="24"/>
          <w:szCs w:val="24"/>
          <w:lang w:val="hy-AM"/>
        </w:rPr>
        <w:t>շահերի բախման դրույթների խախտման կապակցությամբ:</w:t>
      </w:r>
    </w:p>
    <w:p w14:paraId="46E5388B" w14:textId="77777777" w:rsidR="00422E6C" w:rsidRPr="00DC4042" w:rsidRDefault="00422E6C" w:rsidP="004A04CC">
      <w:pPr>
        <w:tabs>
          <w:tab w:val="left" w:pos="851"/>
          <w:tab w:val="left" w:pos="993"/>
          <w:tab w:val="left" w:pos="1276"/>
          <w:tab w:val="left" w:pos="1418"/>
        </w:tabs>
        <w:spacing w:line="360" w:lineRule="auto"/>
        <w:ind w:firstLine="720"/>
        <w:contextualSpacing/>
        <w:jc w:val="both"/>
        <w:rPr>
          <w:rFonts w:ascii="GHEA Grapalat" w:hAnsi="GHEA Grapalat"/>
          <w:sz w:val="24"/>
          <w:szCs w:val="24"/>
          <w:lang w:val="hy-AM"/>
        </w:rPr>
      </w:pPr>
      <w:r w:rsidRPr="00DC4042">
        <w:rPr>
          <w:rFonts w:ascii="GHEA Grapalat" w:eastAsia="Arial" w:hAnsi="GHEA Grapalat" w:cs="Arial"/>
          <w:sz w:val="24"/>
          <w:szCs w:val="24"/>
          <w:lang w:val="hy-AM"/>
        </w:rPr>
        <w:t xml:space="preserve">Հանրային ծառայության ոլորտում, ինչպես արդեն նշվեց, բացակայում են շահերի բախման դրույթների խախտման կապակցությամբ վրա հասնող պատասխանատվության վերաբերյալ համապատասխան կարգավորումները: Ուստի, Նախագծով անդրադարձ է կատարվել վերոնշյալ օրենսդրական բացի կարգավորմանը՝ </w:t>
      </w:r>
      <w:r w:rsidRPr="00DC4042">
        <w:rPr>
          <w:rFonts w:ascii="GHEA Grapalat" w:hAnsi="GHEA Grapalat"/>
          <w:sz w:val="24"/>
          <w:szCs w:val="24"/>
          <w:lang w:val="hy-AM"/>
        </w:rPr>
        <w:t>Վարչական իրավախախտումների վերաբերյալ Հայաստանի Հանրապետության օրենսգրքում (այսուհետ՝ Օրենսգիրք) նախատեսելով մի շարք պատասխանատվության միջոցներ այն դեպքերի կապակցությամբ, երբ վերադաս կամ անմիջական ղեկավար չունեցող կամ քաղաքական պաշտոն զբաղեցնող անձը շահերի բախման իրավիճակի վերաբերյալ Կոռուպցիայի կանխարգելման հանձնաժողովին շահերի բախման վերաբերող հանգամանքների մասին գրավոր հայտարարություն չի ներկայացնում, նախքան շահերի բախման հանգամանքների վերաբերյալ Կոռուպցիայի կանխարգելման հանձնաժողովի առաջարկությունը ստանալը պաշտոն զբաղեցնող անձը շահերի բախման իրավիճակում գործողություն (անգործություն) է կատարում կամ որոշում է ընդունում, ինչպես նաև այն իրավիճակում, երբ պաշտոն զբաղեցնող անձը շահերի բախման իրավիճակի վերաբերյալ Կոռուպցիայի կանխարգելման հանձնաժողովի ներկայացրած առաջարկությանն առերևույթ հակասող գործողություն (անգործություն) է կատարում կամ որոշում է ընդունում:</w:t>
      </w:r>
    </w:p>
    <w:p w14:paraId="62B6F939" w14:textId="77777777" w:rsidR="00422E6C" w:rsidRPr="00DC4042" w:rsidRDefault="00422E6C" w:rsidP="00133BC5">
      <w:pPr>
        <w:tabs>
          <w:tab w:val="left" w:pos="993"/>
          <w:tab w:val="left" w:pos="1418"/>
        </w:tabs>
        <w:spacing w:after="0" w:line="360" w:lineRule="auto"/>
        <w:ind w:firstLine="720"/>
        <w:contextualSpacing/>
        <w:jc w:val="both"/>
        <w:rPr>
          <w:rFonts w:ascii="GHEA Grapalat" w:eastAsia="Calibri" w:hAnsi="GHEA Grapalat" w:cs="Times New Roman"/>
          <w:sz w:val="24"/>
          <w:szCs w:val="24"/>
          <w:lang w:val="hy-AM"/>
        </w:rPr>
      </w:pPr>
      <w:r w:rsidRPr="00DC4042">
        <w:rPr>
          <w:rFonts w:ascii="GHEA Grapalat" w:eastAsia="Arial" w:hAnsi="GHEA Grapalat" w:cs="Arial"/>
          <w:sz w:val="24"/>
          <w:szCs w:val="24"/>
          <w:lang w:val="hy-AM"/>
        </w:rPr>
        <w:t xml:space="preserve">Հանրային ծառայության մասին» ՀՀ օրենքում </w:t>
      </w:r>
      <w:r w:rsidRPr="00DC4042">
        <w:rPr>
          <w:rFonts w:ascii="GHEA Grapalat" w:eastAsia="Calibri" w:hAnsi="GHEA Grapalat" w:cs="Times New Roman"/>
          <w:sz w:val="24"/>
          <w:szCs w:val="24"/>
          <w:lang w:val="hy-AM"/>
        </w:rPr>
        <w:t xml:space="preserve">հանրային պաշտոն զբաղեցնող անձանց և հանրային ծառայողների շահերի բախման և անհամատեղելիության պահանջների վերաբերյալ օրենսդրական կարգավորումների կատարելագործման արդյունքում անհրաժեշտություն է առաջացել կատարելու օրենսդրական փոփոխություններ և լրացումներ </w:t>
      </w:r>
      <w:r w:rsidRPr="00DC4042">
        <w:rPr>
          <w:rFonts w:ascii="GHEA Grapalat" w:eastAsia="Calibri" w:hAnsi="GHEA Grapalat" w:cs="Times New Roman"/>
          <w:sz w:val="24"/>
          <w:szCs w:val="24"/>
          <w:lang w:val="hy-AM"/>
        </w:rPr>
        <w:lastRenderedPageBreak/>
        <w:t>ոլորտային օրենքներում: Մասնավորապես, Նախագծով առաջարկվում է լրացում կատարել՝</w:t>
      </w:r>
    </w:p>
    <w:p w14:paraId="2083D98C" w14:textId="77777777" w:rsidR="00422E6C" w:rsidRPr="00DC4042" w:rsidRDefault="00422E6C" w:rsidP="004A04CC">
      <w:pPr>
        <w:pStyle w:val="ListParagraph"/>
        <w:numPr>
          <w:ilvl w:val="0"/>
          <w:numId w:val="4"/>
        </w:numPr>
        <w:tabs>
          <w:tab w:val="left" w:pos="993"/>
          <w:tab w:val="left" w:pos="1418"/>
        </w:tabs>
        <w:spacing w:after="0" w:line="360" w:lineRule="auto"/>
        <w:ind w:left="0" w:firstLine="720"/>
        <w:jc w:val="both"/>
        <w:rPr>
          <w:rFonts w:ascii="GHEA Grapalat" w:hAnsi="GHEA Grapalat"/>
          <w:sz w:val="24"/>
          <w:szCs w:val="24"/>
          <w:lang w:val="hy-AM"/>
        </w:rPr>
      </w:pPr>
      <w:r w:rsidRPr="00DC4042">
        <w:rPr>
          <w:rFonts w:ascii="GHEA Grapalat" w:hAnsi="GHEA Grapalat"/>
          <w:bCs/>
          <w:sz w:val="24"/>
          <w:szCs w:val="24"/>
          <w:lang w:val="hy-AM"/>
        </w:rPr>
        <w:t>«Իրավաբանական անձանց պետական գրանցման, իրավաբանական անձանց առանձնացված ստորաբաժանումների, հիմնարկների և անհատ ձեռնարկատերերի պետական հաշվառման մասին» 2001 թվականի ապրիլի 3-ի ՀՕ-169 օրենքում՝ նախատեսելով սահմանափակ պատասխանատվությամբ ընկերության բաժնեմասը հավատարմագրային կառավարման հանձնելու վերաբերյալ տեղեկություններ ներկայացնելու պարտականություն:</w:t>
      </w:r>
    </w:p>
    <w:p w14:paraId="7D3DA187" w14:textId="77777777" w:rsidR="00422E6C" w:rsidRPr="00DC4042" w:rsidRDefault="00422E6C" w:rsidP="004A04CC">
      <w:pPr>
        <w:pStyle w:val="BalloonText"/>
        <w:numPr>
          <w:ilvl w:val="0"/>
          <w:numId w:val="4"/>
        </w:numPr>
        <w:tabs>
          <w:tab w:val="left" w:pos="993"/>
          <w:tab w:val="left" w:pos="1418"/>
        </w:tabs>
        <w:spacing w:line="360" w:lineRule="auto"/>
        <w:ind w:left="0" w:firstLine="720"/>
        <w:contextualSpacing/>
        <w:jc w:val="both"/>
        <w:rPr>
          <w:rFonts w:ascii="GHEA Grapalat" w:hAnsi="GHEA Grapalat" w:cstheme="minorBidi"/>
          <w:bCs/>
          <w:sz w:val="24"/>
          <w:szCs w:val="24"/>
          <w:lang w:val="hy-AM"/>
        </w:rPr>
      </w:pPr>
      <w:r w:rsidRPr="00DC4042">
        <w:rPr>
          <w:rFonts w:ascii="GHEA Grapalat" w:hAnsi="GHEA Grapalat"/>
          <w:bCs/>
          <w:sz w:val="24"/>
          <w:szCs w:val="24"/>
          <w:lang w:val="hy-AM"/>
        </w:rPr>
        <w:t>«</w:t>
      </w:r>
      <w:r w:rsidRPr="00DC4042">
        <w:rPr>
          <w:rFonts w:ascii="GHEA Grapalat" w:hAnsi="GHEA Grapalat" w:cstheme="minorBidi"/>
          <w:bCs/>
          <w:sz w:val="24"/>
          <w:szCs w:val="24"/>
          <w:lang w:val="hy-AM"/>
        </w:rPr>
        <w:t>Գործունեության իրականացման ծանուցման մասին» 2015 թվականի նոյեմբերի 13-ի ՀO-120-Ն օրենքում՝ ծանուցման ենթակա գործունեության տեսակների մեջ ներառելով նաև սահմանափակ պատասխանատվությամբ ընկերությունների բաժնեմասերի հավատարմագրային կառավարման գործընթացը:</w:t>
      </w:r>
    </w:p>
    <w:p w14:paraId="406AB7CC" w14:textId="77777777" w:rsidR="00422E6C" w:rsidRPr="00DC4042" w:rsidRDefault="00422E6C" w:rsidP="004A04CC">
      <w:pPr>
        <w:pStyle w:val="ListParagraph"/>
        <w:numPr>
          <w:ilvl w:val="0"/>
          <w:numId w:val="4"/>
        </w:numPr>
        <w:tabs>
          <w:tab w:val="left" w:pos="993"/>
          <w:tab w:val="left" w:pos="1418"/>
        </w:tabs>
        <w:spacing w:after="0" w:line="360" w:lineRule="auto"/>
        <w:ind w:left="0" w:firstLine="720"/>
        <w:jc w:val="both"/>
        <w:rPr>
          <w:rFonts w:ascii="GHEA Grapalat" w:hAnsi="GHEA Grapalat"/>
          <w:sz w:val="24"/>
          <w:szCs w:val="24"/>
          <w:lang w:val="hy-AM"/>
        </w:rPr>
      </w:pPr>
      <w:r w:rsidRPr="00DC4042">
        <w:rPr>
          <w:rFonts w:ascii="GHEA Grapalat" w:hAnsi="GHEA Grapalat"/>
          <w:bCs/>
          <w:sz w:val="24"/>
          <w:szCs w:val="24"/>
          <w:lang w:val="hy-AM"/>
        </w:rPr>
        <w:t xml:space="preserve">Պետական տուրքի մասին» 1997 թվականի դեկտեմբերի 27-ի ՀՕ-186 օրենքում՝ սահմանափակ պատասխանատվությամբ ընկերության բաժնեմասը հավատարմագրային կառավարման հանձնումը գրանցելու համար սահմանելով պետական տուրք վճարելու պարտականություն բազային տուրքի 5-ապատիկի չափով, իսկ սահմանափակ պատասխանատվությամբ ընկերությունների բաժնեմասերի հավատարմագրային կառավարման իրավունք ձեռք բերելու համար պետական տուրք վճարելու պարտականություն՝ </w:t>
      </w:r>
      <w:r w:rsidRPr="00DC4042">
        <w:rPr>
          <w:rFonts w:ascii="GHEA Grapalat" w:hAnsi="GHEA Grapalat"/>
          <w:sz w:val="24"/>
          <w:szCs w:val="24"/>
          <w:lang w:val="hy-AM"/>
        </w:rPr>
        <w:t>տարեկան բազային տուրքի 50-ապատիկի  չափով:</w:t>
      </w:r>
    </w:p>
    <w:p w14:paraId="5919DB69" w14:textId="77777777" w:rsidR="00422E6C" w:rsidRPr="00DC4042" w:rsidRDefault="00422E6C" w:rsidP="004A04CC">
      <w:pPr>
        <w:pStyle w:val="BalloonText"/>
        <w:numPr>
          <w:ilvl w:val="0"/>
          <w:numId w:val="4"/>
        </w:numPr>
        <w:tabs>
          <w:tab w:val="left" w:pos="993"/>
          <w:tab w:val="left" w:pos="1418"/>
        </w:tabs>
        <w:spacing w:line="360" w:lineRule="auto"/>
        <w:ind w:left="0" w:firstLine="720"/>
        <w:contextualSpacing/>
        <w:jc w:val="both"/>
        <w:rPr>
          <w:rFonts w:ascii="GHEA Grapalat" w:hAnsi="GHEA Grapalat" w:cstheme="minorBidi"/>
          <w:bCs/>
          <w:sz w:val="24"/>
          <w:szCs w:val="24"/>
          <w:lang w:val="hy-AM"/>
        </w:rPr>
      </w:pPr>
      <w:r w:rsidRPr="00DC4042">
        <w:rPr>
          <w:rFonts w:ascii="GHEA Grapalat" w:hAnsi="GHEA Grapalat" w:cstheme="minorBidi"/>
          <w:bCs/>
          <w:sz w:val="24"/>
          <w:szCs w:val="24"/>
          <w:lang w:val="hy-AM"/>
        </w:rPr>
        <w:t>Տեղական ինքնակառավարման մասին» 2002 թվականի մայիսի 7-ի ՀՕ-337 և Երևան քաղաքում տեղական ինքնակառավարման մասին» 2008 թվականի դեկտեմբերի 26-ի ՀՕ-5-Ն օրենքներում՝ սահմանելով Համայնքի ավագանու և Երևան քաղաքի ավագանու անդամների գործողությունների իրականացման վերաբերյալ կարգավորումներ շահերի բախման իրավիճակում հայտնվելու  պարագայում:</w:t>
      </w:r>
    </w:p>
    <w:p w14:paraId="50031DDD" w14:textId="77777777" w:rsidR="00422E6C" w:rsidRPr="00DC4042" w:rsidRDefault="00422E6C" w:rsidP="004A04CC">
      <w:pPr>
        <w:pStyle w:val="BalloonText"/>
        <w:numPr>
          <w:ilvl w:val="0"/>
          <w:numId w:val="4"/>
        </w:numPr>
        <w:tabs>
          <w:tab w:val="left" w:pos="993"/>
          <w:tab w:val="left" w:pos="1418"/>
        </w:tabs>
        <w:spacing w:line="360" w:lineRule="auto"/>
        <w:ind w:left="0" w:firstLine="720"/>
        <w:contextualSpacing/>
        <w:jc w:val="both"/>
        <w:rPr>
          <w:rFonts w:ascii="GHEA Grapalat" w:hAnsi="GHEA Grapalat" w:cstheme="minorBidi"/>
          <w:bCs/>
          <w:sz w:val="24"/>
          <w:szCs w:val="24"/>
          <w:lang w:val="hy-AM"/>
        </w:rPr>
      </w:pPr>
      <w:r w:rsidRPr="00DC4042">
        <w:rPr>
          <w:rFonts w:ascii="GHEA Grapalat" w:hAnsi="GHEA Grapalat" w:cstheme="minorBidi"/>
          <w:bCs/>
          <w:sz w:val="24"/>
          <w:szCs w:val="24"/>
          <w:lang w:val="hy-AM"/>
        </w:rPr>
        <w:lastRenderedPageBreak/>
        <w:t>Դատախազության մասին» 2017 թվականի նոյեմբերի 17-ի ՀՕ-198-Ն օրենքում՝ շահերի բախման իրավիճակում հայտվելու պարագայում դատախազի գործողությունների իրականացման վերաբերյալ կարգավորումներ:</w:t>
      </w:r>
    </w:p>
    <w:p w14:paraId="229D9582" w14:textId="77777777" w:rsidR="00422E6C" w:rsidRPr="00DC4042" w:rsidRDefault="00422E6C" w:rsidP="004A04CC">
      <w:pPr>
        <w:pStyle w:val="BalloonText"/>
        <w:numPr>
          <w:ilvl w:val="0"/>
          <w:numId w:val="4"/>
        </w:numPr>
        <w:tabs>
          <w:tab w:val="left" w:pos="993"/>
          <w:tab w:val="left" w:pos="1418"/>
        </w:tabs>
        <w:spacing w:line="360" w:lineRule="auto"/>
        <w:ind w:left="0" w:firstLine="720"/>
        <w:contextualSpacing/>
        <w:jc w:val="both"/>
        <w:rPr>
          <w:rFonts w:ascii="GHEA Grapalat" w:hAnsi="GHEA Grapalat" w:cstheme="minorBidi"/>
          <w:bCs/>
          <w:sz w:val="24"/>
          <w:szCs w:val="24"/>
          <w:lang w:val="hy-AM"/>
        </w:rPr>
      </w:pPr>
      <w:r w:rsidRPr="00DC4042">
        <w:rPr>
          <w:rFonts w:ascii="GHEA Grapalat" w:hAnsi="GHEA Grapalat"/>
          <w:sz w:val="24"/>
          <w:szCs w:val="24"/>
          <w:lang w:val="hy-AM"/>
        </w:rPr>
        <w:t>«</w:t>
      </w:r>
      <w:r w:rsidRPr="00DC4042">
        <w:rPr>
          <w:rFonts w:ascii="GHEA Grapalat" w:hAnsi="GHEA Grapalat" w:cstheme="minorBidi"/>
          <w:bCs/>
          <w:sz w:val="24"/>
          <w:szCs w:val="24"/>
          <w:lang w:val="hy-AM"/>
        </w:rPr>
        <w:t xml:space="preserve">Հայաստանի Հանրապետության քննչական կոմիտեի մասին» 2014 թվականի մայիսի 19-ի ՀՕ-25-Ն օրենքում՝ ինքնավար պաշտոն զբաղեցնող անձանց՝ շահերի բախման իրավիճակում հայտվելու պարագայում գործողությունների իրականացման վերաբերյալ կարգավորումներ: </w:t>
      </w:r>
    </w:p>
    <w:p w14:paraId="127D5720" w14:textId="77777777" w:rsidR="00422E6C" w:rsidRPr="00DC4042" w:rsidRDefault="00422E6C" w:rsidP="004A04CC">
      <w:pPr>
        <w:spacing w:line="360" w:lineRule="auto"/>
        <w:ind w:firstLine="720"/>
        <w:contextualSpacing/>
        <w:jc w:val="both"/>
        <w:rPr>
          <w:rFonts w:ascii="GHEA Grapalat" w:hAnsi="GHEA Grapalat"/>
          <w:sz w:val="24"/>
          <w:szCs w:val="24"/>
          <w:lang w:val="hy-AM"/>
        </w:rPr>
      </w:pPr>
      <w:r w:rsidRPr="00DC4042">
        <w:rPr>
          <w:rFonts w:ascii="GHEA Grapalat" w:hAnsi="GHEA Grapalat"/>
          <w:bCs/>
          <w:sz w:val="24"/>
          <w:szCs w:val="24"/>
          <w:lang w:val="hy-AM"/>
        </w:rPr>
        <w:t xml:space="preserve">Ի լրումն վերոգրյալի՝ Նախագծով առաջարկվում է նաև փոփոխություն կատարել </w:t>
      </w:r>
      <w:r w:rsidRPr="00DC4042">
        <w:rPr>
          <w:rFonts w:ascii="GHEA Grapalat" w:hAnsi="GHEA Grapalat" w:cs="GHEA Grapalat"/>
          <w:sz w:val="24"/>
          <w:szCs w:val="24"/>
          <w:lang w:val="hy-AM"/>
        </w:rPr>
        <w:t>հարակից մի շարք այլ</w:t>
      </w:r>
      <w:r w:rsidRPr="00DC4042">
        <w:rPr>
          <w:rFonts w:ascii="GHEA Grapalat" w:hAnsi="GHEA Grapalat"/>
          <w:sz w:val="24"/>
          <w:szCs w:val="24"/>
          <w:lang w:val="hy-AM"/>
        </w:rPr>
        <w:t xml:space="preserve"> օրենքներում՝ կարգավորումների ներդաշնակեցումն ապահովելու նպատակով: </w:t>
      </w:r>
    </w:p>
    <w:p w14:paraId="6D841142" w14:textId="77777777" w:rsidR="00422E6C" w:rsidRPr="00DC4042" w:rsidRDefault="00422E6C" w:rsidP="004A04CC">
      <w:pPr>
        <w:spacing w:line="360" w:lineRule="auto"/>
        <w:ind w:firstLine="720"/>
        <w:contextualSpacing/>
        <w:jc w:val="both"/>
        <w:rPr>
          <w:rFonts w:ascii="GHEA Grapalat" w:eastAsia="Calibri" w:hAnsi="GHEA Grapalat" w:cs="Times New Roman"/>
          <w:b/>
          <w:sz w:val="24"/>
          <w:szCs w:val="24"/>
          <w:lang w:val="hy-AM"/>
        </w:rPr>
      </w:pPr>
    </w:p>
    <w:p w14:paraId="7E96F860" w14:textId="1F002467" w:rsidR="00422E6C" w:rsidRPr="00DC4042" w:rsidRDefault="00436D89" w:rsidP="00DF370F">
      <w:pPr>
        <w:pStyle w:val="Heading1"/>
        <w:spacing w:line="360" w:lineRule="auto"/>
        <w:ind w:firstLine="720"/>
        <w:contextualSpacing/>
        <w:jc w:val="both"/>
        <w:rPr>
          <w:rFonts w:ascii="GHEA Grapalat" w:eastAsia="Calibri" w:hAnsi="GHEA Grapalat" w:cs="Times New Roman"/>
          <w:b/>
          <w:color w:val="000000" w:themeColor="text1"/>
          <w:sz w:val="24"/>
          <w:szCs w:val="24"/>
          <w:lang w:val="hy-AM"/>
        </w:rPr>
      </w:pPr>
      <w:r w:rsidRPr="00DC4042">
        <w:rPr>
          <w:rFonts w:ascii="GHEA Grapalat" w:eastAsia="Calibri" w:hAnsi="GHEA Grapalat" w:cs="Times New Roman"/>
          <w:b/>
          <w:color w:val="000000" w:themeColor="text1"/>
          <w:sz w:val="24"/>
          <w:szCs w:val="24"/>
          <w:lang w:val="hy-AM"/>
        </w:rPr>
        <w:t xml:space="preserve">4. </w:t>
      </w:r>
      <w:r w:rsidR="00422E6C" w:rsidRPr="00DC4042">
        <w:rPr>
          <w:rFonts w:ascii="GHEA Grapalat" w:eastAsia="GHEA Grapalat" w:hAnsi="GHEA Grapalat" w:cs="GHEA Grapalat"/>
          <w:b/>
          <w:bCs/>
          <w:color w:val="000000" w:themeColor="text1"/>
          <w:sz w:val="24"/>
          <w:szCs w:val="24"/>
          <w:lang w:val="hy-AM"/>
        </w:rPr>
        <w:t>Առաջարկվող</w:t>
      </w:r>
      <w:r w:rsidR="00422E6C" w:rsidRPr="00DC4042">
        <w:rPr>
          <w:rFonts w:ascii="GHEA Grapalat" w:eastAsia="Calibri" w:hAnsi="GHEA Grapalat" w:cs="Times New Roman"/>
          <w:b/>
          <w:color w:val="000000" w:themeColor="text1"/>
          <w:sz w:val="24"/>
          <w:szCs w:val="24"/>
          <w:lang w:val="hy-AM"/>
        </w:rPr>
        <w:t xml:space="preserve"> կարգավորման բնույթը</w:t>
      </w:r>
    </w:p>
    <w:p w14:paraId="610B8DFB" w14:textId="5BDB0FA7" w:rsidR="00894B65" w:rsidRPr="00DC4042" w:rsidRDefault="00422E6C" w:rsidP="004A04CC">
      <w:pPr>
        <w:spacing w:line="360" w:lineRule="auto"/>
        <w:ind w:firstLine="720"/>
        <w:contextualSpacing/>
        <w:jc w:val="both"/>
        <w:rPr>
          <w:rFonts w:ascii="GHEA Grapalat" w:eastAsia="Times New Roman" w:hAnsi="GHEA Grapalat" w:cs="Times New Roman"/>
          <w:b/>
          <w:bCs/>
          <w:i/>
          <w:color w:val="000000"/>
          <w:sz w:val="24"/>
          <w:szCs w:val="24"/>
          <w:lang w:val="hy-AM"/>
        </w:rPr>
      </w:pPr>
      <w:r w:rsidRPr="00DC4042">
        <w:rPr>
          <w:rFonts w:ascii="GHEA Grapalat" w:eastAsia="Times New Roman" w:hAnsi="GHEA Grapalat" w:cs="Times New Roman"/>
          <w:b/>
          <w:bCs/>
          <w:i/>
          <w:color w:val="000000"/>
          <w:sz w:val="24"/>
          <w:szCs w:val="24"/>
          <w:lang w:val="hy-AM"/>
        </w:rPr>
        <w:t xml:space="preserve">1. </w:t>
      </w:r>
      <w:r w:rsidR="00894B65" w:rsidRPr="00DC4042">
        <w:rPr>
          <w:rFonts w:ascii="GHEA Grapalat" w:eastAsia="Times New Roman" w:hAnsi="GHEA Grapalat" w:cs="Times New Roman"/>
          <w:b/>
          <w:bCs/>
          <w:i/>
          <w:color w:val="000000"/>
          <w:sz w:val="24"/>
          <w:szCs w:val="24"/>
          <w:lang w:val="hy-AM"/>
        </w:rPr>
        <w:t>Հանրային պաշտոն զբաղեցնող անձի և հանրային ծառայողի կողմից նվերներ ընդունելու սահմանափակումները</w:t>
      </w:r>
    </w:p>
    <w:p w14:paraId="4C3B51F2" w14:textId="77777777" w:rsidR="00894B65" w:rsidRPr="00DC4042" w:rsidRDefault="00894B65" w:rsidP="00894B65">
      <w:pPr>
        <w:spacing w:line="360" w:lineRule="auto"/>
        <w:ind w:firstLine="720"/>
        <w:contextualSpacing/>
        <w:jc w:val="both"/>
        <w:rPr>
          <w:rFonts w:ascii="GHEA Grapalat" w:eastAsia="Times New Roman" w:hAnsi="GHEA Grapalat" w:cs="Times New Roman"/>
          <w:iCs/>
          <w:color w:val="000000"/>
          <w:sz w:val="24"/>
          <w:szCs w:val="24"/>
          <w:lang w:val="hy-AM"/>
        </w:rPr>
      </w:pPr>
      <w:r w:rsidRPr="00DC4042">
        <w:rPr>
          <w:rFonts w:ascii="GHEA Grapalat" w:eastAsia="Times New Roman" w:hAnsi="GHEA Grapalat" w:cs="Times New Roman"/>
          <w:iCs/>
          <w:color w:val="000000"/>
          <w:sz w:val="24"/>
          <w:szCs w:val="24"/>
          <w:lang w:val="hy-AM"/>
        </w:rPr>
        <w:t>Ներկայացված նախագծերի փաթեթով առաջարկվում է ԳՐԵԿՈ-ի կողմից ներկայացված հանձնարարականների, ինչպես նաև միջազգային փորձագետների կողմից իրականացված ուսումնասիրությունների հիման վրա հանրային պաշտոն զբաղեցնող անձանց և հանրային ծառայողների կողմից նվերներ ստանալու սահմանափակումներ նախատեսող կարգավորումները համախմբել մեկ իրավական ակտում՝ «Հանրային ծառայության մասին» օրենքում՝ իրականացնելով համապատասխան փոփոխություններ «Հանրային ծառայության մասին», «Կոռուպցիայի կանխարգելման մասին», «Քաղաքացիական ծառայության մասին», «Դատախազության մասին» և մի շարք այլ հարակից օրենքներում: Այդպիսով կապահովվի հանրային պաշտոն զբաղեցնող անձանց և հանրային ծառայողների կողմից նվերներ ընդունելու սահմանափակումների վերաբերյալ կարգավորումների միասնականությունը և կբացառվի տարբեր օրենքներում տարաբնույթ կարգավորումների առկայությունը։</w:t>
      </w:r>
    </w:p>
    <w:p w14:paraId="1AC37C72" w14:textId="77777777" w:rsidR="00894B65" w:rsidRPr="00DC4042" w:rsidRDefault="00894B65" w:rsidP="00894B65">
      <w:pPr>
        <w:spacing w:line="360" w:lineRule="auto"/>
        <w:ind w:firstLine="720"/>
        <w:contextualSpacing/>
        <w:jc w:val="both"/>
        <w:rPr>
          <w:rFonts w:ascii="GHEA Grapalat" w:eastAsia="Times New Roman" w:hAnsi="GHEA Grapalat" w:cs="Times New Roman"/>
          <w:iCs/>
          <w:color w:val="000000"/>
          <w:sz w:val="24"/>
          <w:szCs w:val="24"/>
          <w:lang w:val="hy-AM"/>
        </w:rPr>
      </w:pPr>
      <w:r w:rsidRPr="00DC4042">
        <w:rPr>
          <w:rFonts w:ascii="GHEA Grapalat" w:eastAsia="Times New Roman" w:hAnsi="GHEA Grapalat" w:cs="Times New Roman"/>
          <w:iCs/>
          <w:color w:val="000000"/>
          <w:sz w:val="24"/>
          <w:szCs w:val="24"/>
          <w:lang w:val="hy-AM"/>
        </w:rPr>
        <w:lastRenderedPageBreak/>
        <w:t xml:space="preserve">Ներկայացված օրենքների նախագծերի փաթեթով առաջարկվում է նվերներ ընդունելու սահմանափակումների խախտման դեպքում կարգապահական պատասխանատվության փոխարեն հանրային պաշտոն զբաղեցնող անձանց և հանրային ծառայողների համար սահմանել վարչական պատասխանատվություն։ </w:t>
      </w:r>
    </w:p>
    <w:p w14:paraId="00C36E32" w14:textId="306397AE" w:rsidR="00422E6C" w:rsidRPr="00DC4042" w:rsidRDefault="00B64A83" w:rsidP="004A04CC">
      <w:pPr>
        <w:spacing w:line="360" w:lineRule="auto"/>
        <w:ind w:firstLine="720"/>
        <w:contextualSpacing/>
        <w:jc w:val="both"/>
        <w:rPr>
          <w:rFonts w:ascii="GHEA Grapalat" w:eastAsia="Times New Roman" w:hAnsi="GHEA Grapalat" w:cs="Times New Roman"/>
          <w:b/>
          <w:bCs/>
          <w:i/>
          <w:color w:val="000000"/>
          <w:sz w:val="24"/>
          <w:szCs w:val="24"/>
          <w:lang w:val="hy-AM"/>
        </w:rPr>
      </w:pPr>
      <w:r w:rsidRPr="00DC4042">
        <w:rPr>
          <w:rFonts w:ascii="GHEA Grapalat" w:eastAsia="Times New Roman" w:hAnsi="GHEA Grapalat" w:cs="Times New Roman"/>
          <w:b/>
          <w:bCs/>
          <w:i/>
          <w:color w:val="000000"/>
          <w:sz w:val="24"/>
          <w:szCs w:val="24"/>
          <w:lang w:val="hy-AM"/>
        </w:rPr>
        <w:t xml:space="preserve">2. </w:t>
      </w:r>
      <w:r w:rsidR="00422E6C" w:rsidRPr="00DC4042">
        <w:rPr>
          <w:rFonts w:ascii="GHEA Grapalat" w:eastAsia="Times New Roman" w:hAnsi="GHEA Grapalat" w:cs="Times New Roman"/>
          <w:b/>
          <w:bCs/>
          <w:i/>
          <w:color w:val="000000"/>
          <w:sz w:val="24"/>
          <w:szCs w:val="24"/>
          <w:lang w:val="hy-AM"/>
        </w:rPr>
        <w:t>Հանրային պաշտոն զբաղեցնող անձանց և հանրային ծառայողների անհամատեղելիության պահանջները.</w:t>
      </w:r>
    </w:p>
    <w:p w14:paraId="64671641" w14:textId="77777777" w:rsidR="00422E6C" w:rsidRPr="00DC4042" w:rsidRDefault="00422E6C" w:rsidP="008C5C64">
      <w:pPr>
        <w:spacing w:after="0" w:line="360" w:lineRule="auto"/>
        <w:ind w:firstLine="720"/>
        <w:contextualSpacing/>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Նախագծերի փաթեթով առաջարկվում է Օրենքի 31-րդ հոդվածում կատարել հետևյալ փոփոխությունները՝</w:t>
      </w:r>
    </w:p>
    <w:p w14:paraId="2AA2D579" w14:textId="547A77D4" w:rsidR="00422E6C" w:rsidRPr="00DC4042" w:rsidRDefault="00422E6C" w:rsidP="004A04CC">
      <w:pPr>
        <w:pStyle w:val="ListParagraph"/>
        <w:numPr>
          <w:ilvl w:val="0"/>
          <w:numId w:val="5"/>
        </w:numPr>
        <w:spacing w:after="0" w:line="360" w:lineRule="auto"/>
        <w:ind w:left="0" w:firstLine="720"/>
        <w:jc w:val="both"/>
        <w:rPr>
          <w:rFonts w:ascii="GHEA Grapalat" w:eastAsia="Times New Roman" w:hAnsi="GHEA Grapalat" w:cs="Times New Roman"/>
          <w:bCs/>
          <w:color w:val="000000"/>
          <w:sz w:val="24"/>
          <w:szCs w:val="24"/>
          <w:lang w:val="hy-AM"/>
        </w:rPr>
      </w:pPr>
      <w:r w:rsidRPr="00DC4042">
        <w:rPr>
          <w:rFonts w:ascii="GHEA Grapalat" w:eastAsia="Calibri" w:hAnsi="GHEA Grapalat" w:cs="Times New Roman"/>
          <w:bCs/>
          <w:sz w:val="24"/>
          <w:szCs w:val="24"/>
          <w:lang w:val="hy-AM"/>
        </w:rPr>
        <w:t>Վերախմբագրել </w:t>
      </w:r>
      <w:r w:rsidRPr="00DC4042">
        <w:rPr>
          <w:rFonts w:ascii="GHEA Grapalat" w:eastAsia="Times New Roman" w:hAnsi="GHEA Grapalat" w:cs="Times New Roman"/>
          <w:color w:val="000000"/>
          <w:sz w:val="24"/>
          <w:szCs w:val="24"/>
          <w:lang w:val="hy-AM" w:eastAsia="en-GB"/>
        </w:rPr>
        <w:t>կրթական աշխատանք</w:t>
      </w:r>
      <w:r w:rsidRPr="00DC4042">
        <w:rPr>
          <w:rFonts w:ascii="GHEA Grapalat" w:eastAsia="Calibri" w:hAnsi="GHEA Grapalat" w:cs="Times New Roman"/>
          <w:bCs/>
          <w:sz w:val="24"/>
          <w:szCs w:val="24"/>
          <w:lang w:val="hy-AM"/>
        </w:rPr>
        <w:t>»</w:t>
      </w:r>
      <w:r w:rsidRPr="00DC4042">
        <w:rPr>
          <w:rFonts w:ascii="GHEA Grapalat" w:eastAsia="Times New Roman" w:hAnsi="GHEA Grapalat" w:cs="Times New Roman"/>
          <w:color w:val="000000"/>
          <w:sz w:val="24"/>
          <w:szCs w:val="24"/>
          <w:lang w:val="hy-AM" w:eastAsia="en-GB"/>
        </w:rPr>
        <w:t xml:space="preserve"> </w:t>
      </w:r>
      <w:r w:rsidRPr="00DC4042">
        <w:rPr>
          <w:rFonts w:ascii="GHEA Grapalat" w:eastAsia="Calibri" w:hAnsi="GHEA Grapalat" w:cs="Times New Roman"/>
          <w:bCs/>
          <w:sz w:val="24"/>
          <w:szCs w:val="24"/>
          <w:lang w:val="hy-AM"/>
        </w:rPr>
        <w:t>եզրույթ</w:t>
      </w:r>
      <w:r w:rsidR="00D82625" w:rsidRPr="00DC4042">
        <w:rPr>
          <w:rFonts w:ascii="GHEA Grapalat" w:eastAsia="Calibri" w:hAnsi="GHEA Grapalat" w:cs="Times New Roman"/>
          <w:bCs/>
          <w:sz w:val="24"/>
          <w:szCs w:val="24"/>
          <w:lang w:val="hy-AM"/>
        </w:rPr>
        <w:t>ը:</w:t>
      </w:r>
    </w:p>
    <w:p w14:paraId="43E43EFA" w14:textId="77777777" w:rsidR="00422E6C" w:rsidRPr="00DC4042" w:rsidRDefault="00422E6C" w:rsidP="004A04CC">
      <w:pPr>
        <w:pStyle w:val="ListParagraph"/>
        <w:numPr>
          <w:ilvl w:val="0"/>
          <w:numId w:val="5"/>
        </w:numPr>
        <w:spacing w:after="0" w:line="360" w:lineRule="auto"/>
        <w:ind w:left="0" w:firstLine="720"/>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Արգելել հանրային պաշտոն զբաղեցնող անձին և հանրային ծառայողին փոխկապակցված անձի հետ կնքել առևտրային կազմակերպության կանոնադրական կապիտալում ունեցած բաժնեմասի հավատարմագրային կառավարման պայմանագիր:</w:t>
      </w:r>
    </w:p>
    <w:p w14:paraId="2650C341" w14:textId="453B1C1B" w:rsidR="00422E6C" w:rsidRPr="00DC4042" w:rsidRDefault="00422E6C" w:rsidP="004A04CC">
      <w:pPr>
        <w:pStyle w:val="ListParagraph"/>
        <w:numPr>
          <w:ilvl w:val="0"/>
          <w:numId w:val="5"/>
        </w:numPr>
        <w:spacing w:after="0" w:line="360" w:lineRule="auto"/>
        <w:ind w:left="0" w:firstLine="720"/>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 xml:space="preserve">Սահմանափակ պատասխանատվությամբ ընկերությունների հավատարմագրային կառավարման գործունեությունը առաջարկվում է դարձնել ծանուցվող գործունեություն: </w:t>
      </w:r>
    </w:p>
    <w:p w14:paraId="035F6491" w14:textId="77777777" w:rsidR="00422E6C" w:rsidRPr="00DC4042" w:rsidRDefault="00422E6C" w:rsidP="004A04CC">
      <w:pPr>
        <w:pStyle w:val="ListParagraph"/>
        <w:numPr>
          <w:ilvl w:val="0"/>
          <w:numId w:val="5"/>
        </w:numPr>
        <w:spacing w:after="0" w:line="360" w:lineRule="auto"/>
        <w:ind w:left="0" w:firstLine="720"/>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Առաջարկվում է նաև ուժը կորցրած ճանաչել «Արժեթղթերի շուկայի մասին» ՀՀ օրենքի 30-րդ հոդվածի 6-րդ կետը, որը առևտրային կազմակերպության մասնաբաժնի կառավարումը դուրս էր թողնում այդ օրենքի 3-րդ բաժնի կարգավորումներից: Արդյունքում, այդպիսի ծառայությունը կարող էր իրականացվել չլիցենզավորված կազմակերպության կողմից: Նախագծի ընդունման պարագայում այդպիսի իրավիճակը կբացառվի:</w:t>
      </w:r>
    </w:p>
    <w:p w14:paraId="7DA1BAE1" w14:textId="77777777" w:rsidR="00422E6C" w:rsidRPr="00DC4042" w:rsidRDefault="00422E6C" w:rsidP="004A04CC">
      <w:pPr>
        <w:pStyle w:val="ListParagraph"/>
        <w:numPr>
          <w:ilvl w:val="0"/>
          <w:numId w:val="5"/>
        </w:numPr>
        <w:spacing w:after="0" w:line="360" w:lineRule="auto"/>
        <w:ind w:left="0" w:firstLine="720"/>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Սահմանափակ պատասխանատվությամբ ընկերությունների բաժնեմասերի կառավարման գրանցումը դարձնել պարտադիր:</w:t>
      </w:r>
    </w:p>
    <w:p w14:paraId="659640AE" w14:textId="77777777" w:rsidR="003A4934" w:rsidRPr="00DC4042" w:rsidRDefault="003A4934" w:rsidP="003A4934">
      <w:pPr>
        <w:spacing w:after="0" w:line="360" w:lineRule="auto"/>
        <w:ind w:firstLine="720"/>
        <w:contextualSpacing/>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 xml:space="preserve">Արդյունքում, սահմանափակ պատասխանատվությամբ ընկերությունների բաժնեմասերի և բաժնետիրական ընկերությունների բաժնետոմսերի կառավարումը կդառնա վերահսկելի և կբացառվի պաշտոնյայի հետ </w:t>
      </w:r>
      <w:r w:rsidRPr="00DC4042">
        <w:rPr>
          <w:rFonts w:ascii="GHEA Grapalat" w:eastAsia="Times New Roman" w:hAnsi="GHEA Grapalat" w:cs="Times New Roman"/>
          <w:bCs/>
          <w:color w:val="000000"/>
          <w:sz w:val="24"/>
          <w:szCs w:val="24"/>
          <w:lang w:val="hy-AM"/>
        </w:rPr>
        <w:lastRenderedPageBreak/>
        <w:t>փոխկապակցված անձանց որպես հավատարմագրային կառավարիչ հանդես գալը:</w:t>
      </w:r>
    </w:p>
    <w:p w14:paraId="3B97A92D" w14:textId="77777777" w:rsidR="00422E6C" w:rsidRPr="00DC4042" w:rsidRDefault="00422E6C" w:rsidP="0033211D">
      <w:pPr>
        <w:spacing w:after="0" w:line="360" w:lineRule="auto"/>
        <w:ind w:firstLine="720"/>
        <w:contextualSpacing/>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 xml:space="preserve">Բացի այդ առաջարկվում է սահմանել հստակ ժամկետ, որի ընթացքում պաշտոնյան պարտավոր կլինի պաշտոնավարման ընթացքում ձեռք բերված մասնակցությունը հանձնել հավատարմագրային կառավարման: </w:t>
      </w:r>
    </w:p>
    <w:p w14:paraId="4441FA90" w14:textId="77777777" w:rsidR="00422E6C" w:rsidRPr="00DC4042" w:rsidRDefault="00422E6C" w:rsidP="004A04CC">
      <w:pPr>
        <w:pStyle w:val="ListParagraph"/>
        <w:numPr>
          <w:ilvl w:val="0"/>
          <w:numId w:val="5"/>
        </w:numPr>
        <w:spacing w:after="0" w:line="360" w:lineRule="auto"/>
        <w:ind w:left="0" w:firstLine="720"/>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Առաջարկվում է խմբագրել ձեռնարկատիրական գործունեության հասկացությունը:</w:t>
      </w:r>
    </w:p>
    <w:p w14:paraId="323650A3" w14:textId="69BD728B" w:rsidR="00422E6C" w:rsidRPr="00DC4042" w:rsidRDefault="00B64A83" w:rsidP="004A04CC">
      <w:pPr>
        <w:spacing w:line="360" w:lineRule="auto"/>
        <w:ind w:firstLine="720"/>
        <w:contextualSpacing/>
        <w:jc w:val="both"/>
        <w:rPr>
          <w:rFonts w:ascii="GHEA Grapalat" w:eastAsia="Times New Roman" w:hAnsi="GHEA Grapalat" w:cs="Times New Roman"/>
          <w:b/>
          <w:bCs/>
          <w:i/>
          <w:iCs/>
          <w:color w:val="000000"/>
          <w:sz w:val="24"/>
          <w:szCs w:val="24"/>
          <w:lang w:val="hy-AM"/>
        </w:rPr>
      </w:pPr>
      <w:r w:rsidRPr="00DC4042">
        <w:rPr>
          <w:rFonts w:ascii="GHEA Grapalat" w:eastAsia="Times New Roman" w:hAnsi="GHEA Grapalat" w:cs="Times New Roman"/>
          <w:b/>
          <w:bCs/>
          <w:i/>
          <w:iCs/>
          <w:color w:val="000000"/>
          <w:sz w:val="24"/>
          <w:szCs w:val="24"/>
          <w:lang w:val="hy-AM"/>
        </w:rPr>
        <w:t>3</w:t>
      </w:r>
      <w:r w:rsidR="00422E6C" w:rsidRPr="00DC4042">
        <w:rPr>
          <w:rFonts w:ascii="GHEA Grapalat" w:eastAsia="Times New Roman" w:hAnsi="GHEA Grapalat" w:cs="Times New Roman"/>
          <w:b/>
          <w:bCs/>
          <w:i/>
          <w:iCs/>
          <w:color w:val="000000"/>
          <w:sz w:val="24"/>
          <w:szCs w:val="24"/>
          <w:lang w:val="hy-AM"/>
        </w:rPr>
        <w:t>. Շահերի բախման հասկացությունը.</w:t>
      </w:r>
    </w:p>
    <w:p w14:paraId="68C04D63" w14:textId="77777777" w:rsidR="00422E6C" w:rsidRPr="00DC4042" w:rsidRDefault="00422E6C" w:rsidP="004A04CC">
      <w:pPr>
        <w:spacing w:line="360" w:lineRule="auto"/>
        <w:ind w:firstLine="720"/>
        <w:contextualSpacing/>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 xml:space="preserve">Նախագծերի փաթեթով առաջարկվող կարգավորմամբ ընդլայնվում է շահերի բախման հասկացությունը` ներառելով պոտենցիալ շահերի բախման իրավիճակը: </w:t>
      </w:r>
    </w:p>
    <w:p w14:paraId="3465B671" w14:textId="1F09733F" w:rsidR="00422E6C" w:rsidRPr="00DC4042" w:rsidRDefault="00422E6C" w:rsidP="004A04CC">
      <w:pPr>
        <w:spacing w:line="360" w:lineRule="auto"/>
        <w:ind w:firstLine="720"/>
        <w:contextualSpacing/>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Նախագծերի փաթեթով առաջարկվում է նաև «Հանրային ծառայության մասին» ՀՀ օրենքի 33-րդ հոդվածի 2-րդ մասում «անձնական շահերով» բառերը փոխարինել «մասնավոր շահերով» բառերով: Այսպիսի փոփոխությունն ավելի ընդգրկուն է դարձնում Օրենքով առկա սահմանումները, միաժամանակ դրանք համապատասխանեցվում են առաջարկվող մյուս կարգավորումներին:</w:t>
      </w:r>
    </w:p>
    <w:p w14:paraId="650774B7" w14:textId="6AFABFE8" w:rsidR="00422E6C" w:rsidRPr="00DC4042" w:rsidRDefault="00B64A83" w:rsidP="004A04CC">
      <w:pPr>
        <w:spacing w:after="160" w:line="360" w:lineRule="auto"/>
        <w:ind w:firstLine="720"/>
        <w:contextualSpacing/>
        <w:jc w:val="both"/>
        <w:rPr>
          <w:rFonts w:ascii="GHEA Grapalat" w:eastAsia="Arial" w:hAnsi="GHEA Grapalat" w:cs="Cambria Math"/>
          <w:b/>
          <w:i/>
          <w:iCs/>
          <w:sz w:val="24"/>
          <w:szCs w:val="24"/>
          <w:lang w:val="hy-AM"/>
        </w:rPr>
      </w:pPr>
      <w:r w:rsidRPr="00DC4042">
        <w:rPr>
          <w:rFonts w:ascii="GHEA Grapalat" w:eastAsia="Arial" w:hAnsi="GHEA Grapalat" w:cs="Arial"/>
          <w:b/>
          <w:i/>
          <w:iCs/>
          <w:sz w:val="24"/>
          <w:szCs w:val="24"/>
          <w:lang w:val="hy-AM"/>
        </w:rPr>
        <w:t>4</w:t>
      </w:r>
      <w:r w:rsidR="00422E6C" w:rsidRPr="00DC4042">
        <w:rPr>
          <w:rFonts w:ascii="GHEA Grapalat" w:eastAsia="Arial" w:hAnsi="GHEA Grapalat" w:cs="Arial"/>
          <w:b/>
          <w:i/>
          <w:iCs/>
          <w:sz w:val="24"/>
          <w:szCs w:val="24"/>
          <w:lang w:val="hy-AM"/>
        </w:rPr>
        <w:t>. Փոխկապակցված անձանց շրջանակը</w:t>
      </w:r>
      <w:r w:rsidR="00422E6C" w:rsidRPr="00DC4042">
        <w:rPr>
          <w:rFonts w:ascii="Cambria Math" w:eastAsia="Arial" w:hAnsi="Cambria Math" w:cs="Cambria Math"/>
          <w:b/>
          <w:i/>
          <w:iCs/>
          <w:sz w:val="24"/>
          <w:szCs w:val="24"/>
          <w:lang w:val="hy-AM"/>
        </w:rPr>
        <w:t>․</w:t>
      </w:r>
    </w:p>
    <w:p w14:paraId="6A157C86" w14:textId="77777777" w:rsidR="00422E6C" w:rsidRPr="00DC4042" w:rsidRDefault="00422E6C" w:rsidP="004A04CC">
      <w:pPr>
        <w:spacing w:after="160" w:line="360" w:lineRule="auto"/>
        <w:ind w:firstLine="720"/>
        <w:contextualSpacing/>
        <w:jc w:val="both"/>
        <w:rPr>
          <w:rFonts w:ascii="GHEA Grapalat" w:eastAsia="Arial" w:hAnsi="GHEA Grapalat" w:cs="Arial"/>
          <w:sz w:val="24"/>
          <w:szCs w:val="24"/>
          <w:lang w:val="hy-AM"/>
        </w:rPr>
      </w:pPr>
      <w:r w:rsidRPr="00DC4042">
        <w:rPr>
          <w:rFonts w:ascii="GHEA Grapalat" w:eastAsia="Arial" w:hAnsi="GHEA Grapalat" w:cs="Arial"/>
          <w:sz w:val="24"/>
          <w:szCs w:val="24"/>
          <w:lang w:val="hy-AM"/>
        </w:rPr>
        <w:t>Նախագծերի փաթեթով առաջարկվում է ընդլայնել փոխկապակցված անձանց շրջանակը: Առաջարկվող կարգավորման պարագայում այն ներառում է ոչ միայն ազգակցական կապերով կապված անձանց, այլև ոչ ազգակցական սերտ անձնական հարաբերությունների մեջ գտնվող անձանց, ինչպես նաև առևտրային իրավաբանական անձանց և այլն:</w:t>
      </w:r>
    </w:p>
    <w:p w14:paraId="55571E09" w14:textId="2F2FEBEB" w:rsidR="00422E6C" w:rsidRPr="00DC4042" w:rsidRDefault="00B64A83" w:rsidP="004A04CC">
      <w:pPr>
        <w:spacing w:line="360" w:lineRule="auto"/>
        <w:ind w:firstLine="720"/>
        <w:contextualSpacing/>
        <w:jc w:val="both"/>
        <w:rPr>
          <w:rFonts w:ascii="GHEA Grapalat" w:eastAsia="Times New Roman" w:hAnsi="GHEA Grapalat" w:cs="Times New Roman"/>
          <w:b/>
          <w:bCs/>
          <w:i/>
          <w:color w:val="000000"/>
          <w:sz w:val="24"/>
          <w:szCs w:val="24"/>
          <w:lang w:val="hy-AM"/>
        </w:rPr>
      </w:pPr>
      <w:r w:rsidRPr="00DC4042">
        <w:rPr>
          <w:rFonts w:ascii="GHEA Grapalat" w:eastAsia="Arial" w:hAnsi="GHEA Grapalat" w:cs="Arial"/>
          <w:b/>
          <w:i/>
          <w:sz w:val="24"/>
          <w:szCs w:val="24"/>
          <w:lang w:val="hy-AM"/>
        </w:rPr>
        <w:t>5</w:t>
      </w:r>
      <w:r w:rsidR="00422E6C" w:rsidRPr="00DC4042">
        <w:rPr>
          <w:rFonts w:ascii="GHEA Grapalat" w:eastAsia="Arial" w:hAnsi="GHEA Grapalat" w:cs="Arial"/>
          <w:b/>
          <w:i/>
          <w:sz w:val="24"/>
          <w:szCs w:val="24"/>
          <w:lang w:val="hy-AM"/>
        </w:rPr>
        <w:t>. Շահերի բախման իրավիճակի լուծումը.</w:t>
      </w:r>
    </w:p>
    <w:p w14:paraId="0A2814B1" w14:textId="77777777" w:rsidR="00422E6C" w:rsidRPr="00DC4042" w:rsidRDefault="00422E6C" w:rsidP="004A04CC">
      <w:pPr>
        <w:spacing w:line="360" w:lineRule="auto"/>
        <w:ind w:firstLine="720"/>
        <w:contextualSpacing/>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Նախագծերի փաթեթով առաջարկվում է հստակեցնել շահերի բախման իրավիճակի լուծմանն ուղղված գործիքների շրջանակը, սահմանափակել անհարկի հայեցողության դրսևորման հնարավորությունը, ինչպես նաև, ներդնել կարգավորումներ, որոնք հնարավորություն կընձեռեն կիրառել պատասխանատվության համապատասխան միջոցներ։</w:t>
      </w:r>
    </w:p>
    <w:p w14:paraId="3EAE8079" w14:textId="628A4920" w:rsidR="00422E6C" w:rsidRPr="00DC4042" w:rsidRDefault="00135536" w:rsidP="004A04CC">
      <w:pPr>
        <w:spacing w:line="360" w:lineRule="auto"/>
        <w:ind w:firstLine="720"/>
        <w:contextualSpacing/>
        <w:jc w:val="both"/>
        <w:rPr>
          <w:rFonts w:ascii="GHEA Grapalat" w:eastAsia="Times New Roman" w:hAnsi="GHEA Grapalat" w:cs="Times New Roman"/>
          <w:b/>
          <w:i/>
          <w:iCs/>
          <w:color w:val="000000"/>
          <w:sz w:val="24"/>
          <w:szCs w:val="24"/>
          <w:lang w:val="hy-AM"/>
        </w:rPr>
      </w:pPr>
      <w:r w:rsidRPr="00DC4042">
        <w:rPr>
          <w:rFonts w:ascii="GHEA Grapalat" w:eastAsia="Times New Roman" w:hAnsi="GHEA Grapalat" w:cs="Times New Roman"/>
          <w:b/>
          <w:i/>
          <w:iCs/>
          <w:color w:val="000000"/>
          <w:sz w:val="24"/>
          <w:szCs w:val="24"/>
          <w:lang w:val="hy-AM"/>
        </w:rPr>
        <w:lastRenderedPageBreak/>
        <w:t>6</w:t>
      </w:r>
      <w:r w:rsidR="00422E6C" w:rsidRPr="00DC4042">
        <w:rPr>
          <w:rFonts w:ascii="GHEA Grapalat" w:eastAsia="Times New Roman" w:hAnsi="GHEA Grapalat" w:cs="Times New Roman"/>
          <w:b/>
          <w:i/>
          <w:iCs/>
          <w:color w:val="000000"/>
          <w:sz w:val="24"/>
          <w:szCs w:val="24"/>
          <w:lang w:val="hy-AM"/>
        </w:rPr>
        <w:t>. Հայտարարագիր ներկայացնելու պարտավորություն ունեցող անձանց ընդլայնումը.</w:t>
      </w:r>
    </w:p>
    <w:p w14:paraId="4783884F" w14:textId="77777777" w:rsidR="00422E6C" w:rsidRPr="00DC4042" w:rsidRDefault="00422E6C" w:rsidP="004A04CC">
      <w:pPr>
        <w:spacing w:line="360" w:lineRule="auto"/>
        <w:ind w:firstLine="720"/>
        <w:contextualSpacing/>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Նախատեսվում է ընդլայնել հայտարարագիր ներկայացնող անձանց շրջանակը` ներառելով պետական և համայնքային ոչ առևտրային կազմակերպությունների, պետության կողմից հիմնադրած հիմնադրամների, 50 և ավելի տոկոս Հայաստանի Հանրապետության և համայնքի մասնակցությամբ առևտրային կազմակերպության գործադիր մարմնի ղեկավարներին:</w:t>
      </w:r>
    </w:p>
    <w:p w14:paraId="34625873" w14:textId="03C9872F" w:rsidR="00422E6C" w:rsidRPr="00DC4042" w:rsidRDefault="00422E6C" w:rsidP="00512BA9">
      <w:pPr>
        <w:spacing w:line="360" w:lineRule="auto"/>
        <w:ind w:firstLine="720"/>
        <w:contextualSpacing/>
        <w:jc w:val="both"/>
        <w:rPr>
          <w:rFonts w:ascii="GHEA Grapalat" w:eastAsia="Times New Roman" w:hAnsi="GHEA Grapalat" w:cs="Times New Roman"/>
          <w:bCs/>
          <w:color w:val="000000"/>
          <w:sz w:val="24"/>
          <w:szCs w:val="24"/>
          <w:lang w:val="hy-AM"/>
        </w:rPr>
      </w:pPr>
      <w:r w:rsidRPr="00DC4042">
        <w:rPr>
          <w:rFonts w:ascii="GHEA Grapalat" w:eastAsia="Times New Roman" w:hAnsi="GHEA Grapalat" w:cs="Times New Roman"/>
          <w:bCs/>
          <w:color w:val="000000"/>
          <w:sz w:val="24"/>
          <w:szCs w:val="24"/>
          <w:lang w:val="hy-AM"/>
        </w:rPr>
        <w:t xml:space="preserve">Նախագծերի փաթեթով առաջարկվում է նաև փոփոխություններ և լրացումներ կատարել հարակից </w:t>
      </w:r>
      <w:r w:rsidR="00512BA9" w:rsidRPr="00DC4042">
        <w:rPr>
          <w:rFonts w:ascii="GHEA Grapalat" w:eastAsia="Times New Roman" w:hAnsi="GHEA Grapalat" w:cs="Times New Roman"/>
          <w:bCs/>
          <w:color w:val="000000"/>
          <w:sz w:val="24"/>
          <w:szCs w:val="24"/>
          <w:lang w:val="hy-AM"/>
        </w:rPr>
        <w:t xml:space="preserve">մի շարք </w:t>
      </w:r>
      <w:r w:rsidRPr="00DC4042">
        <w:rPr>
          <w:rFonts w:ascii="GHEA Grapalat" w:eastAsia="Times New Roman" w:hAnsi="GHEA Grapalat" w:cs="Times New Roman"/>
          <w:bCs/>
          <w:color w:val="000000"/>
          <w:sz w:val="24"/>
          <w:szCs w:val="24"/>
          <w:lang w:val="hy-AM"/>
        </w:rPr>
        <w:t>օրենքներում</w:t>
      </w:r>
      <w:r w:rsidR="00ED47DF" w:rsidRPr="00DC4042">
        <w:rPr>
          <w:rFonts w:ascii="GHEA Grapalat" w:eastAsia="Times New Roman" w:hAnsi="GHEA Grapalat" w:cs="Times New Roman"/>
          <w:bCs/>
          <w:color w:val="000000"/>
          <w:sz w:val="24"/>
          <w:szCs w:val="24"/>
          <w:lang w:val="hy-AM"/>
        </w:rPr>
        <w:t>՝ դրանցում առկա կարգավորումները համապատասխանեցնելով</w:t>
      </w:r>
      <w:r w:rsidRPr="00DC4042">
        <w:rPr>
          <w:rFonts w:ascii="GHEA Grapalat" w:eastAsia="Times New Roman" w:hAnsi="GHEA Grapalat" w:cs="Times New Roman"/>
          <w:bCs/>
          <w:color w:val="000000"/>
          <w:sz w:val="24"/>
          <w:szCs w:val="24"/>
          <w:lang w:val="hy-AM"/>
        </w:rPr>
        <w:t xml:space="preserve"> </w:t>
      </w:r>
      <w:r w:rsidRPr="00DC4042">
        <w:rPr>
          <w:rFonts w:ascii="GHEA Grapalat" w:hAnsi="GHEA Grapalat" w:cs="GHEA Grapalat"/>
          <w:sz w:val="24"/>
          <w:szCs w:val="24"/>
          <w:lang w:val="hy-AM"/>
        </w:rPr>
        <w:t>«</w:t>
      </w:r>
      <w:r w:rsidRPr="00DC4042">
        <w:rPr>
          <w:rFonts w:ascii="GHEA Grapalat" w:eastAsia="Arial" w:hAnsi="GHEA Grapalat" w:cs="Arial"/>
          <w:sz w:val="24"/>
          <w:szCs w:val="24"/>
          <w:lang w:val="hy-AM"/>
        </w:rPr>
        <w:t xml:space="preserve">Հանրային ծառայության մասին» ՀՀ օրենքում </w:t>
      </w:r>
      <w:r w:rsidRPr="00DC4042">
        <w:rPr>
          <w:rFonts w:ascii="GHEA Grapalat" w:eastAsia="Calibri" w:hAnsi="GHEA Grapalat" w:cs="Times New Roman"/>
          <w:sz w:val="24"/>
          <w:szCs w:val="24"/>
          <w:lang w:val="hy-AM"/>
        </w:rPr>
        <w:t>հանրային պաշտոն զբաղեցնող անձանց և հանրային ծառայողների վերաբերյալ օրենսդրական կարգավորումների</w:t>
      </w:r>
      <w:r w:rsidRPr="00DC4042">
        <w:rPr>
          <w:rFonts w:ascii="GHEA Grapalat" w:eastAsia="Arial" w:hAnsi="GHEA Grapalat" w:cs="Arial"/>
          <w:sz w:val="24"/>
          <w:szCs w:val="24"/>
          <w:lang w:val="hy-AM"/>
        </w:rPr>
        <w:t xml:space="preserve">ն: </w:t>
      </w:r>
    </w:p>
    <w:p w14:paraId="34DD7B4F" w14:textId="77777777" w:rsidR="00462F9D" w:rsidRPr="00DC4042" w:rsidRDefault="00462F9D" w:rsidP="00B64A83">
      <w:pPr>
        <w:spacing w:after="0" w:line="360" w:lineRule="auto"/>
        <w:contextualSpacing/>
        <w:jc w:val="both"/>
        <w:rPr>
          <w:rFonts w:ascii="GHEA Grapalat" w:eastAsia="GHEA Grapalat" w:hAnsi="GHEA Grapalat" w:cs="GHEA Grapalat"/>
          <w:sz w:val="24"/>
          <w:szCs w:val="24"/>
          <w:lang w:val="hy-AM"/>
        </w:rPr>
      </w:pPr>
    </w:p>
    <w:p w14:paraId="2FD05B6B" w14:textId="189C283D" w:rsidR="00462F9D" w:rsidRPr="00DC4042" w:rsidRDefault="00B64A83" w:rsidP="00B64A83">
      <w:pPr>
        <w:pStyle w:val="Heading1"/>
        <w:spacing w:line="360" w:lineRule="auto"/>
        <w:ind w:firstLine="720"/>
        <w:contextualSpacing/>
        <w:jc w:val="both"/>
        <w:rPr>
          <w:rFonts w:ascii="GHEA Grapalat" w:hAnsi="GHEA Grapalat"/>
          <w:b/>
          <w:color w:val="000000" w:themeColor="text1"/>
          <w:sz w:val="24"/>
          <w:szCs w:val="24"/>
          <w:lang w:val="hy-AM"/>
        </w:rPr>
      </w:pPr>
      <w:r w:rsidRPr="00DC4042">
        <w:rPr>
          <w:rFonts w:ascii="GHEA Grapalat" w:hAnsi="GHEA Grapalat"/>
          <w:b/>
          <w:color w:val="000000" w:themeColor="text1"/>
          <w:sz w:val="24"/>
          <w:szCs w:val="24"/>
          <w:lang w:val="hy-AM"/>
        </w:rPr>
        <w:t>5</w:t>
      </w:r>
      <w:r w:rsidR="00462F9D" w:rsidRPr="00DC4042">
        <w:rPr>
          <w:rFonts w:ascii="GHEA Grapalat" w:hAnsi="GHEA Grapalat"/>
          <w:b/>
          <w:color w:val="000000" w:themeColor="text1"/>
          <w:sz w:val="24"/>
          <w:szCs w:val="24"/>
          <w:lang w:val="hy-AM"/>
        </w:rPr>
        <w:t>.</w:t>
      </w:r>
      <w:r w:rsidR="00462F9D" w:rsidRPr="00DC4042">
        <w:rPr>
          <w:rFonts w:ascii="GHEA Grapalat" w:hAnsi="GHEA Grapalat"/>
          <w:color w:val="000000" w:themeColor="text1"/>
          <w:sz w:val="24"/>
          <w:szCs w:val="24"/>
          <w:lang w:val="hy-AM"/>
        </w:rPr>
        <w:t xml:space="preserve"> </w:t>
      </w:r>
      <w:r w:rsidR="00462F9D" w:rsidRPr="00DC4042">
        <w:rPr>
          <w:rFonts w:ascii="GHEA Grapalat" w:hAnsi="GHEA Grapalat"/>
          <w:b/>
          <w:color w:val="000000" w:themeColor="text1"/>
          <w:sz w:val="24"/>
          <w:szCs w:val="24"/>
          <w:lang w:val="hy-AM"/>
        </w:rPr>
        <w:t xml:space="preserve">Ակնկալվող </w:t>
      </w:r>
      <w:r w:rsidR="00462F9D" w:rsidRPr="00DC4042">
        <w:rPr>
          <w:rFonts w:ascii="GHEA Grapalat" w:eastAsia="Calibri" w:hAnsi="GHEA Grapalat" w:cs="Times New Roman"/>
          <w:b/>
          <w:color w:val="000000" w:themeColor="text1"/>
          <w:sz w:val="24"/>
          <w:szCs w:val="24"/>
          <w:lang w:val="hy-AM"/>
        </w:rPr>
        <w:t>արդյունքները</w:t>
      </w:r>
      <w:r w:rsidR="00462F9D" w:rsidRPr="00DC4042">
        <w:rPr>
          <w:rFonts w:ascii="GHEA Grapalat" w:hAnsi="GHEA Grapalat"/>
          <w:b/>
          <w:color w:val="000000" w:themeColor="text1"/>
          <w:sz w:val="24"/>
          <w:szCs w:val="24"/>
          <w:lang w:val="hy-AM"/>
        </w:rPr>
        <w:t xml:space="preserve"> </w:t>
      </w:r>
    </w:p>
    <w:p w14:paraId="674FE9EA" w14:textId="140A63A5" w:rsidR="00462F9D" w:rsidRPr="00DC4042" w:rsidRDefault="00462F9D" w:rsidP="004A04CC">
      <w:pPr>
        <w:spacing w:after="0" w:line="360" w:lineRule="auto"/>
        <w:ind w:firstLine="720"/>
        <w:contextualSpacing/>
        <w:jc w:val="both"/>
        <w:rPr>
          <w:rFonts w:ascii="GHEA Grapalat" w:eastAsia="GHEA Grapalat" w:hAnsi="GHEA Grapalat" w:cs="GHEA Grapalat"/>
          <w:sz w:val="24"/>
          <w:szCs w:val="24"/>
          <w:lang w:val="hy-AM"/>
        </w:rPr>
      </w:pPr>
      <w:r w:rsidRPr="00DC4042">
        <w:rPr>
          <w:rFonts w:ascii="GHEA Grapalat" w:hAnsi="GHEA Grapalat"/>
          <w:sz w:val="24"/>
          <w:szCs w:val="24"/>
          <w:lang w:val="hy-AM"/>
        </w:rPr>
        <w:t xml:space="preserve">Ներկայացված նախագծերի փաթեթով ակնկալվում է </w:t>
      </w:r>
      <w:r w:rsidRPr="00DC4042">
        <w:rPr>
          <w:rFonts w:ascii="GHEA Grapalat" w:eastAsia="GHEA Grapalat" w:hAnsi="GHEA Grapalat" w:cs="GHEA Grapalat"/>
          <w:sz w:val="24"/>
          <w:szCs w:val="24"/>
          <w:lang w:val="hy-AM"/>
        </w:rPr>
        <w:t>հանրային պաշտոն զբաղեցնող անձանց և հանրային ծառայողների կողմից նվերներ ստանալու սահմանափակումներ նախատեսող կարգավորումները համախմբել մեկ իրավական ակտում՝ «Հանրային ծառայության մասին» օրենքում, ինչի արդյունքում կապահովվի հանրային պաշտոն զբաղեցնող անձանց և հանրային ծառայողների կողմից նվերներ ընդունելու սահմանափակումների վերաբերյալ կարգավորումների միասնականությունը և կբացառվի տարբեր օրենքներում տարաբնույթ կարգավորումների առկայությունը։ Միաժամանակ, ներկայացված նախագծերի ընդունման դեպքում կներդրվի նվերների հաշվառման ռեսստրի ինստիտուտը, որի հիմնական նպատակներից է պետական համակարգի մարմինների գործունեության թափանցիկության ապահովումը։</w:t>
      </w:r>
    </w:p>
    <w:p w14:paraId="7CDDA44D" w14:textId="77777777" w:rsidR="00953CF5" w:rsidRPr="00DC4042" w:rsidRDefault="00953CF5" w:rsidP="00953CF5">
      <w:pPr>
        <w:spacing w:after="0" w:line="360" w:lineRule="auto"/>
        <w:ind w:firstLine="720"/>
        <w:contextualSpacing/>
        <w:jc w:val="both"/>
        <w:rPr>
          <w:rFonts w:ascii="GHEA Grapalat" w:eastAsia="GHEA Grapalat" w:hAnsi="GHEA Grapalat" w:cs="GHEA Grapalat"/>
          <w:sz w:val="24"/>
          <w:szCs w:val="24"/>
          <w:lang w:val="hy-AM"/>
        </w:rPr>
      </w:pPr>
      <w:r w:rsidRPr="00DC4042">
        <w:rPr>
          <w:rFonts w:ascii="GHEA Grapalat" w:eastAsia="GHEA Grapalat" w:hAnsi="GHEA Grapalat" w:cs="GHEA Grapalat"/>
          <w:sz w:val="24"/>
          <w:szCs w:val="24"/>
          <w:lang w:val="hy-AM"/>
        </w:rPr>
        <w:t xml:space="preserve">Նախագծերի փաթեթի ընդունմամբ ակնկալվում է նաև հստակեցնել «Հանրային ծառայության մասին» օրենքով սահմանված շահերի բախման և անհամատեղելիության պահանջների վերաբերյալ կարգավորումները։ Մասնավորապես, ակնկալվում է հստակեցնել շահերի բախման հասկացությունը՝ </w:t>
      </w:r>
      <w:r w:rsidRPr="00DC4042">
        <w:rPr>
          <w:rFonts w:ascii="GHEA Grapalat" w:eastAsia="GHEA Grapalat" w:hAnsi="GHEA Grapalat" w:cs="GHEA Grapalat"/>
          <w:sz w:val="24"/>
          <w:szCs w:val="24"/>
          <w:lang w:val="hy-AM"/>
        </w:rPr>
        <w:lastRenderedPageBreak/>
        <w:t xml:space="preserve">այն դարձնելով ավելի ընդգրկուն` ներառելով նաև պոտենցիալ շահերի բախման իրավիճակը: Ակնկալվում է ընդլայնել նաև փոխկապակցված անձանց շրջանակը, հստակեցնել շահերի բախման իրավիճակների կառավարման առկա մեխանիզմները, սահմանել շահերի բախման պահանջների պահպանման նպատակով կիրառվող պատասխանատվության մեխանիզմները և այլն: </w:t>
      </w:r>
    </w:p>
    <w:p w14:paraId="4ACEA6C8" w14:textId="1B8004C7" w:rsidR="00953CF5" w:rsidRPr="00DC4042" w:rsidRDefault="00953CF5" w:rsidP="00953CF5">
      <w:pPr>
        <w:spacing w:after="0" w:line="360" w:lineRule="auto"/>
        <w:ind w:firstLine="720"/>
        <w:contextualSpacing/>
        <w:jc w:val="both"/>
        <w:rPr>
          <w:rFonts w:ascii="GHEA Grapalat" w:eastAsia="GHEA Grapalat" w:hAnsi="GHEA Grapalat" w:cs="GHEA Grapalat"/>
          <w:sz w:val="24"/>
          <w:szCs w:val="24"/>
          <w:lang w:val="hy-AM"/>
        </w:rPr>
      </w:pPr>
      <w:r w:rsidRPr="00DC4042">
        <w:rPr>
          <w:rFonts w:ascii="GHEA Grapalat" w:eastAsia="GHEA Grapalat" w:hAnsi="GHEA Grapalat" w:cs="GHEA Grapalat"/>
          <w:sz w:val="24"/>
          <w:szCs w:val="24"/>
          <w:lang w:val="hy-AM"/>
        </w:rPr>
        <w:t>Բացի այդ, ակնկալվում է կարգավորել առևտրային ընկերությունների բաժնեմասերի/բաժնետոմսերի հավատարմագրային կառավարման հանձնելու ընթացակարգը՝ այն դարձնելով առավել թափանցիկ և կառավարելի։</w:t>
      </w:r>
    </w:p>
    <w:p w14:paraId="74E13579" w14:textId="77777777" w:rsidR="00953CF5" w:rsidRPr="00DC4042" w:rsidRDefault="00953CF5" w:rsidP="00953CF5">
      <w:pPr>
        <w:spacing w:after="0" w:line="360" w:lineRule="auto"/>
        <w:ind w:firstLine="720"/>
        <w:contextualSpacing/>
        <w:jc w:val="both"/>
        <w:rPr>
          <w:rFonts w:ascii="GHEA Grapalat" w:eastAsia="GHEA Grapalat" w:hAnsi="GHEA Grapalat" w:cs="GHEA Grapalat"/>
          <w:sz w:val="24"/>
          <w:szCs w:val="24"/>
          <w:lang w:val="hy-AM"/>
        </w:rPr>
      </w:pPr>
      <w:r w:rsidRPr="00DC4042">
        <w:rPr>
          <w:rFonts w:ascii="GHEA Grapalat" w:eastAsia="GHEA Grapalat" w:hAnsi="GHEA Grapalat" w:cs="GHEA Grapalat"/>
          <w:sz w:val="24"/>
          <w:szCs w:val="24"/>
          <w:lang w:val="hy-AM"/>
        </w:rPr>
        <w:t>Նշված փոփոխությունների արդյունքում ակնկալվում է ապահովել հանրային ծառայության համակարգում բարեվարքության, թափանցիկության ամրապնդումը և հանրային վստահության բարձրացումը:</w:t>
      </w:r>
    </w:p>
    <w:p w14:paraId="7FCDB23C" w14:textId="77777777" w:rsidR="00462F9D" w:rsidRPr="00DC4042" w:rsidRDefault="00462F9D" w:rsidP="00953CF5">
      <w:pPr>
        <w:pStyle w:val="NormalWeb"/>
        <w:shd w:val="clear" w:color="auto" w:fill="FFFFFF"/>
        <w:spacing w:before="0" w:beforeAutospacing="0" w:after="0" w:afterAutospacing="0" w:line="360" w:lineRule="auto"/>
        <w:contextualSpacing/>
        <w:jc w:val="both"/>
        <w:textAlignment w:val="baseline"/>
        <w:rPr>
          <w:rFonts w:ascii="GHEA Grapalat" w:hAnsi="GHEA Grapalat"/>
          <w:lang w:val="hy-AM"/>
        </w:rPr>
      </w:pPr>
    </w:p>
    <w:p w14:paraId="113BAE26" w14:textId="375AC090" w:rsidR="00462F9D" w:rsidRPr="00DC4042" w:rsidRDefault="007F044A" w:rsidP="00953CF5">
      <w:pPr>
        <w:pStyle w:val="Heading1"/>
        <w:spacing w:line="360" w:lineRule="auto"/>
        <w:ind w:firstLine="720"/>
        <w:contextualSpacing/>
        <w:jc w:val="both"/>
        <w:rPr>
          <w:rFonts w:ascii="GHEA Grapalat" w:hAnsi="GHEA Grapalat"/>
          <w:b/>
          <w:color w:val="000000" w:themeColor="text1"/>
          <w:sz w:val="24"/>
          <w:szCs w:val="24"/>
          <w:lang w:val="hy-AM"/>
        </w:rPr>
      </w:pPr>
      <w:r w:rsidRPr="00DC4042">
        <w:rPr>
          <w:rFonts w:ascii="GHEA Grapalat" w:hAnsi="GHEA Grapalat"/>
          <w:b/>
          <w:color w:val="000000" w:themeColor="text1"/>
          <w:sz w:val="24"/>
          <w:szCs w:val="24"/>
          <w:lang w:val="hy-AM"/>
        </w:rPr>
        <w:t>6</w:t>
      </w:r>
      <w:r w:rsidR="00462F9D" w:rsidRPr="00DC4042">
        <w:rPr>
          <w:rFonts w:ascii="Cambria Math" w:hAnsi="Cambria Math" w:cs="Cambria Math"/>
          <w:b/>
          <w:color w:val="000000" w:themeColor="text1"/>
          <w:sz w:val="24"/>
          <w:szCs w:val="24"/>
          <w:lang w:val="hy-AM"/>
        </w:rPr>
        <w:t>․</w:t>
      </w:r>
      <w:r w:rsidR="00462F9D" w:rsidRPr="00DC4042">
        <w:rPr>
          <w:rFonts w:ascii="GHEA Grapalat" w:hAnsi="GHEA Grapalat"/>
          <w:b/>
          <w:color w:val="000000" w:themeColor="text1"/>
          <w:sz w:val="24"/>
          <w:szCs w:val="24"/>
          <w:lang w:val="hy-AM"/>
        </w:rPr>
        <w:t xml:space="preserve"> Նախագծի մշակման գործընթացում ներգրավված ինստիտուտները և անձինք</w:t>
      </w:r>
    </w:p>
    <w:p w14:paraId="39948F25" w14:textId="19316A73" w:rsidR="00462F9D" w:rsidRPr="00DC4042" w:rsidRDefault="00462F9D" w:rsidP="004A04CC">
      <w:pPr>
        <w:pStyle w:val="NormalWeb"/>
        <w:shd w:val="clear" w:color="auto" w:fill="FFFFFF"/>
        <w:spacing w:before="0" w:beforeAutospacing="0" w:after="0" w:afterAutospacing="0" w:line="360" w:lineRule="auto"/>
        <w:ind w:firstLine="720"/>
        <w:contextualSpacing/>
        <w:jc w:val="both"/>
        <w:textAlignment w:val="baseline"/>
        <w:rPr>
          <w:rFonts w:ascii="GHEA Grapalat" w:hAnsi="GHEA Grapalat"/>
          <w:b/>
          <w:lang w:val="hy-AM"/>
        </w:rPr>
      </w:pPr>
      <w:r w:rsidRPr="00DC4042">
        <w:rPr>
          <w:rFonts w:ascii="GHEA Grapalat" w:hAnsi="GHEA Grapalat"/>
          <w:lang w:val="hy-AM"/>
        </w:rPr>
        <w:t>Նախագծ</w:t>
      </w:r>
      <w:r w:rsidR="00953CF5" w:rsidRPr="00DC4042">
        <w:rPr>
          <w:rFonts w:ascii="GHEA Grapalat" w:hAnsi="GHEA Grapalat"/>
          <w:lang w:val="hy-AM"/>
        </w:rPr>
        <w:t>երի փաթեթը</w:t>
      </w:r>
      <w:r w:rsidRPr="00DC4042">
        <w:rPr>
          <w:rFonts w:ascii="GHEA Grapalat" w:hAnsi="GHEA Grapalat"/>
          <w:lang w:val="hy-AM"/>
        </w:rPr>
        <w:t xml:space="preserve"> մշակվել է </w:t>
      </w:r>
      <w:r w:rsidR="00020198" w:rsidRPr="00DC4042">
        <w:rPr>
          <w:rFonts w:ascii="GHEA Grapalat" w:hAnsi="GHEA Grapalat"/>
          <w:lang w:val="hy-AM"/>
        </w:rPr>
        <w:t xml:space="preserve">ՀՀ արդարադատության նախարարության և </w:t>
      </w:r>
      <w:r w:rsidRPr="00DC4042">
        <w:rPr>
          <w:rFonts w:ascii="GHEA Grapalat" w:hAnsi="GHEA Grapalat"/>
          <w:lang w:val="hy-AM"/>
        </w:rPr>
        <w:t>Կոռուպցիայի կանխարգելման հանձնաժողովի կողմից:</w:t>
      </w:r>
    </w:p>
    <w:p w14:paraId="13443FC8" w14:textId="77777777" w:rsidR="00462F9D" w:rsidRPr="00DC4042" w:rsidRDefault="00462F9D" w:rsidP="004A04CC">
      <w:pPr>
        <w:spacing w:after="0" w:line="360" w:lineRule="auto"/>
        <w:ind w:firstLine="720"/>
        <w:contextualSpacing/>
        <w:jc w:val="both"/>
        <w:rPr>
          <w:rFonts w:ascii="GHEA Grapalat" w:eastAsia="GHEA Grapalat" w:hAnsi="GHEA Grapalat" w:cs="GHEA Grapalat"/>
          <w:sz w:val="24"/>
          <w:szCs w:val="24"/>
          <w:lang w:val="hy-AM"/>
        </w:rPr>
      </w:pPr>
    </w:p>
    <w:p w14:paraId="3C4F9E1E" w14:textId="46D597C4" w:rsidR="00462F9D" w:rsidRPr="00DC4042" w:rsidRDefault="007F044A" w:rsidP="007F044A">
      <w:pPr>
        <w:pStyle w:val="Heading1"/>
        <w:spacing w:line="360" w:lineRule="auto"/>
        <w:ind w:firstLine="720"/>
        <w:contextualSpacing/>
        <w:jc w:val="both"/>
        <w:rPr>
          <w:rFonts w:ascii="GHEA Grapalat" w:hAnsi="GHEA Grapalat"/>
          <w:b/>
          <w:color w:val="000000" w:themeColor="text1"/>
          <w:sz w:val="24"/>
          <w:szCs w:val="24"/>
          <w:lang w:val="hy-AM"/>
        </w:rPr>
      </w:pPr>
      <w:r w:rsidRPr="00DC4042">
        <w:rPr>
          <w:rFonts w:ascii="GHEA Grapalat" w:hAnsi="GHEA Grapalat"/>
          <w:b/>
          <w:color w:val="000000" w:themeColor="text1"/>
          <w:sz w:val="24"/>
          <w:szCs w:val="24"/>
          <w:lang w:val="hy-AM"/>
        </w:rPr>
        <w:t>7</w:t>
      </w:r>
      <w:r w:rsidR="00462F9D" w:rsidRPr="00DC4042">
        <w:rPr>
          <w:rFonts w:ascii="GHEA Grapalat" w:hAnsi="GHEA Grapalat"/>
          <w:b/>
          <w:color w:val="000000" w:themeColor="text1"/>
          <w:sz w:val="24"/>
          <w:szCs w:val="24"/>
          <w:lang w:val="hy-AM"/>
        </w:rPr>
        <w:t>. Լրացուցիչ ֆինանսական միջոցների անհրաժեշտությունը և պետական բյուջեի եկամուտներում ու ծախսերում սպասվելիք փոփոխությունները</w:t>
      </w:r>
    </w:p>
    <w:p w14:paraId="5571C328" w14:textId="404B2EF6" w:rsidR="00462F9D" w:rsidRDefault="00480795" w:rsidP="004A04CC">
      <w:pPr>
        <w:spacing w:after="0" w:line="360" w:lineRule="auto"/>
        <w:ind w:firstLine="720"/>
        <w:contextualSpacing/>
        <w:jc w:val="both"/>
        <w:rPr>
          <w:rFonts w:ascii="GHEA Grapalat" w:eastAsia="GHEA Grapalat" w:hAnsi="GHEA Grapalat" w:cs="GHEA Grapalat"/>
          <w:sz w:val="24"/>
          <w:szCs w:val="24"/>
          <w:lang w:val="hy-AM"/>
        </w:rPr>
      </w:pPr>
      <w:r w:rsidRPr="00DC4042">
        <w:rPr>
          <w:rFonts w:ascii="GHEA Grapalat" w:eastAsia="GHEA Grapalat" w:hAnsi="GHEA Grapalat" w:cs="GHEA Grapalat"/>
          <w:sz w:val="24"/>
          <w:szCs w:val="24"/>
          <w:lang w:val="hy-AM"/>
        </w:rPr>
        <w:t>Ն</w:t>
      </w:r>
      <w:r w:rsidR="00462F9D" w:rsidRPr="00DC4042">
        <w:rPr>
          <w:rFonts w:ascii="GHEA Grapalat" w:eastAsia="GHEA Grapalat" w:hAnsi="GHEA Grapalat" w:cs="GHEA Grapalat"/>
          <w:sz w:val="24"/>
          <w:szCs w:val="24"/>
          <w:lang w:val="hy-AM"/>
        </w:rPr>
        <w:t>ախագծ</w:t>
      </w:r>
      <w:r w:rsidRPr="00DC4042">
        <w:rPr>
          <w:rFonts w:ascii="GHEA Grapalat" w:eastAsia="GHEA Grapalat" w:hAnsi="GHEA Grapalat" w:cs="GHEA Grapalat"/>
          <w:sz w:val="24"/>
          <w:szCs w:val="24"/>
          <w:lang w:val="hy-AM"/>
        </w:rPr>
        <w:t>եր</w:t>
      </w:r>
      <w:r w:rsidR="00462F9D" w:rsidRPr="00DC4042">
        <w:rPr>
          <w:rFonts w:ascii="GHEA Grapalat" w:eastAsia="GHEA Grapalat" w:hAnsi="GHEA Grapalat" w:cs="GHEA Grapalat"/>
          <w:sz w:val="24"/>
          <w:szCs w:val="24"/>
          <w:lang w:val="hy-AM"/>
        </w:rPr>
        <w:t>ի</w:t>
      </w:r>
      <w:r w:rsidRPr="00DC4042">
        <w:rPr>
          <w:rFonts w:ascii="GHEA Grapalat" w:eastAsia="GHEA Grapalat" w:hAnsi="GHEA Grapalat" w:cs="GHEA Grapalat"/>
          <w:sz w:val="24"/>
          <w:szCs w:val="24"/>
          <w:lang w:val="hy-AM"/>
        </w:rPr>
        <w:t xml:space="preserve"> փաթեթի</w:t>
      </w:r>
      <w:r w:rsidR="00462F9D" w:rsidRPr="00DC4042">
        <w:rPr>
          <w:rFonts w:ascii="GHEA Grapalat" w:eastAsia="GHEA Grapalat" w:hAnsi="GHEA Grapalat" w:cs="GHEA Grapalat"/>
          <w:sz w:val="24"/>
          <w:szCs w:val="24"/>
          <w:lang w:val="hy-AM"/>
        </w:rPr>
        <w:t xml:space="preserve"> ընդունումը 2022-2023 թվականի պետական բյուջեում լրացուցիչ ֆինանսական միջոցների անհրաժեշտության և պետական բյուջեի եկամուտներում ու ծախսերում փոփոխությունների չի հանգեցնում:</w:t>
      </w:r>
    </w:p>
    <w:p w14:paraId="4047642E" w14:textId="77777777" w:rsidR="00D1604B" w:rsidRPr="00422E6C" w:rsidRDefault="00D1604B" w:rsidP="004A04CC">
      <w:pPr>
        <w:spacing w:after="0" w:line="360" w:lineRule="auto"/>
        <w:ind w:firstLine="720"/>
        <w:contextualSpacing/>
        <w:jc w:val="both"/>
        <w:rPr>
          <w:rFonts w:ascii="GHEA Grapalat" w:eastAsia="GHEA Grapalat" w:hAnsi="GHEA Grapalat" w:cs="GHEA Grapalat"/>
          <w:sz w:val="24"/>
          <w:szCs w:val="24"/>
          <w:lang w:val="hy-AM"/>
        </w:rPr>
      </w:pPr>
    </w:p>
    <w:p w14:paraId="0858C2B5" w14:textId="77777777" w:rsidR="00462F9D" w:rsidRPr="00422E6C" w:rsidRDefault="00462F9D" w:rsidP="004A04CC">
      <w:pPr>
        <w:spacing w:after="0" w:line="360" w:lineRule="auto"/>
        <w:ind w:firstLine="720"/>
        <w:contextualSpacing/>
        <w:jc w:val="both"/>
        <w:rPr>
          <w:rFonts w:ascii="GHEA Grapalat" w:eastAsia="GHEA Grapalat" w:hAnsi="GHEA Grapalat" w:cs="GHEA Grapalat"/>
          <w:sz w:val="24"/>
          <w:szCs w:val="24"/>
          <w:lang w:val="hy-AM"/>
        </w:rPr>
      </w:pPr>
    </w:p>
    <w:p w14:paraId="6ECB418F" w14:textId="375138D5" w:rsidR="008A0126" w:rsidRPr="00422E6C" w:rsidRDefault="008A0126" w:rsidP="004A04CC">
      <w:pPr>
        <w:pBdr>
          <w:top w:val="nil"/>
          <w:left w:val="nil"/>
          <w:bottom w:val="nil"/>
          <w:right w:val="nil"/>
          <w:between w:val="nil"/>
        </w:pBdr>
        <w:shd w:val="clear" w:color="auto" w:fill="FFFFFF"/>
        <w:spacing w:after="0" w:line="360" w:lineRule="auto"/>
        <w:ind w:firstLine="720"/>
        <w:contextualSpacing/>
        <w:jc w:val="both"/>
        <w:rPr>
          <w:rFonts w:ascii="GHEA Grapalat" w:hAnsi="GHEA Grapalat"/>
          <w:sz w:val="24"/>
          <w:szCs w:val="24"/>
          <w:lang w:val="hy-AM"/>
        </w:rPr>
      </w:pPr>
    </w:p>
    <w:sectPr w:rsidR="008A0126" w:rsidRPr="00422E6C" w:rsidSect="000002D4">
      <w:headerReference w:type="default" r:id="rId7"/>
      <w:footerReference w:type="default" r:id="rId8"/>
      <w:pgSz w:w="11906" w:h="16838"/>
      <w:pgMar w:top="144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2726" w14:textId="77777777" w:rsidR="007C065B" w:rsidRDefault="007C065B" w:rsidP="002A38FC">
      <w:pPr>
        <w:spacing w:after="0" w:line="240" w:lineRule="auto"/>
      </w:pPr>
      <w:r>
        <w:separator/>
      </w:r>
    </w:p>
  </w:endnote>
  <w:endnote w:type="continuationSeparator" w:id="0">
    <w:p w14:paraId="70D44D79" w14:textId="77777777" w:rsidR="007C065B" w:rsidRDefault="007C065B" w:rsidP="002A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511178"/>
      <w:docPartObj>
        <w:docPartGallery w:val="Page Numbers (Bottom of Page)"/>
        <w:docPartUnique/>
      </w:docPartObj>
    </w:sdtPr>
    <w:sdtEndPr>
      <w:rPr>
        <w:noProof/>
      </w:rPr>
    </w:sdtEndPr>
    <w:sdtContent>
      <w:p w14:paraId="4B7272C3" w14:textId="35FB3830" w:rsidR="003A0B48" w:rsidRDefault="003A0B48">
        <w:pPr>
          <w:pStyle w:val="Footer"/>
          <w:jc w:val="center"/>
        </w:pPr>
        <w:r>
          <w:fldChar w:fldCharType="begin"/>
        </w:r>
        <w:r>
          <w:instrText xml:space="preserve"> PAGE   \* MERGEFORMAT </w:instrText>
        </w:r>
        <w:r>
          <w:fldChar w:fldCharType="separate"/>
        </w:r>
        <w:r w:rsidR="000B7B84">
          <w:rPr>
            <w:noProof/>
          </w:rPr>
          <w:t>27</w:t>
        </w:r>
        <w:r>
          <w:rPr>
            <w:noProof/>
          </w:rPr>
          <w:fldChar w:fldCharType="end"/>
        </w:r>
      </w:p>
    </w:sdtContent>
  </w:sdt>
  <w:p w14:paraId="7A2E150E" w14:textId="77777777" w:rsidR="003A0B48" w:rsidRDefault="003A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0715" w14:textId="77777777" w:rsidR="007C065B" w:rsidRDefault="007C065B" w:rsidP="002A38FC">
      <w:pPr>
        <w:spacing w:after="0" w:line="240" w:lineRule="auto"/>
      </w:pPr>
      <w:r>
        <w:separator/>
      </w:r>
    </w:p>
  </w:footnote>
  <w:footnote w:type="continuationSeparator" w:id="0">
    <w:p w14:paraId="21D90D71" w14:textId="77777777" w:rsidR="007C065B" w:rsidRDefault="007C065B" w:rsidP="002A38FC">
      <w:pPr>
        <w:spacing w:after="0" w:line="240" w:lineRule="auto"/>
      </w:pPr>
      <w:r>
        <w:continuationSeparator/>
      </w:r>
    </w:p>
  </w:footnote>
  <w:footnote w:id="1">
    <w:p w14:paraId="1B20B4C6" w14:textId="77777777" w:rsidR="00462F9D" w:rsidRPr="00E35472" w:rsidRDefault="00462F9D" w:rsidP="00462F9D">
      <w:pPr>
        <w:pBdr>
          <w:top w:val="nil"/>
          <w:left w:val="nil"/>
          <w:bottom w:val="nil"/>
          <w:right w:val="nil"/>
          <w:between w:val="nil"/>
        </w:pBdr>
        <w:spacing w:after="0" w:line="240" w:lineRule="auto"/>
        <w:rPr>
          <w:rFonts w:ascii="GHEA Grapalat" w:eastAsia="Calibri" w:hAnsi="GHEA Grapalat"/>
          <w:color w:val="000000"/>
          <w:sz w:val="20"/>
          <w:szCs w:val="20"/>
        </w:rPr>
      </w:pPr>
      <w:r w:rsidRPr="00E35472">
        <w:rPr>
          <w:rStyle w:val="FootnoteReference"/>
          <w:rFonts w:ascii="GHEA Grapalat" w:hAnsi="GHEA Grapalat"/>
          <w:sz w:val="20"/>
          <w:szCs w:val="20"/>
        </w:rPr>
        <w:footnoteRef/>
      </w:r>
      <w:r w:rsidRPr="00E35472">
        <w:rPr>
          <w:rFonts w:ascii="GHEA Grapalat" w:eastAsia="Calibri" w:hAnsi="GHEA Grapalat"/>
          <w:color w:val="000000"/>
          <w:sz w:val="20"/>
          <w:szCs w:val="20"/>
        </w:rPr>
        <w:t xml:space="preserve"> Greco Eval IV Rep (2015) 1E, Evaluation Report (4th Evaluation Round) </w:t>
      </w:r>
      <w:hyperlink r:id="rId1">
        <w:r w:rsidRPr="00E35472">
          <w:rPr>
            <w:rFonts w:ascii="GHEA Grapalat" w:eastAsia="Calibri" w:hAnsi="GHEA Grapalat"/>
            <w:color w:val="0563C1"/>
            <w:sz w:val="20"/>
            <w:szCs w:val="20"/>
            <w:u w:val="single"/>
          </w:rPr>
          <w:t>https://rm.coe.int/CoERMPublicCommonSearchServices/DisplayDCTMContent?documentId=09000016806c2bd8</w:t>
        </w:r>
      </w:hyperlink>
      <w:r w:rsidRPr="00E35472">
        <w:rPr>
          <w:rFonts w:ascii="GHEA Grapalat" w:eastAsia="Calibri" w:hAnsi="GHEA Grapalat"/>
          <w:color w:val="000000"/>
          <w:sz w:val="20"/>
          <w:szCs w:val="20"/>
        </w:rPr>
        <w:t xml:space="preserve"> </w:t>
      </w:r>
    </w:p>
  </w:footnote>
  <w:footnote w:id="2">
    <w:p w14:paraId="50C3C175" w14:textId="77777777" w:rsidR="00462F9D" w:rsidRPr="00E35472" w:rsidRDefault="00462F9D" w:rsidP="00462F9D">
      <w:pPr>
        <w:pBdr>
          <w:top w:val="nil"/>
          <w:left w:val="nil"/>
          <w:bottom w:val="nil"/>
          <w:right w:val="nil"/>
          <w:between w:val="nil"/>
        </w:pBdr>
        <w:spacing w:after="0" w:line="240" w:lineRule="auto"/>
        <w:rPr>
          <w:rFonts w:ascii="GHEA Grapalat" w:eastAsia="Calibri" w:hAnsi="GHEA Grapalat"/>
          <w:color w:val="000000"/>
          <w:sz w:val="20"/>
          <w:szCs w:val="20"/>
        </w:rPr>
      </w:pPr>
      <w:r w:rsidRPr="00E35472">
        <w:rPr>
          <w:rStyle w:val="FootnoteReference"/>
          <w:rFonts w:ascii="GHEA Grapalat" w:hAnsi="GHEA Grapalat"/>
          <w:sz w:val="20"/>
          <w:szCs w:val="20"/>
        </w:rPr>
        <w:footnoteRef/>
      </w:r>
      <w:r w:rsidRPr="00E35472">
        <w:rPr>
          <w:rFonts w:ascii="GHEA Grapalat" w:eastAsia="Calibri" w:hAnsi="GHEA Grapalat"/>
          <w:color w:val="000000"/>
          <w:sz w:val="20"/>
          <w:szCs w:val="20"/>
        </w:rPr>
        <w:t xml:space="preserve"> GrecoRC4(2021)15, Interim Compliance Report (4th Evaluation Round)</w:t>
      </w:r>
    </w:p>
    <w:p w14:paraId="00E181D2" w14:textId="77777777" w:rsidR="00462F9D" w:rsidRPr="00E35472" w:rsidRDefault="00462F9D" w:rsidP="00462F9D">
      <w:pPr>
        <w:pBdr>
          <w:top w:val="nil"/>
          <w:left w:val="nil"/>
          <w:bottom w:val="nil"/>
          <w:right w:val="nil"/>
          <w:between w:val="nil"/>
        </w:pBdr>
        <w:spacing w:after="0" w:line="240" w:lineRule="auto"/>
        <w:rPr>
          <w:rFonts w:ascii="GHEA Grapalat" w:eastAsia="Calibri" w:hAnsi="GHEA Grapalat"/>
          <w:color w:val="000000"/>
          <w:sz w:val="20"/>
          <w:szCs w:val="20"/>
        </w:rPr>
      </w:pPr>
      <w:r w:rsidRPr="00E35472">
        <w:rPr>
          <w:rFonts w:ascii="GHEA Grapalat" w:eastAsia="Calibri" w:hAnsi="GHEA Grapalat"/>
          <w:color w:val="000000"/>
          <w:sz w:val="20"/>
          <w:szCs w:val="20"/>
        </w:rPr>
        <w:t xml:space="preserve"> </w:t>
      </w:r>
      <w:hyperlink r:id="rId2">
        <w:r w:rsidRPr="00E35472">
          <w:rPr>
            <w:rFonts w:ascii="GHEA Grapalat" w:eastAsia="Calibri" w:hAnsi="GHEA Grapalat"/>
            <w:color w:val="0563C1"/>
            <w:sz w:val="20"/>
            <w:szCs w:val="20"/>
            <w:u w:val="single"/>
          </w:rPr>
          <w:t>https://rm.coe.int/fourth-evaluation-round-corruption-prevention-in-respect-of-members-of/1680a3fcad</w:t>
        </w:r>
      </w:hyperlink>
      <w:r w:rsidRPr="00E35472">
        <w:rPr>
          <w:rFonts w:ascii="GHEA Grapalat" w:eastAsia="Calibri" w:hAnsi="GHEA Grapalat"/>
          <w:color w:val="000000"/>
          <w:sz w:val="20"/>
          <w:szCs w:val="20"/>
        </w:rPr>
        <w:t xml:space="preserve"> </w:t>
      </w:r>
    </w:p>
  </w:footnote>
  <w:footnote w:id="3">
    <w:p w14:paraId="663E005F" w14:textId="77777777" w:rsidR="00462F9D" w:rsidRPr="00E35472" w:rsidRDefault="00462F9D" w:rsidP="00462F9D">
      <w:pPr>
        <w:pBdr>
          <w:top w:val="nil"/>
          <w:left w:val="nil"/>
          <w:bottom w:val="nil"/>
          <w:right w:val="nil"/>
          <w:between w:val="nil"/>
        </w:pBdr>
        <w:spacing w:after="0" w:line="240" w:lineRule="auto"/>
        <w:jc w:val="both"/>
        <w:rPr>
          <w:rFonts w:ascii="GHEA Grapalat" w:eastAsia="Calibri" w:hAnsi="GHEA Grapalat"/>
          <w:color w:val="000000"/>
          <w:sz w:val="20"/>
          <w:szCs w:val="20"/>
        </w:rPr>
      </w:pPr>
      <w:r w:rsidRPr="00E35472">
        <w:rPr>
          <w:rStyle w:val="FootnoteReference"/>
          <w:rFonts w:ascii="GHEA Grapalat" w:hAnsi="GHEA Grapalat"/>
          <w:sz w:val="20"/>
          <w:szCs w:val="20"/>
        </w:rPr>
        <w:footnoteRef/>
      </w:r>
      <w:r w:rsidRPr="00E35472">
        <w:rPr>
          <w:rFonts w:ascii="GHEA Grapalat" w:eastAsia="Calibri" w:hAnsi="GHEA Grapalat"/>
          <w:color w:val="000000"/>
          <w:sz w:val="20"/>
          <w:szCs w:val="20"/>
        </w:rPr>
        <w:t xml:space="preserve"> Պարտավորությունների կատարման վերաբերյալ զեկույցում գնահատվում են Հայաստանի իշխանությունների կողմից ձեռնարկված միջոցառումները՝ ուղղված ԳՐԵԿՈ-ի կողմից իր 69-րդ լիագումար նիստում ընդունված՝ Գնահատման չորրորդ փուլի՝ Հայաստանի վերաբերյալ զեկույցում ներկայացված հանձնարարականների կատարմանը (2015 թվականի հոկտեմբերի 16), այն հրապարակվել է 2016 թվականի փետրվարի 25-ին (Greco Eval IV Rep (2015) 1E [ԳՐԵԿՈ-ի գնահատման IV զեկույց (2015) 1E]):</w:t>
      </w:r>
    </w:p>
  </w:footnote>
  <w:footnote w:id="4">
    <w:p w14:paraId="73A1275C" w14:textId="77777777" w:rsidR="00462F9D" w:rsidRPr="00E35472" w:rsidRDefault="00462F9D" w:rsidP="00462F9D">
      <w:pPr>
        <w:pBdr>
          <w:top w:val="nil"/>
          <w:left w:val="nil"/>
          <w:bottom w:val="nil"/>
          <w:right w:val="nil"/>
          <w:between w:val="nil"/>
        </w:pBdr>
        <w:spacing w:after="0" w:line="240" w:lineRule="auto"/>
        <w:rPr>
          <w:rFonts w:ascii="GHEA Grapalat" w:eastAsia="Calibri" w:hAnsi="GHEA Grapalat"/>
          <w:color w:val="000000"/>
          <w:sz w:val="20"/>
          <w:szCs w:val="20"/>
          <w:lang w:val="fr-FR"/>
        </w:rPr>
      </w:pPr>
      <w:r w:rsidRPr="00E35472">
        <w:rPr>
          <w:rStyle w:val="FootnoteReference"/>
          <w:rFonts w:ascii="GHEA Grapalat" w:hAnsi="GHEA Grapalat"/>
          <w:sz w:val="20"/>
          <w:szCs w:val="20"/>
        </w:rPr>
        <w:footnoteRef/>
      </w:r>
      <w:r w:rsidRPr="00E35472">
        <w:rPr>
          <w:rFonts w:ascii="GHEA Grapalat" w:eastAsia="Calibri" w:hAnsi="GHEA Grapalat"/>
          <w:color w:val="000000"/>
          <w:sz w:val="20"/>
          <w:szCs w:val="20"/>
          <w:lang w:val="fr-FR"/>
        </w:rPr>
        <w:t xml:space="preserve"> </w:t>
      </w:r>
      <w:hyperlink r:id="rId3">
        <w:r w:rsidRPr="00E35472">
          <w:rPr>
            <w:rFonts w:ascii="GHEA Grapalat" w:eastAsia="Calibri" w:hAnsi="GHEA Grapalat"/>
            <w:color w:val="0563C1"/>
            <w:sz w:val="20"/>
            <w:szCs w:val="20"/>
            <w:u w:val="single"/>
            <w:lang w:val="fr-FR"/>
          </w:rPr>
          <w:t>https://rm.coe.int/CoERMPublicCommonSearchServices/DisplayDCTMContent?documentId=09000016806c2bd8</w:t>
        </w:r>
      </w:hyperlink>
      <w:r w:rsidRPr="00E35472">
        <w:rPr>
          <w:rFonts w:ascii="GHEA Grapalat" w:eastAsia="Calibri" w:hAnsi="GHEA Grapalat"/>
          <w:color w:val="000000"/>
          <w:sz w:val="20"/>
          <w:szCs w:val="20"/>
          <w:lang w:val="fr-FR"/>
        </w:rPr>
        <w:t>, pages 16-17</w:t>
      </w:r>
    </w:p>
  </w:footnote>
  <w:footnote w:id="5">
    <w:p w14:paraId="086FDA7A" w14:textId="77777777" w:rsidR="00462F9D" w:rsidRPr="00E35472" w:rsidRDefault="00462F9D" w:rsidP="00462F9D">
      <w:pPr>
        <w:pBdr>
          <w:top w:val="nil"/>
          <w:left w:val="nil"/>
          <w:bottom w:val="nil"/>
          <w:right w:val="nil"/>
          <w:between w:val="nil"/>
        </w:pBdr>
        <w:spacing w:after="0" w:line="240" w:lineRule="auto"/>
        <w:rPr>
          <w:rFonts w:ascii="GHEA Grapalat" w:eastAsia="Calibri" w:hAnsi="GHEA Grapalat"/>
          <w:color w:val="000000"/>
          <w:sz w:val="20"/>
          <w:szCs w:val="20"/>
          <w:lang w:val="fr-FR"/>
        </w:rPr>
      </w:pPr>
      <w:r w:rsidRPr="00E35472">
        <w:rPr>
          <w:rStyle w:val="FootnoteReference"/>
          <w:rFonts w:ascii="GHEA Grapalat" w:hAnsi="GHEA Grapalat"/>
          <w:sz w:val="20"/>
          <w:szCs w:val="20"/>
        </w:rPr>
        <w:footnoteRef/>
      </w:r>
      <w:r w:rsidRPr="00E35472">
        <w:rPr>
          <w:rFonts w:ascii="GHEA Grapalat" w:eastAsia="Calibri" w:hAnsi="GHEA Grapalat"/>
          <w:color w:val="000000"/>
          <w:sz w:val="20"/>
          <w:szCs w:val="20"/>
          <w:lang w:val="fr-FR"/>
        </w:rPr>
        <w:t xml:space="preserve"> </w:t>
      </w:r>
      <w:hyperlink r:id="rId4">
        <w:r w:rsidRPr="00E35472">
          <w:rPr>
            <w:rFonts w:ascii="GHEA Grapalat" w:eastAsia="Calibri" w:hAnsi="GHEA Grapalat"/>
            <w:color w:val="0563C1"/>
            <w:sz w:val="20"/>
            <w:szCs w:val="20"/>
            <w:u w:val="single"/>
            <w:lang w:val="fr-FR"/>
          </w:rPr>
          <w:t>https://rm.coe.int/CoERMPublicCommonSearchServices/DisplayDCTMContent?documentId=09000016806c2bd8</w:t>
        </w:r>
      </w:hyperlink>
      <w:r w:rsidRPr="00E35472">
        <w:rPr>
          <w:rFonts w:ascii="GHEA Grapalat" w:eastAsia="Calibri" w:hAnsi="GHEA Grapalat"/>
          <w:color w:val="000000"/>
          <w:sz w:val="20"/>
          <w:szCs w:val="20"/>
          <w:lang w:val="fr-FR"/>
        </w:rPr>
        <w:t>, page 23</w:t>
      </w:r>
    </w:p>
  </w:footnote>
  <w:footnote w:id="6">
    <w:p w14:paraId="461D3D15" w14:textId="77777777" w:rsidR="00462F9D" w:rsidRPr="00E35472" w:rsidRDefault="00462F9D" w:rsidP="00462F9D">
      <w:pPr>
        <w:pBdr>
          <w:top w:val="nil"/>
          <w:left w:val="nil"/>
          <w:bottom w:val="nil"/>
          <w:right w:val="nil"/>
          <w:between w:val="nil"/>
        </w:pBdr>
        <w:spacing w:after="0" w:line="240" w:lineRule="auto"/>
        <w:rPr>
          <w:rFonts w:ascii="GHEA Grapalat" w:eastAsia="Calibri" w:hAnsi="GHEA Grapalat"/>
          <w:color w:val="000000"/>
          <w:sz w:val="20"/>
          <w:szCs w:val="20"/>
          <w:lang w:val="fr-FR"/>
        </w:rPr>
      </w:pPr>
      <w:r w:rsidRPr="00E35472">
        <w:rPr>
          <w:rStyle w:val="FootnoteReference"/>
          <w:rFonts w:ascii="GHEA Grapalat" w:hAnsi="GHEA Grapalat"/>
          <w:sz w:val="20"/>
          <w:szCs w:val="20"/>
        </w:rPr>
        <w:footnoteRef/>
      </w:r>
      <w:r w:rsidRPr="00E35472">
        <w:rPr>
          <w:rFonts w:ascii="GHEA Grapalat" w:eastAsia="Calibri" w:hAnsi="GHEA Grapalat"/>
          <w:color w:val="000000"/>
          <w:sz w:val="20"/>
          <w:szCs w:val="20"/>
          <w:lang w:val="fr-FR"/>
        </w:rPr>
        <w:t xml:space="preserve"> </w:t>
      </w:r>
      <w:hyperlink r:id="rId5">
        <w:r w:rsidRPr="00E35472">
          <w:rPr>
            <w:rFonts w:ascii="GHEA Grapalat" w:eastAsia="Calibri" w:hAnsi="GHEA Grapalat"/>
            <w:color w:val="0563C1"/>
            <w:sz w:val="20"/>
            <w:szCs w:val="20"/>
            <w:u w:val="single"/>
            <w:lang w:val="fr-FR"/>
          </w:rPr>
          <w:t>https://rm.coe.int/CoERMPublicCommonSearchServices/DisplayDCTMContent?documentId=09000016806c2bd8</w:t>
        </w:r>
      </w:hyperlink>
      <w:r w:rsidRPr="00E35472">
        <w:rPr>
          <w:rFonts w:ascii="GHEA Grapalat" w:eastAsia="Calibri" w:hAnsi="GHEA Grapalat"/>
          <w:color w:val="000000"/>
          <w:sz w:val="20"/>
          <w:szCs w:val="20"/>
          <w:lang w:val="fr-FR"/>
        </w:rPr>
        <w:t>, page 23</w:t>
      </w:r>
    </w:p>
  </w:footnote>
  <w:footnote w:id="7">
    <w:p w14:paraId="67B2C59B"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w:t>
      </w:r>
      <w:r w:rsidRPr="00F6430B">
        <w:t>Տե՛ս</w:t>
      </w:r>
      <w:r w:rsidRPr="00F6430B">
        <w:rPr>
          <w:lang w:val="hy-AM"/>
        </w:rPr>
        <w:t xml:space="preserve"> </w:t>
      </w:r>
      <w:hyperlink r:id="rId6" w:anchor="h-92254" w:history="1">
        <w:r w:rsidRPr="00F6430B">
          <w:rPr>
            <w:rStyle w:val="Hyperlink1"/>
            <w:lang w:val="hy-AM"/>
          </w:rPr>
          <w:t>https://laws-lois.justice.gc.ca/eng/acts/c-36.65/page-4.html#h-92254</w:t>
        </w:r>
      </w:hyperlink>
      <w:r w:rsidRPr="00F6430B">
        <w:rPr>
          <w:lang w:val="hy-AM"/>
        </w:rPr>
        <w:t xml:space="preserve"> </w:t>
      </w:r>
    </w:p>
  </w:footnote>
  <w:footnote w:id="8">
    <w:p w14:paraId="5053C7B0"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Տե՛ս </w:t>
      </w:r>
      <w:hyperlink r:id="rId7" w:anchor="n449" w:history="1">
        <w:r w:rsidRPr="00F6430B">
          <w:rPr>
            <w:rStyle w:val="Hyperlink1"/>
            <w:lang w:val="hy-AM"/>
          </w:rPr>
          <w:t>https://zakon.rada.gov.ua/laws/show/1700-18#n449</w:t>
        </w:r>
      </w:hyperlink>
      <w:r w:rsidRPr="00F6430B">
        <w:rPr>
          <w:lang w:val="hy-AM"/>
        </w:rPr>
        <w:t xml:space="preserve"> </w:t>
      </w:r>
    </w:p>
  </w:footnote>
  <w:footnote w:id="9">
    <w:p w14:paraId="392098DC"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Տե՛ս </w:t>
      </w:r>
      <w:hyperlink r:id="rId8" w:history="1">
        <w:r w:rsidRPr="00F6430B">
          <w:rPr>
            <w:rStyle w:val="Hyperlink1"/>
            <w:lang w:val="hy-AM"/>
          </w:rPr>
          <w:t>https://uscode.house.gov/view.xhtml?req=(title:5a%20section:102%20edition:prelim)</w:t>
        </w:r>
      </w:hyperlink>
      <w:r w:rsidRPr="00F6430B">
        <w:rPr>
          <w:lang w:val="hy-AM"/>
        </w:rPr>
        <w:t xml:space="preserve"> </w:t>
      </w:r>
    </w:p>
  </w:footnote>
  <w:footnote w:id="10">
    <w:p w14:paraId="3294F54E"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Տե՛ս </w:t>
      </w:r>
      <w:hyperlink r:id="rId9" w:history="1">
        <w:r w:rsidRPr="00F6430B">
          <w:rPr>
            <w:rStyle w:val="Hyperlink1"/>
            <w:lang w:val="hy-AM"/>
          </w:rPr>
          <w:t>http://documents.worldbank.org/curated/en/580601478253123042/pdf/AUS11340-WP-p153692-PUBLIC-ConflictofinterestEN.pdf</w:t>
        </w:r>
      </w:hyperlink>
      <w:r w:rsidRPr="00F6430B">
        <w:rPr>
          <w:lang w:val="hy-AM"/>
        </w:rPr>
        <w:t xml:space="preserve"> էջ 123 </w:t>
      </w:r>
    </w:p>
  </w:footnote>
  <w:footnote w:id="11">
    <w:p w14:paraId="179392D2"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Տե՛ս </w:t>
      </w:r>
      <w:hyperlink r:id="rId10" w:history="1">
        <w:r w:rsidRPr="00F6430B">
          <w:rPr>
            <w:rStyle w:val="Hyperlink1"/>
            <w:lang w:val="hy-AM"/>
          </w:rPr>
          <w:t>http://www.acas.rs/law-and-regulations/laws/law-acas/</w:t>
        </w:r>
      </w:hyperlink>
      <w:r w:rsidRPr="00F6430B">
        <w:rPr>
          <w:lang w:val="hy-AM"/>
        </w:rPr>
        <w:t xml:space="preserve"> </w:t>
      </w:r>
    </w:p>
  </w:footnote>
  <w:footnote w:id="12">
    <w:p w14:paraId="137441D5"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Տե՛ս</w:t>
      </w:r>
      <w:hyperlink r:id="rId11" w:history="1">
        <w:r w:rsidRPr="00F6430B">
          <w:rPr>
            <w:rStyle w:val="Hyperlink1"/>
            <w:lang w:val="hy-AM"/>
          </w:rPr>
          <w:t>https://assets.publishing.service.gov.uk/government/uploads/system/uploads/attachment_data/file/486508/List_of_Ministers_Interests_Dec_2015.pdf</w:t>
        </w:r>
      </w:hyperlink>
    </w:p>
  </w:footnote>
  <w:footnote w:id="13">
    <w:p w14:paraId="6E0E3D0D"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Տե՛ս </w:t>
      </w:r>
      <w:hyperlink r:id="rId12" w:history="1">
        <w:r w:rsidRPr="00F6430B">
          <w:rPr>
            <w:rStyle w:val="Hyperlink1"/>
            <w:lang w:val="hy-AM"/>
          </w:rPr>
          <w:t>https://www.cmab.gov.hk/en/issues/PAO_Code_1.7.2012.pdf</w:t>
        </w:r>
      </w:hyperlink>
      <w:r w:rsidRPr="00F6430B">
        <w:rPr>
          <w:lang w:val="hy-AM"/>
        </w:rPr>
        <w:t xml:space="preserve">  </w:t>
      </w:r>
    </w:p>
  </w:footnote>
  <w:footnote w:id="14">
    <w:p w14:paraId="3349102A"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Տե՛ս </w:t>
      </w:r>
      <w:hyperlink r:id="rId13" w:history="1">
        <w:r w:rsidRPr="00F6430B">
          <w:rPr>
            <w:rStyle w:val="Hyperlink1"/>
            <w:lang w:val="hy-AM"/>
          </w:rPr>
          <w:t>https://knowledgehub.transparency.org/helpdesk/foreign-exchange-controls-and-assets-declarations-for-politicians-and-publi</w:t>
        </w:r>
      </w:hyperlink>
      <w:r w:rsidRPr="00F6430B">
        <w:rPr>
          <w:lang w:val="hy-AM"/>
        </w:rPr>
        <w:t xml:space="preserve"> </w:t>
      </w:r>
    </w:p>
  </w:footnote>
  <w:footnote w:id="15">
    <w:p w14:paraId="14FDD93A" w14:textId="77777777" w:rsidR="00422E6C" w:rsidRPr="00F6430B" w:rsidRDefault="00422E6C" w:rsidP="00422E6C">
      <w:pPr>
        <w:pStyle w:val="FootnoteText"/>
        <w:contextualSpacing/>
        <w:jc w:val="both"/>
      </w:pPr>
      <w:r w:rsidRPr="00F6430B">
        <w:rPr>
          <w:rStyle w:val="FootnoteReference"/>
        </w:rPr>
        <w:footnoteRef/>
      </w:r>
      <w:r w:rsidRPr="00F6430B">
        <w:t xml:space="preserve"> Տե՛ս “Managing Conflict of Interest in the Public Sector A toolkit” OECD </w:t>
      </w:r>
      <w:r w:rsidRPr="00F6430B">
        <w:rPr>
          <w:lang w:val="hy-AM"/>
        </w:rPr>
        <w:t xml:space="preserve"> Էջ </w:t>
      </w:r>
      <w:r w:rsidRPr="00F6430B">
        <w:t xml:space="preserve">19, 103: </w:t>
      </w:r>
      <w:hyperlink r:id="rId14" w:history="1">
        <w:r w:rsidRPr="00F6430B">
          <w:rPr>
            <w:rStyle w:val="Hyperlink1"/>
            <w:lang w:val="hy-AM"/>
          </w:rPr>
          <w:t>https://www.oecd.org/gov/ethics/49107986.pdf</w:t>
        </w:r>
      </w:hyperlink>
    </w:p>
  </w:footnote>
  <w:footnote w:id="16">
    <w:p w14:paraId="698341DC"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ԹԻՀԿ, Շահերի բախման համակարգը և դրա կառավարումը ՀՀ հանրային ծառայության ոլորտում զեկույցից </w:t>
      </w:r>
      <w:hyperlink r:id="rId15" w:history="1">
        <w:r w:rsidRPr="00F6430B">
          <w:rPr>
            <w:rStyle w:val="Hyperlink"/>
            <w:lang w:val="hy-AM"/>
          </w:rPr>
          <w:t>https://www.transparency.am/files/publications/1643389309-0-463573.pdf?v=4</w:t>
        </w:r>
      </w:hyperlink>
      <w:r w:rsidRPr="00F6430B">
        <w:rPr>
          <w:lang w:val="hy-AM"/>
        </w:rPr>
        <w:t xml:space="preserve"> էջեր 35-37</w:t>
      </w:r>
    </w:p>
  </w:footnote>
  <w:footnote w:id="17">
    <w:p w14:paraId="6B82932C" w14:textId="77777777" w:rsidR="00422E6C" w:rsidRPr="00F6430B" w:rsidRDefault="00422E6C" w:rsidP="00422E6C">
      <w:pPr>
        <w:pStyle w:val="FootnoteText"/>
        <w:contextualSpacing/>
        <w:jc w:val="both"/>
      </w:pPr>
      <w:r w:rsidRPr="00F6430B">
        <w:rPr>
          <w:rStyle w:val="FootnoteReference"/>
        </w:rPr>
        <w:footnoteRef/>
      </w:r>
      <w:r w:rsidRPr="00F6430B">
        <w:t xml:space="preserve"> </w:t>
      </w:r>
      <w:hyperlink r:id="rId16" w:history="1">
        <w:r w:rsidRPr="00F6430B">
          <w:rPr>
            <w:rStyle w:val="Hyperlink"/>
          </w:rPr>
          <w:t>https://rm.coe.int/16805e2e52</w:t>
        </w:r>
      </w:hyperlink>
      <w:r w:rsidRPr="00F6430B">
        <w:t xml:space="preserve"> </w:t>
      </w:r>
    </w:p>
  </w:footnote>
  <w:footnote w:id="18">
    <w:p w14:paraId="0B5501AA" w14:textId="77777777" w:rsidR="00422E6C" w:rsidRPr="00F6430B" w:rsidRDefault="00422E6C" w:rsidP="00422E6C">
      <w:pPr>
        <w:pStyle w:val="FootnoteText"/>
        <w:contextualSpacing/>
        <w:jc w:val="both"/>
        <w:rPr>
          <w:lang w:val="hy-AM"/>
        </w:rPr>
      </w:pPr>
      <w:r w:rsidRPr="00F6430B">
        <w:rPr>
          <w:rStyle w:val="FootnoteReference"/>
        </w:rPr>
        <w:footnoteRef/>
      </w:r>
      <w:r w:rsidRPr="00F6430B">
        <w:t xml:space="preserve"> </w:t>
      </w:r>
      <w:r w:rsidRPr="00F6430B">
        <w:rPr>
          <w:lang w:val="hy-AM"/>
        </w:rPr>
        <w:t xml:space="preserve">Տե՛ս </w:t>
      </w:r>
      <w:r w:rsidRPr="00F6430B">
        <w:t>OECD “</w:t>
      </w:r>
      <w:r w:rsidRPr="00F6430B">
        <w:rPr>
          <w:lang w:val="hy-AM"/>
        </w:rPr>
        <w:t>Managing Conflict of Interest in the Public Service</w:t>
      </w:r>
      <w:r w:rsidRPr="00F6430B">
        <w:t>.</w:t>
      </w:r>
      <w:r w:rsidRPr="00F6430B">
        <w:rPr>
          <w:lang w:val="hy-AM"/>
        </w:rPr>
        <w:t xml:space="preserve"> oecd guidelines and country experiences</w:t>
      </w:r>
      <w:r w:rsidRPr="00F6430B">
        <w:t>” p. 57</w:t>
      </w:r>
      <w:r w:rsidRPr="00F6430B">
        <w:rPr>
          <w:lang w:val="hy-AM"/>
        </w:rPr>
        <w:t xml:space="preserve"> </w:t>
      </w:r>
    </w:p>
  </w:footnote>
  <w:footnote w:id="19">
    <w:p w14:paraId="572D81D7" w14:textId="77777777" w:rsidR="00422E6C" w:rsidRPr="00F6430B" w:rsidRDefault="00422E6C" w:rsidP="00422E6C">
      <w:pPr>
        <w:pStyle w:val="FootnoteText"/>
        <w:contextualSpacing/>
        <w:jc w:val="both"/>
      </w:pPr>
      <w:r w:rsidRPr="00F6430B">
        <w:rPr>
          <w:rStyle w:val="FootnoteReference"/>
        </w:rPr>
        <w:footnoteRef/>
      </w:r>
      <w:r w:rsidRPr="00F6430B">
        <w:t xml:space="preserve"> /Downloads/ECCU-PCF-Toolkit_REG_-2_2015.pdf </w:t>
      </w:r>
    </w:p>
  </w:footnote>
  <w:footnote w:id="20">
    <w:p w14:paraId="07DAFFF5"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w:t>
      </w:r>
      <w:hyperlink r:id="rId17" w:history="1">
        <w:r w:rsidRPr="00F6430B">
          <w:rPr>
            <w:rStyle w:val="Hyperlink"/>
            <w:lang w:val="hy-AM"/>
          </w:rPr>
          <w:t>https://publicofficialsfinancialdisclosure.worldbank.org/sites/fdl/files/assets/law-library-files/Latvia_Conflict%20of%20Interest%20Law_2002_consolidated%20as%20of%202007_EN.pdf</w:t>
        </w:r>
      </w:hyperlink>
      <w:r w:rsidRPr="00F6430B">
        <w:rPr>
          <w:lang w:val="hy-AM"/>
        </w:rPr>
        <w:t xml:space="preserve"> էջ 2-րդ:</w:t>
      </w:r>
    </w:p>
  </w:footnote>
  <w:footnote w:id="21">
    <w:p w14:paraId="779A0E3A"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w:t>
      </w:r>
      <w:hyperlink r:id="rId18" w:history="1">
        <w:r w:rsidRPr="00F6430B">
          <w:rPr>
            <w:rStyle w:val="Hyperlink"/>
            <w:lang w:val="hy-AM"/>
          </w:rPr>
          <w:t>https://publicofficialsfinancialdisclosure.worldbank.org/sites/fdl/files/assets/law-library-files/Lithuania_Conflict%20of%20%20Interest%20Law_1997%20amended%202009_en.pdf</w:t>
        </w:r>
      </w:hyperlink>
      <w:r w:rsidRPr="00F6430B">
        <w:rPr>
          <w:lang w:val="hy-AM"/>
        </w:rPr>
        <w:t xml:space="preserve"> էջ 1</w:t>
      </w:r>
    </w:p>
  </w:footnote>
  <w:footnote w:id="22">
    <w:p w14:paraId="6C20B80F"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w:t>
      </w:r>
      <w:hyperlink r:id="rId19" w:history="1">
        <w:r w:rsidRPr="00F6430B">
          <w:rPr>
            <w:rStyle w:val="Hyperlink"/>
            <w:lang w:val="hy-AM"/>
          </w:rPr>
          <w:t>https://www.refworld.org/docid/4b55c8ec2.html</w:t>
        </w:r>
      </w:hyperlink>
      <w:r w:rsidRPr="00F6430B">
        <w:rPr>
          <w:lang w:val="hy-AM"/>
        </w:rPr>
        <w:t xml:space="preserve"> էջ 2-րդ</w:t>
      </w:r>
    </w:p>
  </w:footnote>
  <w:footnote w:id="23">
    <w:p w14:paraId="3E42145B"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w:t>
      </w:r>
      <w:hyperlink r:id="rId20" w:history="1">
        <w:r w:rsidRPr="00F6430B">
          <w:rPr>
            <w:rStyle w:val="Hyperlink"/>
            <w:lang w:val="hy-AM"/>
          </w:rPr>
          <w:t>https://www.rai-see.org/php_sets/uploads/2021/04/RAI-Law-on-Prevention-of-Corruption-Montenegro-EN.pdf</w:t>
        </w:r>
      </w:hyperlink>
      <w:r w:rsidRPr="00F6430B">
        <w:rPr>
          <w:lang w:val="hy-AM"/>
        </w:rPr>
        <w:t xml:space="preserve"> էջ 2-րդ</w:t>
      </w:r>
    </w:p>
  </w:footnote>
  <w:footnote w:id="24">
    <w:p w14:paraId="0813B91C"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https://zakon.rada.gov.ua/laws/show/1700-18#n449</w:t>
      </w:r>
    </w:p>
  </w:footnote>
  <w:footnote w:id="25">
    <w:p w14:paraId="77B116AC"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https://rm.coe.int/fifth-round-evaluation-report-on-croatia-preventing-corruption-and-pro/16809cff22 էջ 21-23</w:t>
      </w:r>
    </w:p>
  </w:footnote>
  <w:footnote w:id="26">
    <w:p w14:paraId="5FBFCAD4"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https://laws-lois.justice.gc.ca/eng/acts/c-36.65/page-2.html#docCont</w:t>
      </w:r>
    </w:p>
  </w:footnote>
  <w:footnote w:id="27">
    <w:p w14:paraId="5BD51B14" w14:textId="77777777" w:rsidR="00422E6C" w:rsidRPr="00F6430B" w:rsidRDefault="00422E6C" w:rsidP="00422E6C">
      <w:pPr>
        <w:pStyle w:val="FootnoteText"/>
        <w:ind w:left="567"/>
        <w:contextualSpacing/>
        <w:jc w:val="both"/>
        <w:rPr>
          <w:lang w:val="hy-AM"/>
        </w:rPr>
      </w:pPr>
      <w:r w:rsidRPr="00F6430B">
        <w:rPr>
          <w:rStyle w:val="FootnoteReference"/>
        </w:rPr>
        <w:footnoteRef/>
      </w:r>
      <w:r w:rsidRPr="00F6430B">
        <w:rPr>
          <w:lang w:val="hy-AM"/>
        </w:rPr>
        <w:t xml:space="preserve"> Տե՛ս ԹԻՀԿ, </w:t>
      </w:r>
      <w:r w:rsidRPr="00F97AF5">
        <w:rPr>
          <w:lang w:val="hy-AM"/>
        </w:rPr>
        <w:t>Շահերի</w:t>
      </w:r>
      <w:r w:rsidRPr="00F6430B">
        <w:rPr>
          <w:lang w:val="hy-AM"/>
        </w:rPr>
        <w:t xml:space="preserve"> բախման համակարգը և դրա կառավարումը ՀՀ հանրային ծառայության ոլորտում, էջ 17, </w:t>
      </w:r>
      <w:hyperlink r:id="rId21" w:history="1">
        <w:r w:rsidRPr="00F6430B">
          <w:rPr>
            <w:rStyle w:val="Hyperlink"/>
            <w:lang w:val="hy-AM"/>
          </w:rPr>
          <w:t>https://www.transparency.am/files/publications/1643389309-0-463573.pdf?v=4</w:t>
        </w:r>
      </w:hyperlink>
      <w:r w:rsidRPr="00F6430B">
        <w:rPr>
          <w:lang w:val="hy-AM"/>
        </w:rPr>
        <w:t xml:space="preserve">, </w:t>
      </w:r>
    </w:p>
  </w:footnote>
  <w:footnote w:id="28">
    <w:p w14:paraId="197CB5F8" w14:textId="77777777" w:rsidR="00422E6C" w:rsidRPr="00F6430B" w:rsidRDefault="00422E6C" w:rsidP="00422E6C">
      <w:pPr>
        <w:pStyle w:val="FootnoteText"/>
        <w:ind w:left="567"/>
        <w:contextualSpacing/>
        <w:jc w:val="both"/>
      </w:pPr>
      <w:r w:rsidRPr="00F6430B">
        <w:rPr>
          <w:rStyle w:val="FootnoteReference"/>
        </w:rPr>
        <w:footnoteRef/>
      </w:r>
      <w:r w:rsidRPr="00F6430B">
        <w:t xml:space="preserve"> 5 OECD, “Managing Conflict of Interest in the Public Sector</w:t>
      </w:r>
      <w:r w:rsidRPr="00F6430B">
        <w:rPr>
          <w:rFonts w:ascii="Cambria Math" w:eastAsia="MS Mincho" w:hAnsi="Cambria Math" w:cs="Cambria Math"/>
        </w:rPr>
        <w:t>․</w:t>
      </w:r>
      <w:r w:rsidRPr="00F6430B">
        <w:t xml:space="preserve"> A TOOLKIT”, 2007, p. 97, </w:t>
      </w:r>
      <w:hyperlink r:id="rId22" w:anchor="page33" w:history="1">
        <w:r w:rsidRPr="00F6430B">
          <w:rPr>
            <w:rStyle w:val="Hyperlink"/>
          </w:rPr>
          <w:t>https://read.oecdilibrary.org/governance/managing-conflict-of-interest-in-the-public-sector_9789264018242-en#page33</w:t>
        </w:r>
      </w:hyperlink>
      <w:r w:rsidRPr="00F6430B">
        <w:t xml:space="preserve"> </w:t>
      </w:r>
    </w:p>
  </w:footnote>
  <w:footnote w:id="29">
    <w:p w14:paraId="605DAD8E" w14:textId="77777777" w:rsidR="00422E6C" w:rsidRPr="00F6430B" w:rsidRDefault="00422E6C" w:rsidP="00422E6C">
      <w:pPr>
        <w:pStyle w:val="FootnoteText"/>
        <w:ind w:left="567"/>
        <w:contextualSpacing/>
        <w:jc w:val="both"/>
        <w:rPr>
          <w:lang w:val="hy-AM"/>
        </w:rPr>
      </w:pPr>
      <w:r w:rsidRPr="00F6430B">
        <w:rPr>
          <w:rStyle w:val="FootnoteReference"/>
        </w:rPr>
        <w:footnoteRef/>
      </w:r>
      <w:r w:rsidRPr="00F6430B">
        <w:t xml:space="preserve"> CօE «Recommendation No. R (2000) 10 of the Committee of Ministers to Member states on codes of conduct for public officials». Appendix to Recommendation No. R (2000) 10. Model code of conduct for public officials. Interpretation and application, </w:t>
      </w:r>
      <w:hyperlink r:id="rId23" w:history="1">
        <w:r w:rsidRPr="00F6430B">
          <w:rPr>
            <w:rStyle w:val="Hyperlink"/>
          </w:rPr>
          <w:t>https://rm.coe.int/16805e2e52</w:t>
        </w:r>
      </w:hyperlink>
      <w:r w:rsidRPr="00F6430B">
        <w:t xml:space="preserve"> </w:t>
      </w:r>
    </w:p>
  </w:footnote>
  <w:footnote w:id="30">
    <w:p w14:paraId="04D7FEDA"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CօE Recommendation No. R (2000) 10 of the Committee of Ministers to Member states on codes of conduct for public officials. Appendix to Recommendation No. R (2000) 10. Model code of conduct for public officials. Interpretation and application, </w:t>
      </w:r>
      <w:hyperlink r:id="rId24" w:history="1">
        <w:r w:rsidRPr="00F6430B">
          <w:rPr>
            <w:rStyle w:val="Hyperlink"/>
            <w:lang w:val="hy-AM"/>
          </w:rPr>
          <w:t>https://rm.coe.int/16805e2e52</w:t>
        </w:r>
      </w:hyperlink>
      <w:r w:rsidRPr="00F6430B">
        <w:rPr>
          <w:lang w:val="hy-AM"/>
        </w:rPr>
        <w:t xml:space="preserve"> </w:t>
      </w:r>
    </w:p>
  </w:footnote>
  <w:footnote w:id="31">
    <w:p w14:paraId="6D5891A3" w14:textId="77777777" w:rsidR="00422E6C" w:rsidRPr="00F97AF5" w:rsidRDefault="00422E6C" w:rsidP="00422E6C">
      <w:pPr>
        <w:pStyle w:val="FootnoteText"/>
        <w:contextualSpacing/>
        <w:jc w:val="both"/>
        <w:rPr>
          <w:lang w:val="hy-AM"/>
        </w:rPr>
      </w:pPr>
      <w:r w:rsidRPr="00F6430B">
        <w:rPr>
          <w:rStyle w:val="FootnoteReference"/>
        </w:rPr>
        <w:footnoteRef/>
      </w:r>
      <w:r w:rsidRPr="00F97AF5">
        <w:rPr>
          <w:lang w:val="hy-AM"/>
        </w:rPr>
        <w:t xml:space="preserve"> </w:t>
      </w:r>
    </w:p>
  </w:footnote>
  <w:footnote w:id="32">
    <w:p w14:paraId="79D80D00" w14:textId="77777777" w:rsidR="00422E6C" w:rsidRPr="00F6430B" w:rsidRDefault="00422E6C" w:rsidP="00422E6C">
      <w:pPr>
        <w:pStyle w:val="FootnoteText"/>
        <w:contextualSpacing/>
        <w:jc w:val="both"/>
        <w:rPr>
          <w:lang w:val="hy-AM"/>
        </w:rPr>
      </w:pPr>
      <w:r w:rsidRPr="00F6430B">
        <w:rPr>
          <w:rStyle w:val="FootnoteReference"/>
        </w:rPr>
        <w:footnoteRef/>
      </w:r>
      <w:r w:rsidRPr="00F6430B">
        <w:rPr>
          <w:lang w:val="hy-AM"/>
        </w:rPr>
        <w:t xml:space="preserve"> Տե՛ս Закон украины </w:t>
      </w:r>
      <w:r w:rsidRPr="00F97AF5">
        <w:rPr>
          <w:lang w:val="hy-AM"/>
        </w:rPr>
        <w:t>“</w:t>
      </w:r>
      <w:r w:rsidRPr="00F6430B">
        <w:rPr>
          <w:lang w:val="hy-AM"/>
        </w:rPr>
        <w:t>о предотвращении коррупции</w:t>
      </w:r>
      <w:r w:rsidRPr="00F97AF5">
        <w:rPr>
          <w:lang w:val="hy-AM"/>
        </w:rPr>
        <w:t>”, стат</w:t>
      </w:r>
      <w:r w:rsidRPr="00F6430B">
        <w:rPr>
          <w:rFonts w:ascii="Cambria Math" w:eastAsia="MS Mincho" w:hAnsi="Cambria Math" w:cs="Cambria Math"/>
          <w:lang w:val="hy-AM"/>
        </w:rPr>
        <w:t>․</w:t>
      </w:r>
      <w:r w:rsidRPr="00F97AF5">
        <w:rPr>
          <w:lang w:val="hy-AM"/>
        </w:rPr>
        <w:t xml:space="preserve"> 28-36,</w:t>
      </w:r>
      <w:r w:rsidRPr="00F6430B">
        <w:rPr>
          <w:lang w:val="hy-AM"/>
        </w:rPr>
        <w:t xml:space="preserve"> </w:t>
      </w:r>
      <w:hyperlink r:id="rId25" w:anchor="Text" w:history="1">
        <w:r w:rsidRPr="00F6430B">
          <w:rPr>
            <w:rStyle w:val="Hyperlink"/>
            <w:lang w:val="hy-AM"/>
          </w:rPr>
          <w:t>https://zakon.rada.gov.ua/laws/show/1700-18#Text</w:t>
        </w:r>
      </w:hyperlink>
      <w:r w:rsidRPr="00F6430B">
        <w:rPr>
          <w:lang w:val="hy-AM"/>
        </w:rPr>
        <w:t xml:space="preserve"> </w:t>
      </w:r>
    </w:p>
  </w:footnote>
  <w:footnote w:id="33">
    <w:p w14:paraId="7077C3B1" w14:textId="77777777" w:rsidR="00422E6C" w:rsidRPr="00F6430B" w:rsidRDefault="00422E6C" w:rsidP="00422E6C">
      <w:pPr>
        <w:pStyle w:val="FootnoteText"/>
        <w:contextualSpacing/>
        <w:jc w:val="both"/>
        <w:rPr>
          <w:b/>
          <w:bCs/>
        </w:rPr>
      </w:pPr>
      <w:r w:rsidRPr="00F6430B">
        <w:rPr>
          <w:rStyle w:val="FootnoteReference"/>
        </w:rPr>
        <w:footnoteRef/>
      </w:r>
      <w:r w:rsidRPr="00F6430B">
        <w:t xml:space="preserve"> </w:t>
      </w:r>
      <w:r w:rsidRPr="00F6430B">
        <w:rPr>
          <w:lang w:val="hy-AM"/>
        </w:rPr>
        <w:t xml:space="preserve">Տե՛ս </w:t>
      </w:r>
      <w:r w:rsidRPr="00F6430B">
        <w:t>“</w:t>
      </w:r>
      <w:r w:rsidRPr="00F6430B">
        <w:rPr>
          <w:bCs/>
        </w:rPr>
        <w:t>Conflict of Interest Act”</w:t>
      </w:r>
      <w:r w:rsidRPr="00F6430B">
        <w:rPr>
          <w:b/>
          <w:bCs/>
        </w:rPr>
        <w:t xml:space="preserve"> </w:t>
      </w:r>
      <w:hyperlink r:id="rId26" w:anchor="docCont" w:history="1">
        <w:r w:rsidRPr="00F6430B">
          <w:rPr>
            <w:rStyle w:val="Hyperlink"/>
            <w:bCs/>
          </w:rPr>
          <w:t>https://laws-lois.justice.gc.ca/eng/acts/c-36.65/page-1.html#docCont</w:t>
        </w:r>
      </w:hyperlink>
      <w:r w:rsidRPr="00F6430B">
        <w:rPr>
          <w:bCs/>
        </w:rPr>
        <w:t xml:space="preserve"> </w:t>
      </w:r>
    </w:p>
    <w:p w14:paraId="3D9B3F88" w14:textId="77777777" w:rsidR="00422E6C" w:rsidRPr="00F6430B" w:rsidRDefault="00422E6C" w:rsidP="00422E6C">
      <w:pPr>
        <w:pStyle w:val="FootnoteText"/>
        <w:contextualSpacing/>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EA0D" w14:textId="77777777" w:rsidR="008A0126" w:rsidRDefault="008A0126" w:rsidP="00131A05">
    <w:pPr>
      <w:pBdr>
        <w:top w:val="nil"/>
        <w:left w:val="nil"/>
        <w:bottom w:val="nil"/>
        <w:right w:val="nil"/>
        <w:between w:val="nil"/>
      </w:pBdr>
      <w:tabs>
        <w:tab w:val="center" w:pos="4677"/>
        <w:tab w:val="right" w:pos="9355"/>
      </w:tabs>
      <w:spacing w:after="0" w:line="240" w:lineRule="auto"/>
      <w:jc w:val="right"/>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ՆԱԽԱԳԻԾ</w:t>
    </w:r>
  </w:p>
  <w:p w14:paraId="5F5E769E" w14:textId="77777777" w:rsidR="008A0126" w:rsidRDefault="008A0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21B10"/>
    <w:multiLevelType w:val="multilevel"/>
    <w:tmpl w:val="B8F29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870ED6"/>
    <w:multiLevelType w:val="multilevel"/>
    <w:tmpl w:val="A85E986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5C9A3DCF"/>
    <w:multiLevelType w:val="hybridMultilevel"/>
    <w:tmpl w:val="5066B8D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69717227"/>
    <w:multiLevelType w:val="multilevel"/>
    <w:tmpl w:val="10B0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8412BD"/>
    <w:multiLevelType w:val="hybridMultilevel"/>
    <w:tmpl w:val="0012ED7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027178247">
    <w:abstractNumId w:val="1"/>
  </w:num>
  <w:num w:numId="2" w16cid:durableId="538277172">
    <w:abstractNumId w:val="3"/>
  </w:num>
  <w:num w:numId="3" w16cid:durableId="201479533">
    <w:abstractNumId w:val="0"/>
  </w:num>
  <w:num w:numId="4" w16cid:durableId="176845517">
    <w:abstractNumId w:val="2"/>
  </w:num>
  <w:num w:numId="5" w16cid:durableId="34814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601"/>
    <w:rsid w:val="000002D4"/>
    <w:rsid w:val="00005584"/>
    <w:rsid w:val="000102E7"/>
    <w:rsid w:val="00020198"/>
    <w:rsid w:val="00024A3C"/>
    <w:rsid w:val="000440F1"/>
    <w:rsid w:val="0004548D"/>
    <w:rsid w:val="00063E9A"/>
    <w:rsid w:val="000703EA"/>
    <w:rsid w:val="000816AB"/>
    <w:rsid w:val="000B20EA"/>
    <w:rsid w:val="000B7B84"/>
    <w:rsid w:val="000C5551"/>
    <w:rsid w:val="000F5F37"/>
    <w:rsid w:val="000F7868"/>
    <w:rsid w:val="00100A58"/>
    <w:rsid w:val="00103968"/>
    <w:rsid w:val="00131A05"/>
    <w:rsid w:val="00133BC5"/>
    <w:rsid w:val="00135536"/>
    <w:rsid w:val="001521C4"/>
    <w:rsid w:val="00153E2D"/>
    <w:rsid w:val="00161525"/>
    <w:rsid w:val="00192878"/>
    <w:rsid w:val="00196C7E"/>
    <w:rsid w:val="001B7544"/>
    <w:rsid w:val="001C2082"/>
    <w:rsid w:val="001D0D66"/>
    <w:rsid w:val="001D0EF5"/>
    <w:rsid w:val="00201C0F"/>
    <w:rsid w:val="00220EA2"/>
    <w:rsid w:val="00221845"/>
    <w:rsid w:val="00231FCA"/>
    <w:rsid w:val="00241632"/>
    <w:rsid w:val="00256A01"/>
    <w:rsid w:val="0027612D"/>
    <w:rsid w:val="002A38FC"/>
    <w:rsid w:val="002B3636"/>
    <w:rsid w:val="002C642C"/>
    <w:rsid w:val="002D0601"/>
    <w:rsid w:val="002E7CCE"/>
    <w:rsid w:val="00301713"/>
    <w:rsid w:val="00320E1A"/>
    <w:rsid w:val="003210D8"/>
    <w:rsid w:val="0033211D"/>
    <w:rsid w:val="003356EE"/>
    <w:rsid w:val="0036382F"/>
    <w:rsid w:val="00376E3A"/>
    <w:rsid w:val="0039364A"/>
    <w:rsid w:val="003970F3"/>
    <w:rsid w:val="003A0B48"/>
    <w:rsid w:val="003A4934"/>
    <w:rsid w:val="003B34E6"/>
    <w:rsid w:val="003D6D65"/>
    <w:rsid w:val="003D7F82"/>
    <w:rsid w:val="00402EA3"/>
    <w:rsid w:val="00405551"/>
    <w:rsid w:val="00414489"/>
    <w:rsid w:val="00422E6C"/>
    <w:rsid w:val="00425D8E"/>
    <w:rsid w:val="004276D5"/>
    <w:rsid w:val="00431B80"/>
    <w:rsid w:val="00436D89"/>
    <w:rsid w:val="00453C05"/>
    <w:rsid w:val="004549A2"/>
    <w:rsid w:val="004606FD"/>
    <w:rsid w:val="00461012"/>
    <w:rsid w:val="00462F9D"/>
    <w:rsid w:val="00464A15"/>
    <w:rsid w:val="00480795"/>
    <w:rsid w:val="00493823"/>
    <w:rsid w:val="00494C78"/>
    <w:rsid w:val="004A04CC"/>
    <w:rsid w:val="004A3123"/>
    <w:rsid w:val="004C049A"/>
    <w:rsid w:val="004C226F"/>
    <w:rsid w:val="004D72EC"/>
    <w:rsid w:val="0050043E"/>
    <w:rsid w:val="00503387"/>
    <w:rsid w:val="00510476"/>
    <w:rsid w:val="00512BA9"/>
    <w:rsid w:val="00513D25"/>
    <w:rsid w:val="00520DE4"/>
    <w:rsid w:val="0052119E"/>
    <w:rsid w:val="005253CF"/>
    <w:rsid w:val="00526E8D"/>
    <w:rsid w:val="005454D2"/>
    <w:rsid w:val="005672DD"/>
    <w:rsid w:val="005763B0"/>
    <w:rsid w:val="00585DA4"/>
    <w:rsid w:val="005966A5"/>
    <w:rsid w:val="005D3EC2"/>
    <w:rsid w:val="005D74BE"/>
    <w:rsid w:val="005F2BD6"/>
    <w:rsid w:val="005F542E"/>
    <w:rsid w:val="00600061"/>
    <w:rsid w:val="00601906"/>
    <w:rsid w:val="00601A22"/>
    <w:rsid w:val="00610B20"/>
    <w:rsid w:val="00617A2A"/>
    <w:rsid w:val="00622CF2"/>
    <w:rsid w:val="00624103"/>
    <w:rsid w:val="00637BB9"/>
    <w:rsid w:val="00637C99"/>
    <w:rsid w:val="0066580D"/>
    <w:rsid w:val="00680B38"/>
    <w:rsid w:val="0068623B"/>
    <w:rsid w:val="006A0F8D"/>
    <w:rsid w:val="006C4EC1"/>
    <w:rsid w:val="006E72A5"/>
    <w:rsid w:val="006F387C"/>
    <w:rsid w:val="006F4E95"/>
    <w:rsid w:val="00704335"/>
    <w:rsid w:val="00712036"/>
    <w:rsid w:val="00713F6B"/>
    <w:rsid w:val="00730CF6"/>
    <w:rsid w:val="00731F7C"/>
    <w:rsid w:val="00741019"/>
    <w:rsid w:val="00761F75"/>
    <w:rsid w:val="00775612"/>
    <w:rsid w:val="007C065B"/>
    <w:rsid w:val="007C0DA2"/>
    <w:rsid w:val="007C2597"/>
    <w:rsid w:val="007D264E"/>
    <w:rsid w:val="007D6E4F"/>
    <w:rsid w:val="007E562F"/>
    <w:rsid w:val="007E6485"/>
    <w:rsid w:val="007F044A"/>
    <w:rsid w:val="007F0FBE"/>
    <w:rsid w:val="008077C5"/>
    <w:rsid w:val="0081655F"/>
    <w:rsid w:val="00834F78"/>
    <w:rsid w:val="00853A30"/>
    <w:rsid w:val="00863C25"/>
    <w:rsid w:val="00874F2C"/>
    <w:rsid w:val="008855B9"/>
    <w:rsid w:val="008930F9"/>
    <w:rsid w:val="00894B65"/>
    <w:rsid w:val="00894E17"/>
    <w:rsid w:val="008A0126"/>
    <w:rsid w:val="008A071E"/>
    <w:rsid w:val="008A1AE0"/>
    <w:rsid w:val="008B00DC"/>
    <w:rsid w:val="008C4D84"/>
    <w:rsid w:val="008C5C64"/>
    <w:rsid w:val="008E7E09"/>
    <w:rsid w:val="0090730C"/>
    <w:rsid w:val="00911A3E"/>
    <w:rsid w:val="00930CDF"/>
    <w:rsid w:val="00944A31"/>
    <w:rsid w:val="00953CF5"/>
    <w:rsid w:val="00966532"/>
    <w:rsid w:val="0097054A"/>
    <w:rsid w:val="0097736F"/>
    <w:rsid w:val="0097739B"/>
    <w:rsid w:val="009A00C1"/>
    <w:rsid w:val="009A1C9F"/>
    <w:rsid w:val="009B2608"/>
    <w:rsid w:val="009C1F1D"/>
    <w:rsid w:val="00A05A7B"/>
    <w:rsid w:val="00A14270"/>
    <w:rsid w:val="00A33449"/>
    <w:rsid w:val="00A337F5"/>
    <w:rsid w:val="00A6008B"/>
    <w:rsid w:val="00A714CE"/>
    <w:rsid w:val="00A7457F"/>
    <w:rsid w:val="00A9671C"/>
    <w:rsid w:val="00A9730F"/>
    <w:rsid w:val="00A97998"/>
    <w:rsid w:val="00AA2866"/>
    <w:rsid w:val="00AD323F"/>
    <w:rsid w:val="00AE267D"/>
    <w:rsid w:val="00AF558E"/>
    <w:rsid w:val="00B26180"/>
    <w:rsid w:val="00B333F3"/>
    <w:rsid w:val="00B52228"/>
    <w:rsid w:val="00B64A83"/>
    <w:rsid w:val="00B85EEC"/>
    <w:rsid w:val="00B870F4"/>
    <w:rsid w:val="00B97051"/>
    <w:rsid w:val="00B9791F"/>
    <w:rsid w:val="00BA0737"/>
    <w:rsid w:val="00BB2FDE"/>
    <w:rsid w:val="00BB3AC3"/>
    <w:rsid w:val="00BD3587"/>
    <w:rsid w:val="00BE0D85"/>
    <w:rsid w:val="00BE540B"/>
    <w:rsid w:val="00C32545"/>
    <w:rsid w:val="00C34139"/>
    <w:rsid w:val="00C34253"/>
    <w:rsid w:val="00C34B63"/>
    <w:rsid w:val="00C40465"/>
    <w:rsid w:val="00C530CC"/>
    <w:rsid w:val="00C9014E"/>
    <w:rsid w:val="00C93472"/>
    <w:rsid w:val="00C94A90"/>
    <w:rsid w:val="00CA1C94"/>
    <w:rsid w:val="00CA623C"/>
    <w:rsid w:val="00CB0391"/>
    <w:rsid w:val="00CB08DB"/>
    <w:rsid w:val="00CB7ED7"/>
    <w:rsid w:val="00CC185D"/>
    <w:rsid w:val="00CE2BF8"/>
    <w:rsid w:val="00D1604B"/>
    <w:rsid w:val="00D34338"/>
    <w:rsid w:val="00D473A7"/>
    <w:rsid w:val="00D52940"/>
    <w:rsid w:val="00D53959"/>
    <w:rsid w:val="00D61A3B"/>
    <w:rsid w:val="00D82625"/>
    <w:rsid w:val="00D83A47"/>
    <w:rsid w:val="00D865BA"/>
    <w:rsid w:val="00D96723"/>
    <w:rsid w:val="00DA113E"/>
    <w:rsid w:val="00DB7983"/>
    <w:rsid w:val="00DC4042"/>
    <w:rsid w:val="00DE0B2D"/>
    <w:rsid w:val="00DF370F"/>
    <w:rsid w:val="00E02634"/>
    <w:rsid w:val="00E040E7"/>
    <w:rsid w:val="00E1575B"/>
    <w:rsid w:val="00E24EA0"/>
    <w:rsid w:val="00E31DC2"/>
    <w:rsid w:val="00E343F1"/>
    <w:rsid w:val="00E34478"/>
    <w:rsid w:val="00E35472"/>
    <w:rsid w:val="00E50A8D"/>
    <w:rsid w:val="00E57CE8"/>
    <w:rsid w:val="00E6293A"/>
    <w:rsid w:val="00E75DBF"/>
    <w:rsid w:val="00EA07C7"/>
    <w:rsid w:val="00EA48E7"/>
    <w:rsid w:val="00EA6675"/>
    <w:rsid w:val="00EB3083"/>
    <w:rsid w:val="00EB68CB"/>
    <w:rsid w:val="00EC07C1"/>
    <w:rsid w:val="00ED47DF"/>
    <w:rsid w:val="00ED4AC4"/>
    <w:rsid w:val="00F25BB7"/>
    <w:rsid w:val="00F4515B"/>
    <w:rsid w:val="00F502A6"/>
    <w:rsid w:val="00F513A4"/>
    <w:rsid w:val="00F63BFD"/>
    <w:rsid w:val="00F662F2"/>
    <w:rsid w:val="00F80A36"/>
    <w:rsid w:val="00F80BC4"/>
    <w:rsid w:val="00FB1EE6"/>
    <w:rsid w:val="00FC02C6"/>
    <w:rsid w:val="00FC09FD"/>
    <w:rsid w:val="00FF0525"/>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E49E"/>
  <w15:docId w15:val="{7CE52277-3C95-44FB-AB5D-534AB975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601"/>
    <w:pPr>
      <w:spacing w:after="200" w:line="276" w:lineRule="auto"/>
    </w:pPr>
    <w:rPr>
      <w:rFonts w:ascii="Calibri" w:hAnsi="Calibri" w:cs="Calibri"/>
      <w:lang w:val="en-US"/>
    </w:rPr>
  </w:style>
  <w:style w:type="paragraph" w:styleId="Heading1">
    <w:name w:val="heading 1"/>
    <w:basedOn w:val="Normal"/>
    <w:next w:val="Normal"/>
    <w:link w:val="Heading1Char"/>
    <w:uiPriority w:val="9"/>
    <w:qFormat/>
    <w:rsid w:val="00332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0601"/>
    <w:rPr>
      <w:sz w:val="16"/>
      <w:szCs w:val="16"/>
    </w:rPr>
  </w:style>
  <w:style w:type="paragraph" w:styleId="CommentText">
    <w:name w:val="annotation text"/>
    <w:basedOn w:val="Normal"/>
    <w:link w:val="CommentTextChar"/>
    <w:uiPriority w:val="99"/>
    <w:unhideWhenUsed/>
    <w:rsid w:val="002D0601"/>
    <w:pPr>
      <w:spacing w:line="240" w:lineRule="auto"/>
    </w:pPr>
    <w:rPr>
      <w:sz w:val="20"/>
      <w:szCs w:val="20"/>
    </w:rPr>
  </w:style>
  <w:style w:type="character" w:customStyle="1" w:styleId="CommentTextChar">
    <w:name w:val="Comment Text Char"/>
    <w:basedOn w:val="DefaultParagraphFont"/>
    <w:link w:val="CommentText"/>
    <w:uiPriority w:val="99"/>
    <w:rsid w:val="002D0601"/>
    <w:rPr>
      <w:rFonts w:ascii="Calibri" w:hAnsi="Calibri" w:cs="Calibri"/>
      <w:sz w:val="20"/>
      <w:szCs w:val="20"/>
      <w:lang w:val="en-US"/>
    </w:rPr>
  </w:style>
  <w:style w:type="paragraph" w:styleId="BalloonText">
    <w:name w:val="Balloon Text"/>
    <w:basedOn w:val="Normal"/>
    <w:link w:val="BalloonTextChar"/>
    <w:uiPriority w:val="99"/>
    <w:unhideWhenUsed/>
    <w:rsid w:val="002D0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D0601"/>
    <w:rPr>
      <w:rFonts w:ascii="Segoe UI" w:hAnsi="Segoe UI" w:cs="Segoe UI"/>
      <w:sz w:val="18"/>
      <w:szCs w:val="18"/>
      <w:lang w:val="en-US"/>
    </w:rPr>
  </w:style>
  <w:style w:type="paragraph" w:styleId="ListParagraph">
    <w:name w:val="List Paragraph"/>
    <w:basedOn w:val="Normal"/>
    <w:uiPriority w:val="34"/>
    <w:qFormat/>
    <w:rsid w:val="00063E9A"/>
    <w:pPr>
      <w:ind w:left="720"/>
      <w:contextualSpacing/>
    </w:pPr>
  </w:style>
  <w:style w:type="paragraph" w:styleId="CommentSubject">
    <w:name w:val="annotation subject"/>
    <w:basedOn w:val="CommentText"/>
    <w:next w:val="CommentText"/>
    <w:link w:val="CommentSubjectChar"/>
    <w:uiPriority w:val="99"/>
    <w:semiHidden/>
    <w:unhideWhenUsed/>
    <w:rsid w:val="00DB7983"/>
    <w:rPr>
      <w:b/>
      <w:bCs/>
    </w:rPr>
  </w:style>
  <w:style w:type="character" w:customStyle="1" w:styleId="CommentSubjectChar">
    <w:name w:val="Comment Subject Char"/>
    <w:basedOn w:val="CommentTextChar"/>
    <w:link w:val="CommentSubject"/>
    <w:uiPriority w:val="99"/>
    <w:semiHidden/>
    <w:rsid w:val="00DB7983"/>
    <w:rPr>
      <w:rFonts w:ascii="Calibri" w:hAnsi="Calibri" w:cs="Calibri"/>
      <w:b/>
      <w:bCs/>
      <w:sz w:val="20"/>
      <w:szCs w:val="20"/>
      <w:lang w:val="en-US"/>
    </w:rPr>
  </w:style>
  <w:style w:type="paragraph" w:styleId="NormalWeb">
    <w:name w:val="Normal (Web)"/>
    <w:aliases w:val="webb"/>
    <w:basedOn w:val="Normal"/>
    <w:link w:val="NormalWebChar"/>
    <w:uiPriority w:val="99"/>
    <w:unhideWhenUsed/>
    <w:qFormat/>
    <w:rsid w:val="002A38FC"/>
    <w:pPr>
      <w:spacing w:before="100" w:beforeAutospacing="1" w:after="100" w:afterAutospacing="1" w:line="240" w:lineRule="auto"/>
    </w:pPr>
    <w:rPr>
      <w:rFonts w:ascii="Times New Roman" w:eastAsia="Times New Roman" w:hAnsi="Times New Roman" w:cs="Times New Roman"/>
      <w:sz w:val="24"/>
      <w:szCs w:val="24"/>
      <w:lang w:val="ru-RU" w:eastAsia="ko-KR"/>
    </w:rPr>
  </w:style>
  <w:style w:type="character" w:styleId="FootnoteReference">
    <w:name w:val="footnote reference"/>
    <w:basedOn w:val="DefaultParagraphFont"/>
    <w:semiHidden/>
    <w:unhideWhenUsed/>
    <w:rsid w:val="002A38FC"/>
    <w:rPr>
      <w:vertAlign w:val="superscript"/>
    </w:rPr>
  </w:style>
  <w:style w:type="character" w:customStyle="1" w:styleId="NormalWebChar">
    <w:name w:val="Normal (Web) Char"/>
    <w:aliases w:val="webb Char"/>
    <w:link w:val="NormalWeb"/>
    <w:uiPriority w:val="99"/>
    <w:locked/>
    <w:rsid w:val="002A38FC"/>
    <w:rPr>
      <w:rFonts w:ascii="Times New Roman" w:eastAsia="Times New Roman" w:hAnsi="Times New Roman" w:cs="Times New Roman"/>
      <w:sz w:val="24"/>
      <w:szCs w:val="24"/>
      <w:lang w:val="ru-RU" w:eastAsia="ko-KR"/>
    </w:rPr>
  </w:style>
  <w:style w:type="paragraph" w:styleId="Header">
    <w:name w:val="header"/>
    <w:basedOn w:val="Normal"/>
    <w:link w:val="HeaderChar"/>
    <w:uiPriority w:val="99"/>
    <w:unhideWhenUsed/>
    <w:rsid w:val="00131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05"/>
    <w:rPr>
      <w:rFonts w:ascii="Calibri" w:hAnsi="Calibri" w:cs="Calibri"/>
      <w:lang w:val="en-US"/>
    </w:rPr>
  </w:style>
  <w:style w:type="paragraph" w:styleId="Footer">
    <w:name w:val="footer"/>
    <w:basedOn w:val="Normal"/>
    <w:link w:val="FooterChar"/>
    <w:uiPriority w:val="99"/>
    <w:unhideWhenUsed/>
    <w:rsid w:val="00131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05"/>
    <w:rPr>
      <w:rFonts w:ascii="Calibri" w:hAnsi="Calibri" w:cs="Calibri"/>
      <w:lang w:val="en-US"/>
    </w:rPr>
  </w:style>
  <w:style w:type="paragraph" w:styleId="FootnoteText">
    <w:name w:val="footnote text"/>
    <w:basedOn w:val="Normal"/>
    <w:link w:val="FootnoteTextChar"/>
    <w:uiPriority w:val="99"/>
    <w:semiHidden/>
    <w:unhideWhenUsed/>
    <w:rsid w:val="00422E6C"/>
    <w:pPr>
      <w:spacing w:after="0" w:line="240" w:lineRule="auto"/>
    </w:pPr>
    <w:rPr>
      <w:rFonts w:ascii="GHEA Grapalat" w:hAnsi="GHEA Grapalat" w:cstheme="minorBidi"/>
      <w:sz w:val="20"/>
      <w:szCs w:val="20"/>
    </w:rPr>
  </w:style>
  <w:style w:type="character" w:customStyle="1" w:styleId="FootnoteTextChar">
    <w:name w:val="Footnote Text Char"/>
    <w:basedOn w:val="DefaultParagraphFont"/>
    <w:link w:val="FootnoteText"/>
    <w:uiPriority w:val="99"/>
    <w:semiHidden/>
    <w:rsid w:val="00422E6C"/>
    <w:rPr>
      <w:rFonts w:ascii="GHEA Grapalat" w:hAnsi="GHEA Grapalat"/>
      <w:sz w:val="20"/>
      <w:szCs w:val="20"/>
      <w:lang w:val="en-US"/>
    </w:rPr>
  </w:style>
  <w:style w:type="character" w:customStyle="1" w:styleId="Hyperlink1">
    <w:name w:val="Hyperlink1"/>
    <w:basedOn w:val="DefaultParagraphFont"/>
    <w:uiPriority w:val="99"/>
    <w:unhideWhenUsed/>
    <w:rsid w:val="00422E6C"/>
    <w:rPr>
      <w:color w:val="0563C1"/>
      <w:u w:val="single"/>
    </w:rPr>
  </w:style>
  <w:style w:type="character" w:styleId="Hyperlink">
    <w:name w:val="Hyperlink"/>
    <w:basedOn w:val="DefaultParagraphFont"/>
    <w:uiPriority w:val="99"/>
    <w:unhideWhenUsed/>
    <w:rsid w:val="00422E6C"/>
    <w:rPr>
      <w:color w:val="0563C1" w:themeColor="hyperlink"/>
      <w:u w:val="single"/>
    </w:rPr>
  </w:style>
  <w:style w:type="character" w:customStyle="1" w:styleId="Heading1Char">
    <w:name w:val="Heading 1 Char"/>
    <w:basedOn w:val="DefaultParagraphFont"/>
    <w:link w:val="Heading1"/>
    <w:uiPriority w:val="9"/>
    <w:rsid w:val="0033211D"/>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scode.house.gov/view.xhtml?req=(title:5a%20section:102%20edition:prelim)" TargetMode="External"/><Relationship Id="rId13" Type="http://schemas.openxmlformats.org/officeDocument/2006/relationships/hyperlink" Target="https://knowledgehub.transparency.org/helpdesk/foreign-exchange-controls-and-assets-declarations-for-politicians-and-publi" TargetMode="External"/><Relationship Id="rId18" Type="http://schemas.openxmlformats.org/officeDocument/2006/relationships/hyperlink" Target="https://publicofficialsfinancialdisclosure.worldbank.org/sites/fdl/files/assets/law-library-files/Lithuania_Conflict%20of%20%20Interest%20Law_1997%20amended%202009_en.pdf" TargetMode="External"/><Relationship Id="rId26" Type="http://schemas.openxmlformats.org/officeDocument/2006/relationships/hyperlink" Target="https://laws-lois.justice.gc.ca/eng/acts/c-36.65/page-1.html" TargetMode="External"/><Relationship Id="rId3" Type="http://schemas.openxmlformats.org/officeDocument/2006/relationships/hyperlink" Target="https://rm.coe.int/CoERMPublicCommonSearchServices/DisplayDCTMContent?documentId=09000016806c2bd8" TargetMode="External"/><Relationship Id="rId21" Type="http://schemas.openxmlformats.org/officeDocument/2006/relationships/hyperlink" Target="https://www.transparency.am/files/publications/1643389309-0-463573.pdf?v=4" TargetMode="External"/><Relationship Id="rId7" Type="http://schemas.openxmlformats.org/officeDocument/2006/relationships/hyperlink" Target="https://zakon.rada.gov.ua/laws/show/1700-18" TargetMode="External"/><Relationship Id="rId12" Type="http://schemas.openxmlformats.org/officeDocument/2006/relationships/hyperlink" Target="https://www.cmab.gov.hk/en/issues/PAO_Code_1.7.2012.pdf" TargetMode="External"/><Relationship Id="rId17" Type="http://schemas.openxmlformats.org/officeDocument/2006/relationships/hyperlink" Target="https://publicofficialsfinancialdisclosure.worldbank.org/sites/fdl/files/assets/law-library-files/Latvia_Conflict%20of%20Interest%20Law_2002_consolidated%20as%20of%202007_EN.pdf" TargetMode="External"/><Relationship Id="rId25" Type="http://schemas.openxmlformats.org/officeDocument/2006/relationships/hyperlink" Target="https://zakon.rada.gov.ua/laws/show/1700-18" TargetMode="External"/><Relationship Id="rId2" Type="http://schemas.openxmlformats.org/officeDocument/2006/relationships/hyperlink" Target="https://rm.coe.int/fourth-evaluation-round-corruption-prevention-in-respect-of-members-of/1680a3fcad" TargetMode="External"/><Relationship Id="rId16" Type="http://schemas.openxmlformats.org/officeDocument/2006/relationships/hyperlink" Target="https://rm.coe.int/16805e2e52" TargetMode="External"/><Relationship Id="rId20" Type="http://schemas.openxmlformats.org/officeDocument/2006/relationships/hyperlink" Target="https://www.rai-see.org/php_sets/uploads/2021/04/RAI-Law-on-Prevention-of-Corruption-Montenegro-EN.pdf" TargetMode="External"/><Relationship Id="rId1" Type="http://schemas.openxmlformats.org/officeDocument/2006/relationships/hyperlink" Target="https://rm.coe.int/CoERMPublicCommonSearchServices/DisplayDCTMContent?documentId=09000016806c2bd8" TargetMode="External"/><Relationship Id="rId6" Type="http://schemas.openxmlformats.org/officeDocument/2006/relationships/hyperlink" Target="https://laws-lois.justice.gc.ca/eng/acts/c-36.65/page-4.html" TargetMode="External"/><Relationship Id="rId11" Type="http://schemas.openxmlformats.org/officeDocument/2006/relationships/hyperlink" Target="https://assets.publishing.service.gov.uk/government/uploads/system/uploads/attachment_data/file/486508/List_of_Ministers_Interests_Dec_2015.pdf" TargetMode="External"/><Relationship Id="rId24" Type="http://schemas.openxmlformats.org/officeDocument/2006/relationships/hyperlink" Target="https://rm.coe.int/16805e2e52" TargetMode="External"/><Relationship Id="rId5" Type="http://schemas.openxmlformats.org/officeDocument/2006/relationships/hyperlink" Target="https://rm.coe.int/CoERMPublicCommonSearchServices/DisplayDCTMContent?documentId=09000016806c2bd8" TargetMode="External"/><Relationship Id="rId15" Type="http://schemas.openxmlformats.org/officeDocument/2006/relationships/hyperlink" Target="https://www.transparency.am/files/publications/1643389309-0-463573.pdf?v=4" TargetMode="External"/><Relationship Id="rId23" Type="http://schemas.openxmlformats.org/officeDocument/2006/relationships/hyperlink" Target="https://rm.coe.int/16805e2e52" TargetMode="External"/><Relationship Id="rId10" Type="http://schemas.openxmlformats.org/officeDocument/2006/relationships/hyperlink" Target="http://www.acas.rs/law-and-regulations/laws/law-acas/" TargetMode="External"/><Relationship Id="rId19" Type="http://schemas.openxmlformats.org/officeDocument/2006/relationships/hyperlink" Target="https://www.refworld.org/docid/4b55c8ec2.html" TargetMode="External"/><Relationship Id="rId4" Type="http://schemas.openxmlformats.org/officeDocument/2006/relationships/hyperlink" Target="https://rm.coe.int/CoERMPublicCommonSearchServices/DisplayDCTMContent?documentId=09000016806c2bd8" TargetMode="External"/><Relationship Id="rId9" Type="http://schemas.openxmlformats.org/officeDocument/2006/relationships/hyperlink" Target="http://documents.worldbank.org/curated/en/580601478253123042/pdf/AUS11340-WP-p153692-PUBLIC-ConflictofinterestEN.pdf" TargetMode="External"/><Relationship Id="rId14" Type="http://schemas.openxmlformats.org/officeDocument/2006/relationships/hyperlink" Target="https://www.oecd.org/gov/ethics/49107986.pdf" TargetMode="External"/><Relationship Id="rId22" Type="http://schemas.openxmlformats.org/officeDocument/2006/relationships/hyperlink" Target="https://read.oecdilibrary.org/governance/managing-conflict-of-interest-in-the-public-sector_978926401824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5925</Words>
  <Characters>33777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Hakobyan</dc:creator>
  <cp:keywords>https://mul2-moj.gov.am/tasks/452290/oneclick/02.Himnavorum.docx?token=965e9a2f1c386692bec75292ab2ad4ab</cp:keywords>
  <dc:description/>
  <cp:lastModifiedBy>varchutyun hakakorupcion</cp:lastModifiedBy>
  <cp:revision>47</cp:revision>
  <cp:lastPrinted>2022-05-12T12:55:00Z</cp:lastPrinted>
  <dcterms:created xsi:type="dcterms:W3CDTF">2022-06-03T12:21:00Z</dcterms:created>
  <dcterms:modified xsi:type="dcterms:W3CDTF">2022-08-17T04:42:00Z</dcterms:modified>
</cp:coreProperties>
</file>