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8" w:type="dxa"/>
        <w:shd w:val="clear" w:color="auto" w:fill="FFFFFF"/>
        <w:tblCellMar>
          <w:left w:w="0" w:type="dxa"/>
          <w:right w:w="0" w:type="dxa"/>
        </w:tblCellMar>
        <w:tblLook w:val="04A0" w:firstRow="1" w:lastRow="0" w:firstColumn="1" w:lastColumn="0" w:noHBand="0" w:noVBand="1"/>
      </w:tblPr>
      <w:tblGrid>
        <w:gridCol w:w="962"/>
        <w:gridCol w:w="9506"/>
      </w:tblGrid>
      <w:tr w:rsidR="007A3EAF" w:rsidRPr="00752386" w:rsidTr="00EB77CD">
        <w:trPr>
          <w:trHeight w:val="1733"/>
        </w:trPr>
        <w:tc>
          <w:tcPr>
            <w:tcW w:w="10468" w:type="dxa"/>
            <w:gridSpan w:val="2"/>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center"/>
              <w:textAlignment w:val="baseline"/>
              <w:rPr>
                <w:rFonts w:ascii="GHEA Grapalat" w:eastAsia="Times New Roman" w:hAnsi="GHEA Grapalat" w:cs="GHEA Grapalat"/>
                <w:b/>
                <w:sz w:val="24"/>
                <w:szCs w:val="24"/>
                <w:lang w:val="hy-AM" w:eastAsia="ru-RU"/>
              </w:rPr>
            </w:pPr>
            <w:r w:rsidRPr="00752386">
              <w:rPr>
                <w:rFonts w:ascii="GHEA Grapalat" w:eastAsia="Times New Roman" w:hAnsi="GHEA Grapalat" w:cs="GHEA Grapalat"/>
                <w:b/>
                <w:sz w:val="24"/>
                <w:szCs w:val="24"/>
                <w:lang w:val="hy-AM" w:eastAsia="ru-RU"/>
              </w:rPr>
              <w:t>ՀԻՄՆԱՎՈՐՈՒՄ</w:t>
            </w:r>
            <w:bookmarkStart w:id="0" w:name="_GoBack"/>
            <w:bookmarkEnd w:id="0"/>
          </w:p>
          <w:p w:rsidR="007A3EAF" w:rsidRPr="00752386" w:rsidRDefault="007A3EAF" w:rsidP="00EB77CD">
            <w:pPr>
              <w:spacing w:after="0" w:line="240" w:lineRule="auto"/>
              <w:jc w:val="center"/>
              <w:rPr>
                <w:rFonts w:ascii="GHEA Grapalat" w:eastAsiaTheme="minorEastAsia" w:hAnsi="GHEA Grapalat"/>
                <w:b/>
                <w:lang w:val="pt-BR" w:eastAsia="ru-RU"/>
              </w:rPr>
            </w:pPr>
            <w:r w:rsidRPr="00752386">
              <w:rPr>
                <w:rFonts w:ascii="GHEA Grapalat" w:eastAsiaTheme="minorEastAsia" w:hAnsi="GHEA Grapalat"/>
                <w:b/>
                <w:lang w:val="pt-BR" w:eastAsia="ru-RU"/>
              </w:rPr>
              <w:t xml:space="preserve">«Հայաստանի Հանրապետության բարձրագույն ուսումնական հաստատությունների </w:t>
            </w:r>
            <w:r w:rsidRPr="00752386">
              <w:rPr>
                <w:rFonts w:ascii="GHEA Grapalat" w:eastAsiaTheme="minorEastAsia" w:hAnsi="GHEA Grapalat" w:cs="Tahoma"/>
                <w:b/>
                <w:lang w:val="hy-AM" w:eastAsia="ru-RU"/>
              </w:rPr>
              <w:t>բակալավրի</w:t>
            </w:r>
            <w:r w:rsidRPr="00752386">
              <w:rPr>
                <w:rFonts w:ascii="GHEA Grapalat" w:eastAsiaTheme="minorEastAsia" w:hAnsi="GHEA Grapalat"/>
                <w:b/>
                <w:lang w:val="af-ZA" w:eastAsia="ru-RU"/>
              </w:rPr>
              <w:t xml:space="preserve"> ու </w:t>
            </w:r>
            <w:r w:rsidRPr="00752386">
              <w:rPr>
                <w:rFonts w:ascii="GHEA Grapalat" w:eastAsiaTheme="minorEastAsia" w:hAnsi="GHEA Grapalat" w:cs="Tahoma"/>
                <w:b/>
                <w:lang w:val="hy-AM" w:eastAsia="ru-RU"/>
              </w:rPr>
              <w:t>անընդհատ</w:t>
            </w:r>
            <w:r w:rsidRPr="00752386">
              <w:rPr>
                <w:rFonts w:ascii="GHEA Grapalat" w:eastAsiaTheme="minorEastAsia" w:hAnsi="GHEA Grapalat"/>
                <w:b/>
                <w:lang w:val="af-ZA" w:eastAsia="ru-RU"/>
              </w:rPr>
              <w:t xml:space="preserve"> և</w:t>
            </w:r>
            <w:r w:rsidRPr="00752386">
              <w:rPr>
                <w:rFonts w:eastAsiaTheme="minorEastAsia"/>
                <w:b/>
                <w:lang w:val="af-ZA" w:eastAsia="ru-RU"/>
              </w:rPr>
              <w:t> </w:t>
            </w:r>
            <w:r w:rsidRPr="00752386">
              <w:rPr>
                <w:rFonts w:ascii="GHEA Grapalat" w:eastAsiaTheme="minorEastAsia" w:hAnsi="GHEA Grapalat" w:cs="Tahoma"/>
                <w:b/>
                <w:lang w:val="hy-AM" w:eastAsia="ru-RU"/>
              </w:rPr>
              <w:t>ինտեգրացված կրթական ծրագրերով</w:t>
            </w:r>
            <w:r w:rsidRPr="00752386">
              <w:rPr>
                <w:rFonts w:ascii="GHEA Grapalat" w:eastAsiaTheme="minorEastAsia" w:hAnsi="GHEA Grapalat" w:cs="Tahoma"/>
                <w:b/>
                <w:lang w:val="pt-BR" w:eastAsia="ru-RU"/>
              </w:rPr>
              <w:t xml:space="preserve"> (առկա, հեռակա) </w:t>
            </w:r>
            <w:r w:rsidRPr="00752386">
              <w:rPr>
                <w:rFonts w:ascii="GHEA Grapalat" w:eastAsiaTheme="minorEastAsia" w:hAnsi="GHEA Grapalat"/>
                <w:b/>
                <w:lang w:val="pt-BR" w:eastAsia="ru-RU"/>
              </w:rPr>
              <w:t>2023/2024 ուսումնական տարվա մասնագիտությունների և ընդունե</w:t>
            </w:r>
            <w:r w:rsidRPr="00752386">
              <w:rPr>
                <w:rFonts w:ascii="GHEA Grapalat" w:eastAsiaTheme="minorEastAsia" w:hAnsi="GHEA Grapalat"/>
                <w:b/>
                <w:lang w:val="pt-BR" w:eastAsia="ru-RU"/>
              </w:rPr>
              <w:softHyphen/>
              <w:t>լության քննությունների ցանկը հաստատելու մասին» Հայաստանի Հանրապետության կառավարության որոշման նախագծի</w:t>
            </w:r>
          </w:p>
          <w:p w:rsidR="007A3EAF" w:rsidRPr="00752386" w:rsidRDefault="007A3EAF" w:rsidP="00EB77CD">
            <w:pPr>
              <w:spacing w:after="0" w:line="360" w:lineRule="auto"/>
              <w:jc w:val="center"/>
              <w:rPr>
                <w:rFonts w:ascii="GHEA Grapalat" w:eastAsia="Times New Roman" w:hAnsi="GHEA Grapalat" w:cs="GHEA Grapalat"/>
                <w:b/>
                <w:lang w:val="pt-BR" w:eastAsia="ru-RU"/>
              </w:rPr>
            </w:pP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t>1.</w:t>
            </w:r>
            <w:r w:rsidRPr="00752386">
              <w:rPr>
                <w:rFonts w:ascii="Courier New" w:eastAsia="Times New Roman" w:hAnsi="Courier New" w:cs="Courier New"/>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Անհրաժեշտություն</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կառավարության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որոշման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նախագծի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ընդունումը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բխում</w:t>
            </w:r>
            <w:proofErr w:type="spellEnd"/>
            <w:r w:rsidRPr="00752386">
              <w:rPr>
                <w:rFonts w:ascii="GHEA Grapalat" w:eastAsia="Times New Roman" w:hAnsi="GHEA Grapalat" w:cs="GHEA Grapalat"/>
                <w:sz w:val="24"/>
                <w:szCs w:val="24"/>
                <w:lang w:eastAsia="ru-RU"/>
              </w:rPr>
              <w:t xml:space="preserve"> է «</w:t>
            </w:r>
            <w:proofErr w:type="spellStart"/>
            <w:r w:rsidRPr="00752386">
              <w:rPr>
                <w:rFonts w:ascii="GHEA Grapalat" w:eastAsia="Times New Roman" w:hAnsi="GHEA Grapalat" w:cs="GHEA Grapalat"/>
                <w:sz w:val="24"/>
                <w:szCs w:val="24"/>
                <w:lang w:eastAsia="ru-RU"/>
              </w:rPr>
              <w:t>Կրթության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օրենքի</w:t>
            </w:r>
            <w:proofErr w:type="spellEnd"/>
            <w:r w:rsidRPr="00752386">
              <w:rPr>
                <w:rFonts w:ascii="GHEA Grapalat" w:eastAsia="Times New Roman" w:hAnsi="GHEA Grapalat" w:cs="GHEA Grapalat"/>
                <w:sz w:val="24"/>
                <w:szCs w:val="24"/>
                <w:lang w:eastAsia="ru-RU"/>
              </w:rPr>
              <w:t xml:space="preserve"> 15-</w:t>
            </w:r>
            <w:proofErr w:type="spellStart"/>
            <w:r w:rsidRPr="00752386">
              <w:rPr>
                <w:rFonts w:ascii="GHEA Grapalat" w:eastAsia="Times New Roman" w:hAnsi="GHEA Grapalat" w:cs="GHEA Grapalat"/>
                <w:sz w:val="24"/>
                <w:szCs w:val="24"/>
                <w:lang w:eastAsia="ru-RU"/>
              </w:rPr>
              <w:t>րդ</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հոդվածի</w:t>
            </w:r>
            <w:proofErr w:type="spellEnd"/>
            <w:r w:rsidRPr="00752386">
              <w:rPr>
                <w:rFonts w:ascii="GHEA Grapalat" w:eastAsia="Times New Roman" w:hAnsi="GHEA Grapalat" w:cs="GHEA Grapalat"/>
                <w:sz w:val="24"/>
                <w:szCs w:val="24"/>
                <w:lang w:eastAsia="ru-RU"/>
              </w:rPr>
              <w:t xml:space="preserve"> 5-</w:t>
            </w:r>
            <w:proofErr w:type="spellStart"/>
            <w:r w:rsidRPr="00752386">
              <w:rPr>
                <w:rFonts w:ascii="GHEA Grapalat" w:eastAsia="Times New Roman" w:hAnsi="GHEA Grapalat" w:cs="GHEA Grapalat"/>
                <w:sz w:val="24"/>
                <w:szCs w:val="24"/>
                <w:lang w:eastAsia="ru-RU"/>
              </w:rPr>
              <w:t>րդ</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պահանջներից</w:t>
            </w:r>
            <w:proofErr w:type="spellEnd"/>
            <w:r w:rsidRPr="00752386">
              <w:rPr>
                <w:rFonts w:ascii="GHEA Grapalat" w:eastAsia="Times New Roman" w:hAnsi="GHEA Grapalat" w:cs="GHEA Grapalat"/>
                <w:sz w:val="24"/>
                <w:szCs w:val="24"/>
                <w:lang w:eastAsia="ru-RU"/>
              </w:rPr>
              <w:t xml:space="preserve">: </w:t>
            </w:r>
            <w:r w:rsidRPr="00752386">
              <w:rPr>
                <w:rFonts w:ascii="Calibri" w:eastAsia="Times New Roman" w:hAnsi="Calibri" w:cs="Calibri"/>
                <w:sz w:val="24"/>
                <w:szCs w:val="24"/>
                <w:lang w:eastAsia="ru-RU"/>
              </w:rPr>
              <w:t> </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t>2.</w:t>
            </w:r>
            <w:r w:rsidRPr="00752386">
              <w:rPr>
                <w:rFonts w:ascii="Courier New" w:eastAsia="Times New Roman" w:hAnsi="Courier New" w:cs="Courier New"/>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Ընթացիկ</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իրավիճակը</w:t>
            </w:r>
            <w:proofErr w:type="spellEnd"/>
            <w:r w:rsidRPr="00752386">
              <w:rPr>
                <w:rFonts w:ascii="GHEA Grapalat" w:eastAsia="Times New Roman" w:hAnsi="GHEA Grapalat" w:cs="GHEA Grapalat"/>
                <w:b/>
                <w:sz w:val="24"/>
                <w:szCs w:val="24"/>
                <w:lang w:eastAsia="ru-RU"/>
              </w:rPr>
              <w:t xml:space="preserve"> և </w:t>
            </w:r>
            <w:proofErr w:type="spellStart"/>
            <w:r w:rsidRPr="00752386">
              <w:rPr>
                <w:rFonts w:ascii="GHEA Grapalat" w:eastAsia="Times New Roman" w:hAnsi="GHEA Grapalat" w:cs="GHEA Grapalat"/>
                <w:b/>
                <w:sz w:val="24"/>
                <w:szCs w:val="24"/>
                <w:lang w:eastAsia="ru-RU"/>
              </w:rPr>
              <w:t>խնդիրները</w:t>
            </w:r>
            <w:proofErr w:type="spellEnd"/>
          </w:p>
        </w:tc>
      </w:tr>
      <w:tr w:rsidR="007A3EAF" w:rsidRPr="00752386" w:rsidTr="00EB77CD">
        <w:trPr>
          <w:trHeight w:val="9529"/>
        </w:trPr>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կառավարության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կողմից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հաստատված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բարձրագույն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համապատասխան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յուրաքանչյուր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տարի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հաստատվում</w:t>
            </w:r>
            <w:proofErr w:type="spellEnd"/>
            <w:r w:rsidRPr="00752386">
              <w:rPr>
                <w:rFonts w:ascii="GHEA Grapalat" w:eastAsia="Times New Roman" w:hAnsi="GHEA Grapalat" w:cs="GHEA Grapalat"/>
                <w:sz w:val="24"/>
                <w:szCs w:val="24"/>
                <w:lang w:eastAsia="ru-RU"/>
              </w:rPr>
              <w:t xml:space="preserve"> է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հաջորդ</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տարվա</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ցանկը</w:t>
            </w:r>
            <w:proofErr w:type="spellEnd"/>
            <w:r w:rsidRPr="00752386">
              <w:rPr>
                <w:rFonts w:ascii="GHEA Grapalat" w:eastAsia="Times New Roman" w:hAnsi="GHEA Grapalat" w:cs="GHEA Grapalat"/>
                <w:sz w:val="24"/>
                <w:szCs w:val="24"/>
                <w:lang w:eastAsia="ru-RU"/>
              </w:rPr>
              <w:t>:</w:t>
            </w:r>
          </w:p>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Վճարովի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ուuուցման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համակարգում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թափուր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տեղեր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առաջանալու</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դեպքում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այդ</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տեղերի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մրցույթին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մաuնակցելու</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դիմորդներին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հնարավորություն</w:t>
            </w:r>
            <w:proofErr w:type="spellEnd"/>
            <w:r w:rsidRPr="00752386">
              <w:rPr>
                <w:rFonts w:ascii="GHEA Grapalat" w:eastAsia="Times New Roman" w:hAnsi="GHEA Grapalat" w:cs="GHEA Grapalat"/>
                <w:sz w:val="24"/>
                <w:szCs w:val="24"/>
                <w:lang w:eastAsia="ru-RU"/>
              </w:rPr>
              <w:t xml:space="preserve"> է </w:t>
            </w:r>
            <w:proofErr w:type="spellStart"/>
            <w:r w:rsidRPr="00752386">
              <w:rPr>
                <w:rFonts w:ascii="GHEA Grapalat" w:eastAsia="Times New Roman" w:hAnsi="GHEA Grapalat" w:cs="GHEA Grapalat"/>
                <w:sz w:val="24"/>
                <w:szCs w:val="24"/>
                <w:lang w:eastAsia="ru-RU"/>
              </w:rPr>
              <w:t>տրվում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մաuնագի</w:t>
            </w:r>
            <w:r w:rsidRPr="00752386">
              <w:rPr>
                <w:rFonts w:ascii="GHEA Grapalat" w:eastAsia="Times New Roman" w:hAnsi="GHEA Grapalat" w:cs="GHEA Grapalat"/>
                <w:sz w:val="24"/>
                <w:szCs w:val="24"/>
                <w:lang w:eastAsia="ru-RU"/>
              </w:rPr>
              <w:softHyphen/>
              <w:t>տու</w:t>
            </w:r>
            <w:r w:rsidRPr="00752386">
              <w:rPr>
                <w:rFonts w:ascii="GHEA Grapalat" w:eastAsia="Times New Roman" w:hAnsi="GHEA Grapalat" w:cs="GHEA Grapalat"/>
                <w:sz w:val="24"/>
                <w:szCs w:val="24"/>
                <w:lang w:eastAsia="ru-RU"/>
              </w:rPr>
              <w:softHyphen/>
              <w:t>թյունների</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երկու</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աuտղանիշերով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նշված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առար</w:t>
            </w:r>
            <w:r w:rsidRPr="00752386">
              <w:rPr>
                <w:rFonts w:ascii="GHEA Grapalat" w:eastAsia="Times New Roman" w:hAnsi="GHEA Grapalat" w:cs="GHEA Grapalat"/>
                <w:sz w:val="24"/>
                <w:szCs w:val="24"/>
                <w:lang w:eastAsia="ru-RU"/>
              </w:rPr>
              <w:softHyphen/>
              <w:t>կաների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որպեu</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մրցութային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գնահատական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w:t>
            </w:r>
            <w:r w:rsidRPr="00752386">
              <w:rPr>
                <w:rFonts w:ascii="GHEA Grapalat" w:eastAsia="Times New Roman" w:hAnsi="GHEA Grapalat" w:cs="GHEA Grapalat"/>
                <w:sz w:val="24"/>
                <w:szCs w:val="24"/>
                <w:lang w:eastAsia="ru-RU"/>
              </w:rPr>
              <w:softHyphen/>
              <w:t>լու</w:t>
            </w:r>
            <w:r w:rsidRPr="00752386">
              <w:rPr>
                <w:rFonts w:ascii="GHEA Grapalat" w:eastAsia="Times New Roman" w:hAnsi="GHEA Grapalat" w:cs="GHEA Grapalat"/>
                <w:sz w:val="24"/>
                <w:szCs w:val="24"/>
                <w:lang w:eastAsia="ru-RU"/>
              </w:rPr>
              <w:softHyphen/>
              <w:t>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դիմում-հայտում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նախապեu</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հայտագրել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միջնակարգ</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ատեu</w:t>
            </w:r>
            <w:r w:rsidRPr="00752386">
              <w:rPr>
                <w:rFonts w:ascii="GHEA Grapalat" w:eastAsia="Times New Roman" w:hAnsi="GHEA Grapalat" w:cs="GHEA Grapalat"/>
                <w:sz w:val="24"/>
                <w:szCs w:val="24"/>
                <w:lang w:eastAsia="ru-RU"/>
              </w:rPr>
              <w:softHyphen/>
              <w:t>տատի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համապատաuխան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ավարտական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փաuտաթղթի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այդ</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առարկաների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պետական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ավարտական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գնահա</w:t>
            </w:r>
            <w:r w:rsidRPr="00752386">
              <w:rPr>
                <w:rFonts w:ascii="GHEA Grapalat" w:eastAsia="Times New Roman" w:hAnsi="GHEA Grapalat" w:cs="GHEA Grapalat"/>
                <w:sz w:val="24"/>
                <w:szCs w:val="24"/>
                <w:lang w:eastAsia="ru-RU"/>
              </w:rPr>
              <w:softHyphen/>
              <w:t>տականը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իսկ</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պետական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ավարտական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գնահատականի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բացակայության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դեպքում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տարեկան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գնահատականը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Նպատակը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թափուր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մնացած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համալրումն</w:t>
            </w:r>
            <w:proofErr w:type="spellEnd"/>
            <w:r w:rsidRPr="00752386">
              <w:rPr>
                <w:rFonts w:ascii="GHEA Grapalat" w:eastAsia="Times New Roman" w:hAnsi="GHEA Grapalat" w:cs="GHEA Grapalat"/>
                <w:sz w:val="24"/>
                <w:szCs w:val="24"/>
                <w:lang w:eastAsia="ru-RU"/>
              </w:rPr>
              <w:t xml:space="preserve"> է: </w:t>
            </w:r>
          </w:p>
          <w:p w:rsidR="007A3EAF" w:rsidRPr="00752386" w:rsidRDefault="007A3EAF" w:rsidP="00EB77CD">
            <w:pPr>
              <w:spacing w:after="0" w:line="360" w:lineRule="auto"/>
              <w:jc w:val="both"/>
              <w:textAlignment w:val="baseline"/>
              <w:rPr>
                <w:rFonts w:ascii="GHEA Grapalat" w:eastAsia="CIDFont+F1" w:hAnsi="GHEA Grapalat" w:cs="CIDFont+F1"/>
                <w:sz w:val="24"/>
                <w:szCs w:val="24"/>
                <w:lang w:val="hy-AM"/>
              </w:rPr>
            </w:pPr>
            <w:r w:rsidRPr="00752386">
              <w:rPr>
                <w:rFonts w:ascii="GHEA Grapalat" w:eastAsia="Times New Roman" w:hAnsi="GHEA Grapalat" w:cs="GHEA Grapalat"/>
                <w:sz w:val="24"/>
                <w:szCs w:val="24"/>
                <w:lang w:eastAsia="ru-RU"/>
              </w:rPr>
              <w:t xml:space="preserve">       </w:t>
            </w:r>
            <w:proofErr w:type="spellStart"/>
            <w:proofErr w:type="gramStart"/>
            <w:r w:rsidRPr="00752386">
              <w:rPr>
                <w:rFonts w:ascii="GHEA Grapalat" w:eastAsia="Times New Roman" w:hAnsi="GHEA Grapalat" w:cs="GHEA Grapalat"/>
                <w:sz w:val="24"/>
                <w:szCs w:val="24"/>
                <w:lang w:eastAsia="ru-RU"/>
              </w:rPr>
              <w:t>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որոնց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սահմանվում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են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կամընտրական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հնարավորություն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տալով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դիմորդներին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իրենց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ցանկությամբ</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ընտրել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առարկան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Նշենք</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w:t>
            </w:r>
            <w:proofErr w:type="spellEnd"/>
            <w:r w:rsidRPr="00752386">
              <w:rPr>
                <w:rFonts w:ascii="GHEA Grapalat" w:eastAsia="Times New Roman" w:hAnsi="GHEA Grapalat" w:cs="GHEA Grapalat"/>
                <w:sz w:val="24"/>
                <w:szCs w:val="24"/>
                <w:lang w:eastAsia="ru-RU"/>
              </w:rPr>
              <w:t xml:space="preserve"> հ</w:t>
            </w:r>
            <w:r w:rsidRPr="00752386">
              <w:rPr>
                <w:rFonts w:ascii="GHEA Grapalat" w:eastAsiaTheme="minorEastAsia" w:hAnsi="GHEA Grapalat"/>
                <w:sz w:val="24"/>
                <w:szCs w:val="24"/>
                <w:lang w:val="hy-AM" w:eastAsia="ru-RU"/>
              </w:rPr>
              <w:t xml:space="preserve">ամաձայն </w:t>
            </w:r>
            <w:r w:rsidRPr="00752386">
              <w:rPr>
                <w:rFonts w:ascii="GHEA Grapalat" w:eastAsia="CIDFont+F1" w:hAnsi="GHEA Grapalat" w:cs="CIDFont+F1"/>
                <w:sz w:val="24"/>
                <w:szCs w:val="24"/>
                <w:lang w:val="hy-AM"/>
              </w:rPr>
              <w:t>«</w:t>
            </w:r>
            <w:r w:rsidRPr="00752386">
              <w:rPr>
                <w:rFonts w:ascii="GHEA Grapalat" w:eastAsiaTheme="minorEastAsia" w:hAnsi="GHEA Grapalat"/>
                <w:sz w:val="24"/>
                <w:szCs w:val="24"/>
                <w:lang w:val="hy-AM" w:eastAsia="ru-RU"/>
              </w:rPr>
              <w:t>Կրթության մասին</w:t>
            </w:r>
            <w:r w:rsidRPr="00752386">
              <w:rPr>
                <w:rFonts w:ascii="GHEA Grapalat" w:eastAsiaTheme="minorEastAsia" w:hAnsi="GHEA Grapalat"/>
                <w:sz w:val="24"/>
                <w:szCs w:val="24"/>
                <w:lang w:val="pt-BR" w:eastAsia="ru-RU"/>
              </w:rPr>
              <w:t>»</w:t>
            </w:r>
            <w:r w:rsidRPr="00752386">
              <w:rPr>
                <w:rFonts w:ascii="GHEA Grapalat" w:eastAsiaTheme="minorEastAsia" w:hAnsi="GHEA Grapalat"/>
                <w:sz w:val="24"/>
                <w:szCs w:val="24"/>
                <w:lang w:val="hy-AM" w:eastAsia="ru-RU"/>
              </w:rPr>
              <w:t xml:space="preserve"> ՀՀ օրենքի 15-րդ հոդվածի 5-րդ մասի 2-րդ պարբերության (4-րդ ենթակետ) դրույթների՝ </w:t>
            </w:r>
            <w:r w:rsidRPr="00752386">
              <w:rPr>
                <w:rFonts w:ascii="GHEA Grapalat" w:eastAsiaTheme="minorEastAsia" w:hAnsi="GHEA Grapalat"/>
                <w:sz w:val="24"/>
                <w:szCs w:val="24"/>
                <w:shd w:val="clear" w:color="auto" w:fill="FFFFFF"/>
                <w:lang w:val="hy-AM" w:eastAsia="ru-RU"/>
              </w:rPr>
              <w:t>բարձրագույն ուսումնական հաստատությունների տվյալ տարվա մասնագիտությունների և ընդունելության քննությունների ցանկը մի քանի պարտադիր բաղադրիչներից բացի, ներառում է նաև ընդունելության քննության ձևը (մրցութային, ոչ մրցութային):</w:t>
            </w:r>
            <w:r w:rsidRPr="00752386">
              <w:rPr>
                <w:rFonts w:ascii="GHEA Grapalat" w:eastAsiaTheme="minorEastAsia" w:hAnsi="GHEA Grapalat"/>
                <w:sz w:val="24"/>
                <w:szCs w:val="24"/>
                <w:shd w:val="clear" w:color="auto" w:fill="FFFFFF"/>
                <w:lang w:eastAsia="ru-RU"/>
              </w:rPr>
              <w:t xml:space="preserve"> </w:t>
            </w:r>
            <w:r w:rsidRPr="00752386">
              <w:rPr>
                <w:rFonts w:ascii="GHEA Grapalat" w:eastAsiaTheme="minorEastAsia" w:hAnsi="GHEA Grapalat"/>
                <w:sz w:val="24"/>
                <w:szCs w:val="24"/>
                <w:shd w:val="clear" w:color="auto" w:fill="FFFFFF"/>
                <w:lang w:val="hy-AM" w:eastAsia="ru-RU"/>
              </w:rPr>
              <w:t>Տվյալ դեպքում,</w:t>
            </w:r>
            <w:r w:rsidRPr="00752386">
              <w:rPr>
                <w:rFonts w:ascii="GHEA Grapalat" w:eastAsiaTheme="minorEastAsia" w:hAnsi="GHEA Grapalat"/>
                <w:sz w:val="24"/>
                <w:szCs w:val="24"/>
                <w:shd w:val="clear" w:color="auto" w:fill="FFFFFF"/>
                <w:lang w:eastAsia="ru-RU"/>
              </w:rPr>
              <w:t xml:space="preserve"> </w:t>
            </w:r>
            <w:r w:rsidRPr="00752386">
              <w:rPr>
                <w:rFonts w:ascii="GHEA Grapalat" w:eastAsia="Calibri" w:hAnsi="GHEA Grapalat" w:cs="Sylfaen"/>
                <w:sz w:val="24"/>
                <w:szCs w:val="24"/>
                <w:lang w:val="hy-AM"/>
              </w:rPr>
              <w:t xml:space="preserve">բոլոր այն մասնագիտությունների (կրթական ծրագրերի) դեպքում, որոնց համար </w:t>
            </w:r>
            <w:r w:rsidRPr="00752386">
              <w:rPr>
                <w:rFonts w:ascii="GHEA Grapalat" w:eastAsia="CIDFont+F1" w:hAnsi="GHEA Grapalat" w:cs="CIDFont+F1"/>
                <w:sz w:val="24"/>
                <w:szCs w:val="24"/>
                <w:lang w:val="hy-AM"/>
              </w:rPr>
              <w:t xml:space="preserve">ՀՀ </w:t>
            </w:r>
            <w:r w:rsidRPr="00752386">
              <w:rPr>
                <w:rFonts w:ascii="GHEA Grapalat" w:eastAsia="CIDFont+F1" w:hAnsi="GHEA Grapalat" w:cs="CIDFont+F1"/>
                <w:sz w:val="24"/>
                <w:szCs w:val="24"/>
                <w:lang w:val="hy-AM"/>
              </w:rPr>
              <w:lastRenderedPageBreak/>
              <w:t>կառավարության 26</w:t>
            </w:r>
            <w:r w:rsidRPr="00752386">
              <w:rPr>
                <w:rFonts w:ascii="GHEA Grapalat" w:eastAsia="MS Mincho" w:hAnsi="MS Mincho" w:cs="MS Mincho"/>
                <w:sz w:val="24"/>
                <w:szCs w:val="24"/>
              </w:rPr>
              <w:t>.</w:t>
            </w:r>
            <w:r w:rsidRPr="00752386">
              <w:rPr>
                <w:rFonts w:ascii="GHEA Grapalat" w:eastAsia="MS Mincho" w:hAnsi="GHEA Grapalat" w:cs="MS Mincho"/>
                <w:sz w:val="24"/>
                <w:szCs w:val="24"/>
                <w:lang w:val="hy-AM"/>
              </w:rPr>
              <w:t>04</w:t>
            </w:r>
            <w:r w:rsidRPr="00752386">
              <w:rPr>
                <w:rFonts w:ascii="GHEA Grapalat" w:eastAsia="MS Mincho" w:hAnsi="MS Mincho" w:cs="MS Mincho"/>
                <w:sz w:val="24"/>
                <w:szCs w:val="24"/>
              </w:rPr>
              <w:t>.</w:t>
            </w:r>
            <w:r w:rsidRPr="00752386">
              <w:rPr>
                <w:rFonts w:ascii="GHEA Grapalat" w:eastAsia="MS Mincho" w:hAnsi="GHEA Grapalat" w:cs="MS Mincho"/>
                <w:sz w:val="24"/>
                <w:szCs w:val="24"/>
                <w:lang w:val="hy-AM"/>
              </w:rPr>
              <w:t>2012թ</w:t>
            </w:r>
            <w:r w:rsidRPr="00752386">
              <w:rPr>
                <w:rFonts w:ascii="GHEA Grapalat" w:eastAsia="MS Mincho" w:hAnsi="MS Mincho" w:cs="MS Mincho"/>
                <w:sz w:val="24"/>
                <w:szCs w:val="24"/>
              </w:rPr>
              <w:t>.</w:t>
            </w:r>
            <w:proofErr w:type="gramEnd"/>
            <w:r w:rsidRPr="00752386">
              <w:rPr>
                <w:rFonts w:ascii="GHEA Grapalat" w:eastAsia="MS Mincho" w:hAnsi="GHEA Grapalat" w:cs="MS Mincho"/>
                <w:sz w:val="24"/>
                <w:szCs w:val="24"/>
                <w:lang w:val="hy-AM"/>
              </w:rPr>
              <w:t xml:space="preserve"> </w:t>
            </w:r>
            <w:proofErr w:type="gramStart"/>
            <w:r w:rsidRPr="00752386">
              <w:rPr>
                <w:rFonts w:ascii="GHEA Grapalat" w:eastAsia="MS Mincho" w:hAnsi="GHEA Grapalat" w:cs="MS Mincho"/>
                <w:sz w:val="24"/>
                <w:szCs w:val="24"/>
              </w:rPr>
              <w:t xml:space="preserve">N </w:t>
            </w:r>
            <w:r w:rsidRPr="00752386">
              <w:rPr>
                <w:rFonts w:ascii="GHEA Grapalat" w:eastAsia="MS Mincho" w:hAnsi="GHEA Grapalat" w:cs="MS Mincho"/>
                <w:sz w:val="24"/>
                <w:szCs w:val="24"/>
                <w:lang w:val="hy-AM"/>
              </w:rPr>
              <w:t>597-Ն</w:t>
            </w:r>
            <w:r w:rsidRPr="00752386">
              <w:rPr>
                <w:rFonts w:ascii="GHEA Grapalat" w:eastAsia="MS Mincho" w:hAnsi="GHEA Grapalat" w:cs="MS Mincho"/>
                <w:sz w:val="24"/>
                <w:szCs w:val="24"/>
              </w:rPr>
              <w:t xml:space="preserve"> </w:t>
            </w:r>
            <w:r w:rsidRPr="00752386">
              <w:rPr>
                <w:rFonts w:ascii="GHEA Grapalat" w:eastAsia="MS Mincho" w:hAnsi="GHEA Grapalat" w:cs="MS Mincho"/>
                <w:sz w:val="24"/>
                <w:szCs w:val="24"/>
                <w:lang w:val="hy-AM"/>
              </w:rPr>
              <w:t>որոշմամբ հաստատված կարգի (</w:t>
            </w:r>
            <w:r w:rsidRPr="00752386">
              <w:rPr>
                <w:rFonts w:ascii="GHEA Grapalat" w:eastAsiaTheme="minorEastAsia" w:hAnsi="GHEA Grapalat"/>
                <w:sz w:val="24"/>
                <w:szCs w:val="24"/>
                <w:shd w:val="clear" w:color="auto" w:fill="FFFFFF"/>
                <w:lang w:val="hy-AM" w:eastAsia="ru-RU"/>
              </w:rPr>
              <w:t>պետական և ոչ պետական բարձրագույն</w:t>
            </w:r>
            <w:r w:rsidRPr="00752386">
              <w:rPr>
                <w:rFonts w:ascii="GHEA Grapalat" w:eastAsiaTheme="minorEastAsia" w:hAnsi="GHEA Grapalat"/>
                <w:sz w:val="24"/>
                <w:szCs w:val="24"/>
                <w:shd w:val="clear" w:color="auto" w:fill="FFFFFF"/>
                <w:lang w:eastAsia="ru-RU"/>
              </w:rPr>
              <w:t xml:space="preserve"> </w:t>
            </w:r>
            <w:r w:rsidRPr="00752386">
              <w:rPr>
                <w:rFonts w:ascii="GHEA Grapalat" w:eastAsiaTheme="minorEastAsia" w:hAnsi="GHEA Grapalat"/>
                <w:sz w:val="24"/>
                <w:szCs w:val="24"/>
                <w:shd w:val="clear" w:color="auto" w:fill="FFFFFF"/>
                <w:lang w:val="hy-AM" w:eastAsia="ru-RU"/>
              </w:rPr>
              <w:t xml:space="preserve">ուսումնական հաստատությունների ընդունելության ըստ բակալավրի ու անընդհատ և ինտեգրացված կրթական ծրագրերի) </w:t>
            </w:r>
            <w:r w:rsidRPr="00752386">
              <w:rPr>
                <w:rFonts w:ascii="GHEA Grapalat" w:eastAsia="MS Mincho" w:hAnsi="GHEA Grapalat" w:cs="MS Mincho"/>
                <w:sz w:val="24"/>
                <w:szCs w:val="24"/>
                <w:lang w:val="hy-AM"/>
              </w:rPr>
              <w:t xml:space="preserve">պահանջներից բխող </w:t>
            </w:r>
            <w:r w:rsidRPr="00752386">
              <w:rPr>
                <w:rFonts w:ascii="GHEA Grapalat" w:eastAsia="CIDFont+F1" w:hAnsi="GHEA Grapalat" w:cs="CIDFont+F1"/>
                <w:sz w:val="24"/>
                <w:szCs w:val="24"/>
                <w:lang w:val="hy-AM"/>
              </w:rPr>
              <w:t>«</w:t>
            </w:r>
            <w:r w:rsidRPr="00752386">
              <w:rPr>
                <w:rFonts w:ascii="GHEA Grapalat" w:eastAsia="Calibri" w:hAnsi="GHEA Grapalat"/>
                <w:sz w:val="24"/>
                <w:szCs w:val="24"/>
                <w:shd w:val="clear" w:color="auto" w:fill="FFFFFF"/>
                <w:lang w:val="hy-AM"/>
              </w:rPr>
              <w:t>Հայոց լեզու և գրականություն (գրավոր)</w:t>
            </w:r>
            <w:r w:rsidRPr="00752386">
              <w:rPr>
                <w:rFonts w:ascii="GHEA Grapalat" w:eastAsia="CIDFont+F1" w:hAnsi="GHEA Grapalat" w:cs="CIDFont+F1"/>
                <w:sz w:val="24"/>
                <w:szCs w:val="24"/>
                <w:lang w:val="hy-AM"/>
              </w:rPr>
              <w:t xml:space="preserve">» առարկայի ընդունելության քննությունը </w:t>
            </w:r>
            <w:r w:rsidRPr="00752386">
              <w:rPr>
                <w:rFonts w:ascii="GHEA Grapalat" w:eastAsia="MS Mincho" w:hAnsi="GHEA Grapalat" w:cs="MS Mincho"/>
                <w:sz w:val="24"/>
                <w:szCs w:val="24"/>
                <w:lang w:val="hy-AM"/>
              </w:rPr>
              <w:t>չի նախատեսվ</w:t>
            </w:r>
            <w:proofErr w:type="spellStart"/>
            <w:r w:rsidRPr="00752386">
              <w:rPr>
                <w:rFonts w:ascii="GHEA Grapalat" w:eastAsia="MS Mincho" w:hAnsi="GHEA Grapalat" w:cs="MS Mincho"/>
                <w:sz w:val="24"/>
                <w:szCs w:val="24"/>
              </w:rPr>
              <w:t>ում</w:t>
            </w:r>
            <w:proofErr w:type="spellEnd"/>
            <w:r w:rsidRPr="00752386">
              <w:rPr>
                <w:rFonts w:ascii="GHEA Grapalat" w:eastAsia="MS Mincho" w:hAnsi="GHEA Grapalat" w:cs="MS Mincho"/>
                <w:sz w:val="24"/>
                <w:szCs w:val="24"/>
                <w:lang w:val="hy-AM"/>
              </w:rPr>
              <w:t xml:space="preserve"> որպես մրցութային </w:t>
            </w:r>
            <w:r w:rsidRPr="00752386">
              <w:rPr>
                <w:rFonts w:ascii="GHEA Grapalat" w:eastAsia="CIDFont+F1" w:hAnsi="GHEA Grapalat" w:cs="CIDFont+F1"/>
                <w:sz w:val="24"/>
                <w:szCs w:val="24"/>
                <w:lang w:val="hy-AM"/>
              </w:rPr>
              <w:t>միասնական ընդունելության քննություն (այլ ներառված է որպես կամընտրական), ապա ցանկում «</w:t>
            </w:r>
            <w:r w:rsidRPr="00752386">
              <w:rPr>
                <w:rFonts w:ascii="GHEA Grapalat" w:eastAsia="Calibri" w:hAnsi="GHEA Grapalat"/>
                <w:sz w:val="24"/>
                <w:szCs w:val="24"/>
                <w:shd w:val="clear" w:color="auto" w:fill="FFFFFF"/>
                <w:lang w:val="hy-AM"/>
              </w:rPr>
              <w:t>Հայոց լեզու և գրականություն (գրավոր)</w:t>
            </w:r>
            <w:r w:rsidRPr="00752386">
              <w:rPr>
                <w:rFonts w:ascii="GHEA Grapalat" w:eastAsia="CIDFont+F1" w:hAnsi="GHEA Grapalat" w:cs="CIDFont+F1"/>
                <w:sz w:val="24"/>
                <w:szCs w:val="24"/>
                <w:lang w:val="hy-AM"/>
              </w:rPr>
              <w:t>» առարկայի ընդունելության քննությունը պարտադիր նախատեսվ</w:t>
            </w:r>
            <w:proofErr w:type="spellStart"/>
            <w:r w:rsidRPr="00752386">
              <w:rPr>
                <w:rFonts w:ascii="GHEA Grapalat" w:eastAsia="CIDFont+F1" w:hAnsi="GHEA Grapalat" w:cs="CIDFont+F1"/>
                <w:sz w:val="24"/>
                <w:szCs w:val="24"/>
              </w:rPr>
              <w:t>ում</w:t>
            </w:r>
            <w:proofErr w:type="spellEnd"/>
            <w:r w:rsidRPr="00752386">
              <w:rPr>
                <w:rFonts w:ascii="GHEA Grapalat" w:eastAsia="CIDFont+F1" w:hAnsi="GHEA Grapalat" w:cs="CIDFont+F1"/>
                <w:sz w:val="24"/>
                <w:szCs w:val="24"/>
                <w:lang w:val="hy-AM"/>
              </w:rPr>
              <w:t xml:space="preserve"> է որպես ոչ մրցութային ընդունելության քննություն։</w:t>
            </w:r>
            <w:proofErr w:type="gramEnd"/>
            <w:r w:rsidRPr="00752386">
              <w:rPr>
                <w:rFonts w:ascii="GHEA Grapalat" w:eastAsia="CIDFont+F1" w:hAnsi="GHEA Grapalat" w:cs="CIDFont+F1"/>
                <w:sz w:val="24"/>
                <w:szCs w:val="24"/>
                <w:lang w:val="hy-AM"/>
              </w:rPr>
              <w:t xml:space="preserve"> Նշենք նաև, որ ՀՀ կառավարության նույն որոշման 42-րդ կետի 1-ին ենթակետի պահանջի համաձայն՝ այդ ենթակետում նշված բոլոր մասնագիտությունների համար պահպանվում է «</w:t>
            </w:r>
            <w:r w:rsidRPr="00752386">
              <w:rPr>
                <w:rFonts w:ascii="GHEA Grapalat" w:eastAsia="Calibri" w:hAnsi="GHEA Grapalat"/>
                <w:sz w:val="24"/>
                <w:szCs w:val="24"/>
                <w:shd w:val="clear" w:color="auto" w:fill="FFFFFF"/>
                <w:lang w:val="hy-AM"/>
              </w:rPr>
              <w:t>Հայոց լեզու և գրականություն (գրավոր)</w:t>
            </w:r>
            <w:r w:rsidRPr="00752386">
              <w:rPr>
                <w:rFonts w:ascii="GHEA Grapalat" w:eastAsia="CIDFont+F1" w:hAnsi="GHEA Grapalat" w:cs="CIDFont+F1"/>
                <w:sz w:val="24"/>
                <w:szCs w:val="24"/>
                <w:lang w:val="hy-AM"/>
              </w:rPr>
              <w:t>» առարկայի ընդունելության քննությունն որպես պ</w:t>
            </w:r>
            <w:r w:rsidRPr="00752386">
              <w:rPr>
                <w:rFonts w:ascii="GHEA Grapalat" w:eastAsia="MS Mincho" w:hAnsi="GHEA Grapalat" w:cs="MS Mincho"/>
                <w:sz w:val="24"/>
                <w:szCs w:val="24"/>
                <w:lang w:val="hy-AM"/>
              </w:rPr>
              <w:t xml:space="preserve">արտադիր </w:t>
            </w:r>
            <w:r w:rsidRPr="00752386">
              <w:rPr>
                <w:rFonts w:ascii="GHEA Grapalat" w:eastAsia="CIDFont+F1" w:hAnsi="GHEA Grapalat" w:cs="CIDFont+F1"/>
                <w:sz w:val="24"/>
                <w:szCs w:val="24"/>
                <w:lang w:val="hy-AM"/>
              </w:rPr>
              <w:t>միասնական ընդունելության քննություն հանձնելու պայմանը։</w:t>
            </w:r>
          </w:p>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val="hy-AM" w:eastAsia="ru-RU"/>
              </w:rPr>
            </w:pPr>
            <w:r w:rsidRPr="00752386">
              <w:rPr>
                <w:rFonts w:ascii="GHEA Grapalat" w:eastAsia="Times New Roman" w:hAnsi="GHEA Grapalat" w:cs="GHEA Grapalat"/>
                <w:sz w:val="24"/>
                <w:szCs w:val="24"/>
                <w:lang w:val="hy-AM" w:eastAsia="ru-RU"/>
              </w:rPr>
              <w:t xml:space="preserve">           Նախագիծը ներկայումս ներկայացնելու համար հաշվի է առնվել նաև այն հանգամանքը, որ համաձայն </w:t>
            </w:r>
            <w:r w:rsidRPr="00752386">
              <w:rPr>
                <w:rFonts w:ascii="GHEA Grapalat" w:eastAsia="CIDFont+F1" w:hAnsi="GHEA Grapalat" w:cs="CIDFont+F1"/>
                <w:sz w:val="24"/>
                <w:szCs w:val="24"/>
                <w:lang w:val="hy-AM"/>
              </w:rPr>
              <w:t>ՀՀ կառավարության 26</w:t>
            </w:r>
            <w:r w:rsidRPr="00752386">
              <w:rPr>
                <w:rFonts w:ascii="GHEA Grapalat" w:eastAsia="MS Mincho" w:hAnsi="MS Mincho" w:cs="MS Mincho"/>
                <w:sz w:val="24"/>
                <w:szCs w:val="24"/>
                <w:lang w:val="hy-AM"/>
              </w:rPr>
              <w:t>.</w:t>
            </w:r>
            <w:r w:rsidRPr="00752386">
              <w:rPr>
                <w:rFonts w:ascii="GHEA Grapalat" w:eastAsia="MS Mincho" w:hAnsi="GHEA Grapalat" w:cs="MS Mincho"/>
                <w:sz w:val="24"/>
                <w:szCs w:val="24"/>
                <w:lang w:val="hy-AM"/>
              </w:rPr>
              <w:t>04</w:t>
            </w:r>
            <w:r w:rsidRPr="00752386">
              <w:rPr>
                <w:rFonts w:ascii="GHEA Grapalat" w:eastAsia="MS Mincho" w:hAnsi="MS Mincho" w:cs="MS Mincho"/>
                <w:sz w:val="24"/>
                <w:szCs w:val="24"/>
                <w:lang w:val="hy-AM"/>
              </w:rPr>
              <w:t>.</w:t>
            </w:r>
            <w:r w:rsidRPr="00752386">
              <w:rPr>
                <w:rFonts w:ascii="GHEA Grapalat" w:eastAsia="MS Mincho" w:hAnsi="GHEA Grapalat" w:cs="MS Mincho"/>
                <w:sz w:val="24"/>
                <w:szCs w:val="24"/>
                <w:lang w:val="hy-AM"/>
              </w:rPr>
              <w:t>2012թ</w:t>
            </w:r>
            <w:r w:rsidRPr="00752386">
              <w:rPr>
                <w:rFonts w:ascii="GHEA Grapalat" w:eastAsia="MS Mincho" w:hAnsi="MS Mincho" w:cs="MS Mincho"/>
                <w:sz w:val="24"/>
                <w:szCs w:val="24"/>
                <w:lang w:val="hy-AM"/>
              </w:rPr>
              <w:t>.</w:t>
            </w:r>
            <w:r w:rsidRPr="00752386">
              <w:rPr>
                <w:rFonts w:ascii="GHEA Grapalat" w:eastAsia="MS Mincho" w:hAnsi="GHEA Grapalat" w:cs="MS Mincho"/>
                <w:sz w:val="24"/>
                <w:szCs w:val="24"/>
                <w:lang w:val="hy-AM"/>
              </w:rPr>
              <w:t xml:space="preserve"> N 597-Ն որոշմամբ հաստատված կարգի դրույթների՝ 2023/2024 ուստարվա դիմորդները ընդունելության միասնական քննություններ կարող են հայտագրել և հանձնել 2 անգամ, որից առաջին փուլի դիմումների հայտագրումը ընդգրկում է տվյալ տարվա դեկտեմբերի 15-ից մինչև դեկտեմբերի 25-ը ընկած ժամանակահատվածը ու տվյալ տարվա հունվարին հանձնվող միասնական քննությունները:</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lastRenderedPageBreak/>
              <w:t>3.</w:t>
            </w:r>
            <w:r w:rsidRPr="00752386">
              <w:rPr>
                <w:rFonts w:ascii="Calibri" w:eastAsia="Times New Roman" w:hAnsi="Calibri" w:cs="Calibri"/>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Տվյալ</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բնագավառում</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իրականացվող</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քաղաքականություն</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բարձրագույն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ուսումնական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հաստատությունները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ինքնուրույնության</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ակադեմիական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ազատությունների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ընդլայնման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համատեքստում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իրենք</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են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որոշում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կայացնում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վերաբերյալ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սակայն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սույն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նախագծով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կանոնակարգվում</w:t>
            </w:r>
            <w:proofErr w:type="spellEnd"/>
            <w:r w:rsidRPr="00752386">
              <w:rPr>
                <w:rFonts w:ascii="GHEA Grapalat" w:eastAsia="Times New Roman" w:hAnsi="GHEA Grapalat" w:cs="GHEA Grapalat"/>
                <w:sz w:val="24"/>
                <w:szCs w:val="24"/>
                <w:lang w:eastAsia="ru-RU"/>
              </w:rPr>
              <w:t xml:space="preserve"> է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դրանց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նախատեսված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ցանկը</w:t>
            </w:r>
            <w:proofErr w:type="spellEnd"/>
            <w:r w:rsidRPr="00752386">
              <w:rPr>
                <w:rFonts w:ascii="GHEA Grapalat" w:eastAsia="Times New Roman" w:hAnsi="GHEA Grapalat" w:cs="GHEA Grapalat"/>
                <w:sz w:val="24"/>
                <w:szCs w:val="24"/>
                <w:lang w:eastAsia="ru-RU"/>
              </w:rPr>
              <w:t>:</w:t>
            </w:r>
          </w:p>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Դիմորդների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գիտելիքների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ստուգման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գործընթացն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իրականացնելիս</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անկախ</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կարգավիճակից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պետական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ոչ</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պետական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բոլոր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դիմորդների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ապահովելով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միևնույն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պայմանները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առնվազն</w:t>
            </w:r>
            <w:proofErr w:type="spellEnd"/>
            <w:r w:rsidRPr="00752386">
              <w:rPr>
                <w:rFonts w:ascii="GHEA Grapalat" w:eastAsia="Times New Roman" w:hAnsi="GHEA Grapalat" w:cs="GHEA Grapalat"/>
                <w:sz w:val="24"/>
                <w:szCs w:val="24"/>
                <w:lang w:eastAsia="ru-RU"/>
              </w:rPr>
              <w:t xml:space="preserve"> 2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հանձնում</w:t>
            </w:r>
            <w:proofErr w:type="spellEnd"/>
            <w:r w:rsidRPr="00752386">
              <w:rPr>
                <w:rFonts w:ascii="GHEA Grapalat" w:eastAsia="Times New Roman" w:hAnsi="GHEA Grapalat" w:cs="GHEA Grapalat"/>
                <w:sz w:val="24"/>
                <w:szCs w:val="24"/>
                <w:lang w:eastAsia="ru-RU"/>
              </w:rPr>
              <w:t>:</w:t>
            </w:r>
          </w:p>
          <w:p w:rsidR="007A3EAF" w:rsidRPr="00752386" w:rsidRDefault="007A3EAF" w:rsidP="00EB77CD">
            <w:pPr>
              <w:spacing w:after="0" w:line="360" w:lineRule="auto"/>
              <w:ind w:firstLine="426"/>
              <w:jc w:val="both"/>
              <w:rPr>
                <w:rFonts w:ascii="GHEA Grapalat" w:eastAsia="Times New Roman" w:hAnsi="GHEA Grapalat" w:cs="GHEA Grapalat"/>
                <w:sz w:val="24"/>
                <w:szCs w:val="24"/>
                <w:lang w:eastAsia="ru-RU"/>
              </w:rPr>
            </w:pPr>
            <w:proofErr w:type="spellStart"/>
            <w:r w:rsidRPr="00752386">
              <w:rPr>
                <w:rFonts w:ascii="GHEA Grapalat" w:eastAsia="Times New Roman" w:hAnsi="GHEA Grapalat" w:cs="GHEA Grapalat"/>
                <w:sz w:val="24"/>
                <w:szCs w:val="24"/>
                <w:lang w:eastAsia="ru-RU"/>
              </w:rPr>
              <w:lastRenderedPageBreak/>
              <w:t>Արդյունքում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դիմորդը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կարևորելով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ընտրությունը</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ուսումնասիրելով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հնարավորությունները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լինելով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ավելի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մոտիվացված</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նպատակասլաց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կընդունվի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տվյալ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մասնագիտությամբ</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ծրագրով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առնվազն</w:t>
            </w:r>
            <w:proofErr w:type="spellEnd"/>
            <w:r w:rsidRPr="00752386">
              <w:rPr>
                <w:rFonts w:ascii="GHEA Grapalat" w:eastAsia="Times New Roman" w:hAnsi="GHEA Grapalat" w:cs="GHEA Grapalat"/>
                <w:sz w:val="24"/>
                <w:szCs w:val="24"/>
                <w:lang w:eastAsia="ru-RU"/>
              </w:rPr>
              <w:t xml:space="preserve"> 2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հանձմամբ</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անհրաժեշտ</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բազային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գիտելիքներով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կնպաստի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բուհերում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ուսման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որակի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բարձրացմանը</w:t>
            </w:r>
            <w:proofErr w:type="spellEnd"/>
            <w:r w:rsidRPr="00752386">
              <w:rPr>
                <w:rFonts w:ascii="GHEA Grapalat" w:eastAsia="Times New Roman" w:hAnsi="GHEA Grapalat" w:cs="GHEA Grapalat"/>
                <w:sz w:val="24"/>
                <w:szCs w:val="24"/>
                <w:lang w:eastAsia="ru-RU"/>
              </w:rPr>
              <w:t>:</w:t>
            </w:r>
          </w:p>
          <w:p w:rsidR="007A3EAF" w:rsidRPr="00752386" w:rsidRDefault="007A3EAF" w:rsidP="00EB77CD">
            <w:pPr>
              <w:spacing w:after="0" w:line="360" w:lineRule="auto"/>
              <w:jc w:val="both"/>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r w:rsidRPr="00752386">
              <w:rPr>
                <w:rFonts w:ascii="GHEA Grapalat" w:eastAsia="Times New Roman" w:hAnsi="GHEA Grapalat" w:cs="GHEA Grapalat"/>
                <w:sz w:val="24"/>
                <w:szCs w:val="24"/>
                <w:lang w:val="ru-RU" w:eastAsia="ru-RU"/>
              </w:rPr>
              <w:t>Ո</w:t>
            </w:r>
            <w:proofErr w:type="spellStart"/>
            <w:r w:rsidRPr="00752386">
              <w:rPr>
                <w:rFonts w:ascii="GHEA Grapalat" w:eastAsia="Times New Roman" w:hAnsi="GHEA Grapalat" w:cs="GHEA Grapalat"/>
                <w:sz w:val="24"/>
                <w:szCs w:val="24"/>
                <w:lang w:eastAsia="ru-RU"/>
              </w:rPr>
              <w:t>րոշման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նախագծով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կկանո</w:t>
            </w:r>
            <w:r w:rsidRPr="00752386">
              <w:rPr>
                <w:rFonts w:ascii="GHEA Grapalat" w:eastAsia="Times New Roman" w:hAnsi="GHEA Grapalat" w:cs="GHEA Grapalat"/>
                <w:sz w:val="24"/>
                <w:szCs w:val="24"/>
                <w:lang w:val="ru-RU" w:eastAsia="ru-RU"/>
              </w:rPr>
              <w:t>նա</w:t>
            </w:r>
            <w:r w:rsidRPr="00752386">
              <w:rPr>
                <w:rFonts w:ascii="GHEA Grapalat" w:eastAsia="Times New Roman" w:hAnsi="GHEA Grapalat" w:cs="GHEA Grapalat"/>
                <w:sz w:val="24"/>
                <w:szCs w:val="24"/>
                <w:lang w:eastAsia="ru-RU"/>
              </w:rPr>
              <w:t>կարգվի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բուհերում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ծրագրի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միասնական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չափանիշների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սահմանումը</w:t>
            </w:r>
            <w:proofErr w:type="spellEnd"/>
            <w:r w:rsidRPr="00752386">
              <w:rPr>
                <w:rFonts w:ascii="GHEA Grapalat" w:eastAsia="Times New Roman" w:hAnsi="GHEA Grapalat" w:cs="GHEA Grapalat"/>
                <w:sz w:val="24"/>
                <w:szCs w:val="24"/>
                <w:lang w:eastAsia="ru-RU"/>
              </w:rPr>
              <w:t xml:space="preserve"> և </w:t>
            </w:r>
            <w:proofErr w:type="spellStart"/>
            <w:proofErr w:type="gramStart"/>
            <w:r w:rsidRPr="00752386">
              <w:rPr>
                <w:rFonts w:ascii="GHEA Grapalat" w:eastAsia="Times New Roman" w:hAnsi="GHEA Grapalat" w:cs="GHEA Grapalat"/>
                <w:sz w:val="24"/>
                <w:szCs w:val="24"/>
                <w:lang w:eastAsia="ru-RU"/>
              </w:rPr>
              <w:t>միևնույն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մուտքային</w:t>
            </w:r>
            <w:proofErr w:type="spellEnd"/>
            <w:proofErr w:type="gram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պահանջների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համապատասխանությունը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նկատի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ունենալով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նաև</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կառավարության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որոշմամբ</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տվյալ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շրջանավարտին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շնորհվող</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համապատասխան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որակավորումը</w:t>
            </w:r>
            <w:proofErr w:type="spellEnd"/>
            <w:r w:rsidRPr="00752386">
              <w:rPr>
                <w:rFonts w:ascii="GHEA Grapalat" w:eastAsia="Times New Roman" w:hAnsi="GHEA Grapalat" w:cs="GHEA Grapalat"/>
                <w:sz w:val="24"/>
                <w:szCs w:val="24"/>
                <w:lang w:eastAsia="ru-RU"/>
              </w:rPr>
              <w:t>:</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lastRenderedPageBreak/>
              <w:t>4.</w:t>
            </w:r>
            <w:r w:rsidRPr="00752386">
              <w:rPr>
                <w:rFonts w:ascii="Calibri" w:eastAsia="Times New Roman" w:hAnsi="Calibri" w:cs="Calibri"/>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Առաջարկվող</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կարգավորման</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նպատակը</w:t>
            </w:r>
            <w:proofErr w:type="spellEnd"/>
            <w:r w:rsidRPr="00752386">
              <w:rPr>
                <w:rFonts w:ascii="GHEA Grapalat" w:eastAsia="Times New Roman" w:hAnsi="GHEA Grapalat" w:cs="GHEA Grapalat"/>
                <w:b/>
                <w:sz w:val="24"/>
                <w:szCs w:val="24"/>
                <w:lang w:eastAsia="ru-RU"/>
              </w:rPr>
              <w:t xml:space="preserve"> և </w:t>
            </w:r>
            <w:proofErr w:type="spellStart"/>
            <w:r w:rsidRPr="00752386">
              <w:rPr>
                <w:rFonts w:ascii="GHEA Grapalat" w:eastAsia="Times New Roman" w:hAnsi="GHEA Grapalat" w:cs="GHEA Grapalat"/>
                <w:b/>
                <w:sz w:val="24"/>
                <w:szCs w:val="24"/>
                <w:lang w:eastAsia="ru-RU"/>
              </w:rPr>
              <w:t>բնույթը</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Նախագծի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ընդունումը</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նպատակ</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ունի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հստակեցնել</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կանոնակարգել</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բակալավրի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անընդհատ</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ինտեգրացված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ծրագրով</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դրանց</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համար</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նախատեսված</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ցանկը</w:t>
            </w:r>
            <w:proofErr w:type="spellEnd"/>
            <w:r w:rsidRPr="00752386">
              <w:rPr>
                <w:rFonts w:ascii="GHEA Grapalat" w:eastAsia="Times New Roman" w:hAnsi="GHEA Grapalat" w:cs="GHEA Grapalat"/>
                <w:sz w:val="24"/>
                <w:szCs w:val="24"/>
                <w:lang w:eastAsia="ru-RU"/>
              </w:rPr>
              <w:t xml:space="preserve">: </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t>5.</w:t>
            </w:r>
            <w:r w:rsidRPr="00752386">
              <w:rPr>
                <w:rFonts w:ascii="Calibri" w:eastAsia="Times New Roman" w:hAnsi="Calibri" w:cs="Calibri"/>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Նախագծի</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մշակման</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գործընթացում</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ներգրավված</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ինստիտուտներն</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ու</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անձինք</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proofErr w:type="spellStart"/>
            <w:r w:rsidRPr="00752386">
              <w:rPr>
                <w:rFonts w:ascii="GHEA Grapalat" w:eastAsia="Times New Roman" w:hAnsi="GHEA Grapalat" w:cs="GHEA Grapalat"/>
                <w:sz w:val="24"/>
                <w:szCs w:val="24"/>
                <w:lang w:eastAsia="ru-RU"/>
              </w:rPr>
              <w:t>Կրթության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գիտության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մշակույթի</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սպորտի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նախարարություն</w:t>
            </w:r>
            <w:proofErr w:type="spellEnd"/>
          </w:p>
          <w:p w:rsidR="007A3EAF" w:rsidRPr="005B18E3" w:rsidRDefault="007A3EAF" w:rsidP="00EB77CD">
            <w:pPr>
              <w:spacing w:after="0" w:line="360" w:lineRule="auto"/>
              <w:jc w:val="both"/>
              <w:textAlignment w:val="baseline"/>
              <w:rPr>
                <w:rFonts w:ascii="GHEA Grapalat" w:eastAsia="Times New Roman" w:hAnsi="GHEA Grapalat" w:cs="GHEA Grapalat"/>
                <w:sz w:val="24"/>
                <w:szCs w:val="24"/>
                <w:lang w:eastAsia="ru-RU"/>
              </w:rPr>
            </w:pPr>
            <w:proofErr w:type="spellStart"/>
            <w:r w:rsidRPr="00752386">
              <w:rPr>
                <w:rFonts w:ascii="GHEA Grapalat" w:eastAsia="Times New Roman" w:hAnsi="GHEA Grapalat" w:cs="GHEA Grapalat"/>
                <w:sz w:val="24"/>
                <w:szCs w:val="24"/>
                <w:lang w:eastAsia="ru-RU"/>
              </w:rPr>
              <w:t>ՀՀ</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բարձրագույն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ուսումնական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հաստատություններ</w:t>
            </w:r>
            <w:proofErr w:type="spellEnd"/>
            <w:r w:rsidRPr="00752386">
              <w:rPr>
                <w:rFonts w:ascii="GHEA Grapalat" w:eastAsia="Times New Roman" w:hAnsi="GHEA Grapalat" w:cs="GHEA Grapalat"/>
                <w:sz w:val="24"/>
                <w:szCs w:val="24"/>
                <w:lang w:eastAsia="ru-RU"/>
              </w:rPr>
              <w:t xml:space="preserve"> </w:t>
            </w:r>
          </w:p>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imes New Roman" w:hAnsi="GHEA Grapalat" w:cs="GHEA Grapalat"/>
                <w:sz w:val="24"/>
                <w:szCs w:val="24"/>
                <w:lang w:eastAsia="ru-RU"/>
              </w:rPr>
              <w:t>«</w:t>
            </w:r>
            <w:proofErr w:type="spellStart"/>
            <w:r w:rsidRPr="00752386">
              <w:rPr>
                <w:rFonts w:ascii="GHEA Grapalat" w:eastAsia="Times New Roman" w:hAnsi="GHEA Grapalat" w:cs="GHEA Grapalat"/>
                <w:sz w:val="24"/>
                <w:szCs w:val="24"/>
                <w:lang w:eastAsia="ru-RU"/>
              </w:rPr>
              <w:t>Գնահատման</w:t>
            </w:r>
            <w:proofErr w:type="spellEnd"/>
            <w:r w:rsidRPr="00752386">
              <w:rPr>
                <w:rFonts w:ascii="GHEA Grapalat" w:eastAsia="Times New Roman" w:hAnsi="GHEA Grapalat" w:cs="GHEA Grapalat"/>
                <w:sz w:val="24"/>
                <w:szCs w:val="24"/>
                <w:lang w:eastAsia="ru-RU"/>
              </w:rPr>
              <w:t xml:space="preserve"> և </w:t>
            </w:r>
            <w:proofErr w:type="spellStart"/>
            <w:r w:rsidRPr="00752386">
              <w:rPr>
                <w:rFonts w:ascii="GHEA Grapalat" w:eastAsia="Times New Roman" w:hAnsi="GHEA Grapalat" w:cs="GHEA Grapalat"/>
                <w:sz w:val="24"/>
                <w:szCs w:val="24"/>
                <w:lang w:eastAsia="ru-RU"/>
              </w:rPr>
              <w:t>թեստավորման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կենտրոն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ՊՈԱԿ</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r w:rsidRPr="00752386">
              <w:rPr>
                <w:rFonts w:ascii="GHEA Grapalat" w:eastAsia="Times New Roman" w:hAnsi="GHEA Grapalat" w:cs="GHEA Grapalat"/>
                <w:b/>
                <w:sz w:val="24"/>
                <w:szCs w:val="24"/>
                <w:lang w:eastAsia="ru-RU"/>
              </w:rPr>
              <w:t>6.</w:t>
            </w:r>
            <w:r w:rsidRPr="00752386">
              <w:rPr>
                <w:rFonts w:ascii="Calibri" w:eastAsia="Times New Roman" w:hAnsi="Calibri" w:cs="Calibri"/>
                <w:b/>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b/>
                <w:sz w:val="24"/>
                <w:szCs w:val="24"/>
                <w:lang w:eastAsia="ru-RU"/>
              </w:rPr>
            </w:pPr>
            <w:proofErr w:type="spellStart"/>
            <w:r w:rsidRPr="00752386">
              <w:rPr>
                <w:rFonts w:ascii="GHEA Grapalat" w:eastAsia="Times New Roman" w:hAnsi="GHEA Grapalat" w:cs="GHEA Grapalat"/>
                <w:b/>
                <w:sz w:val="24"/>
                <w:szCs w:val="24"/>
                <w:lang w:eastAsia="ru-RU"/>
              </w:rPr>
              <w:t>Ակնկալվող</w:t>
            </w:r>
            <w:proofErr w:type="spellEnd"/>
            <w:r w:rsidRPr="00752386">
              <w:rPr>
                <w:rFonts w:ascii="GHEA Grapalat" w:eastAsia="Times New Roman" w:hAnsi="GHEA Grapalat" w:cs="GHEA Grapalat"/>
                <w:b/>
                <w:sz w:val="24"/>
                <w:szCs w:val="24"/>
                <w:lang w:eastAsia="ru-RU"/>
              </w:rPr>
              <w:t xml:space="preserve"> </w:t>
            </w:r>
            <w:proofErr w:type="spellStart"/>
            <w:r w:rsidRPr="00752386">
              <w:rPr>
                <w:rFonts w:ascii="GHEA Grapalat" w:eastAsia="Times New Roman" w:hAnsi="GHEA Grapalat" w:cs="GHEA Grapalat"/>
                <w:b/>
                <w:sz w:val="24"/>
                <w:szCs w:val="24"/>
                <w:lang w:eastAsia="ru-RU"/>
              </w:rPr>
              <w:t>արդյունքը</w:t>
            </w:r>
            <w:proofErr w:type="spellEnd"/>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Calibri" w:eastAsia="Times New Roman" w:hAnsi="Calibri" w:cs="Calibri"/>
                <w:sz w:val="24"/>
                <w:szCs w:val="24"/>
                <w:lang w:eastAsia="ru-RU"/>
              </w:rPr>
              <w:t> </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proofErr w:type="spellStart"/>
            <w:r w:rsidRPr="00752386">
              <w:rPr>
                <w:rFonts w:ascii="GHEA Grapalat" w:eastAsia="Times New Roman" w:hAnsi="GHEA Grapalat" w:cs="GHEA Grapalat"/>
                <w:sz w:val="24"/>
                <w:szCs w:val="24"/>
                <w:lang w:eastAsia="ru-RU"/>
              </w:rPr>
              <w:t>Բուհերի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ընդունելության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մրցույթի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իրականացում</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ըստ</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համապատասխան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մասնագիտությունների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կրթական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ծրագրերի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մրցութային</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քննությունների</w:t>
            </w:r>
            <w:proofErr w:type="spellEnd"/>
            <w:r w:rsidRPr="00752386">
              <w:rPr>
                <w:rFonts w:ascii="GHEA Grapalat" w:eastAsia="Times New Roman" w:hAnsi="GHEA Grapalat" w:cs="GHEA Grapalat"/>
                <w:sz w:val="24"/>
                <w:szCs w:val="24"/>
                <w:lang w:eastAsia="ru-RU"/>
              </w:rPr>
              <w:t xml:space="preserve"> </w:t>
            </w:r>
            <w:proofErr w:type="spellStart"/>
            <w:r w:rsidRPr="00752386">
              <w:rPr>
                <w:rFonts w:ascii="GHEA Grapalat" w:eastAsia="Times New Roman" w:hAnsi="GHEA Grapalat" w:cs="GHEA Grapalat"/>
                <w:sz w:val="24"/>
                <w:szCs w:val="24"/>
                <w:lang w:eastAsia="ru-RU"/>
              </w:rPr>
              <w:t>արդյունքների</w:t>
            </w:r>
            <w:proofErr w:type="spellEnd"/>
            <w:r w:rsidRPr="00752386">
              <w:rPr>
                <w:rFonts w:ascii="GHEA Grapalat" w:eastAsia="Times New Roman" w:hAnsi="GHEA Grapalat" w:cs="GHEA Grapalat"/>
                <w:sz w:val="24"/>
                <w:szCs w:val="24"/>
                <w:lang w:eastAsia="ru-RU"/>
              </w:rPr>
              <w:t>:</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heme="minorEastAsia" w:hAnsi="GHEA Grapalat" w:cs="GHEA Grapalat"/>
                <w:b/>
                <w:lang w:eastAsia="ru-RU"/>
              </w:rPr>
            </w:pPr>
            <w:r w:rsidRPr="00752386">
              <w:rPr>
                <w:rFonts w:ascii="GHEA Grapalat" w:eastAsiaTheme="minorEastAsia" w:hAnsi="GHEA Grapalat" w:cs="GHEA Grapalat"/>
                <w:b/>
                <w:lang w:eastAsia="ru-RU"/>
              </w:rPr>
              <w:t>7.</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heme="minorEastAsia" w:hAnsi="GHEA Grapalat" w:cs="GHEA Grapalat"/>
                <w:sz w:val="24"/>
                <w:szCs w:val="24"/>
                <w:lang w:eastAsia="ru-RU"/>
              </w:rPr>
            </w:pPr>
            <w:r w:rsidRPr="00752386">
              <w:rPr>
                <w:rFonts w:ascii="GHEA Grapalat" w:eastAsiaTheme="minorEastAsia" w:hAnsi="GHEA Grapalat"/>
                <w:b/>
                <w:sz w:val="24"/>
                <w:szCs w:val="24"/>
                <w:lang w:val="hy-AM" w:eastAsia="ru-RU"/>
              </w:rPr>
              <w:t>Այլ տեղեկություններ (եթե այդպիսիք առկա են)</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heme="minorEastAsia" w:hAnsi="GHEA Grapalat" w:cs="GHEA Grapalat"/>
                <w:b/>
                <w:lang w:eastAsia="ru-RU"/>
              </w:rPr>
            </w:pP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rPr>
                <w:rFonts w:ascii="GHEA Grapalat" w:eastAsiaTheme="minorEastAsia" w:hAnsi="GHEA Grapalat" w:cs="GHEA Grapalat"/>
                <w:sz w:val="24"/>
                <w:szCs w:val="24"/>
                <w:lang w:eastAsia="ru-RU"/>
              </w:rPr>
            </w:pPr>
            <w:r w:rsidRPr="00752386">
              <w:rPr>
                <w:rFonts w:ascii="GHEA Grapalat" w:eastAsiaTheme="minorEastAsia" w:hAnsi="GHEA Grapalat"/>
                <w:sz w:val="24"/>
                <w:szCs w:val="24"/>
                <w:lang w:val="hy-AM" w:eastAsia="ru-RU"/>
              </w:rPr>
              <w:t xml:space="preserve">Նախագծի ընդունման </w:t>
            </w:r>
            <w:r w:rsidRPr="00752386">
              <w:rPr>
                <w:rFonts w:ascii="GHEA Grapalat" w:eastAsiaTheme="minorEastAsia" w:hAnsi="GHEA Grapalat" w:cs="Sylfaen"/>
                <w:noProof/>
                <w:sz w:val="24"/>
                <w:szCs w:val="24"/>
                <w:lang w:val="hy-AM" w:eastAsia="ru-RU"/>
              </w:rPr>
              <w:t>դեպքում պետական</w:t>
            </w:r>
            <w:r w:rsidRPr="00752386">
              <w:rPr>
                <w:rFonts w:ascii="GHEA Grapalat" w:eastAsiaTheme="minorEastAsia" w:hAnsi="GHEA Grapalat" w:cs="Sylfaen"/>
                <w:noProof/>
                <w:sz w:val="24"/>
                <w:szCs w:val="24"/>
                <w:lang w:eastAsia="ru-RU"/>
              </w:rPr>
              <w:t xml:space="preserve"> </w:t>
            </w:r>
            <w:r w:rsidRPr="00752386">
              <w:rPr>
                <w:rFonts w:ascii="GHEA Grapalat" w:eastAsiaTheme="minorEastAsia" w:hAnsi="GHEA Grapalat" w:cs="Sylfaen"/>
                <w:noProof/>
                <w:sz w:val="24"/>
                <w:szCs w:val="24"/>
                <w:lang w:val="hy-AM" w:eastAsia="ru-RU"/>
              </w:rPr>
              <w:t>կամ</w:t>
            </w:r>
            <w:r w:rsidRPr="00752386">
              <w:rPr>
                <w:rFonts w:ascii="GHEA Grapalat" w:eastAsiaTheme="minorEastAsia" w:hAnsi="GHEA Grapalat" w:cs="Sylfaen"/>
                <w:noProof/>
                <w:sz w:val="24"/>
                <w:szCs w:val="24"/>
                <w:lang w:eastAsia="ru-RU"/>
              </w:rPr>
              <w:t xml:space="preserve"> </w:t>
            </w:r>
            <w:r w:rsidRPr="00752386">
              <w:rPr>
                <w:rFonts w:ascii="GHEA Grapalat" w:eastAsiaTheme="minorEastAsia" w:hAnsi="GHEA Grapalat" w:cs="Sylfaen"/>
                <w:sz w:val="24"/>
                <w:szCs w:val="24"/>
                <w:lang w:val="hy-AM" w:eastAsia="ru-RU"/>
              </w:rPr>
              <w:t>տեղական</w:t>
            </w:r>
            <w:r w:rsidRPr="00752386">
              <w:rPr>
                <w:rFonts w:ascii="GHEA Grapalat" w:eastAsiaTheme="minorEastAsia" w:hAnsi="GHEA Grapalat" w:cs="Sylfaen"/>
                <w:sz w:val="24"/>
                <w:szCs w:val="24"/>
                <w:lang w:eastAsia="ru-RU"/>
              </w:rPr>
              <w:t xml:space="preserve"> </w:t>
            </w:r>
            <w:r w:rsidRPr="00752386">
              <w:rPr>
                <w:rFonts w:ascii="GHEA Grapalat" w:eastAsiaTheme="minorEastAsia" w:hAnsi="GHEA Grapalat" w:cs="Sylfaen"/>
                <w:sz w:val="24"/>
                <w:szCs w:val="24"/>
                <w:lang w:val="hy-AM" w:eastAsia="ru-RU"/>
              </w:rPr>
              <w:t>ինքնակառավարման</w:t>
            </w:r>
            <w:r w:rsidRPr="00752386">
              <w:rPr>
                <w:rFonts w:ascii="GHEA Grapalat" w:eastAsiaTheme="minorEastAsia" w:hAnsi="GHEA Grapalat" w:cs="Sylfaen"/>
                <w:sz w:val="24"/>
                <w:szCs w:val="24"/>
                <w:lang w:eastAsia="ru-RU"/>
              </w:rPr>
              <w:t xml:space="preserve"> </w:t>
            </w:r>
            <w:r w:rsidRPr="00752386">
              <w:rPr>
                <w:rFonts w:ascii="GHEA Grapalat" w:eastAsiaTheme="minorEastAsia" w:hAnsi="GHEA Grapalat" w:cs="Sylfaen"/>
                <w:sz w:val="24"/>
                <w:szCs w:val="24"/>
                <w:lang w:val="hy-AM" w:eastAsia="ru-RU"/>
              </w:rPr>
              <w:t>մարմինների</w:t>
            </w:r>
            <w:r w:rsidRPr="00752386">
              <w:rPr>
                <w:rFonts w:ascii="GHEA Grapalat" w:eastAsiaTheme="minorEastAsia" w:hAnsi="GHEA Grapalat" w:cs="Sylfaen"/>
                <w:noProof/>
                <w:sz w:val="24"/>
                <w:szCs w:val="24"/>
                <w:lang w:val="hy-AM" w:eastAsia="ru-RU"/>
              </w:rPr>
              <w:t xml:space="preserve"> բյուջեներում ծախսերի</w:t>
            </w:r>
            <w:r w:rsidRPr="00752386">
              <w:rPr>
                <w:rFonts w:ascii="GHEA Grapalat" w:eastAsiaTheme="minorEastAsia" w:hAnsi="GHEA Grapalat" w:cs="Times Armenian"/>
                <w:noProof/>
                <w:sz w:val="24"/>
                <w:szCs w:val="24"/>
                <w:lang w:val="hy-AM" w:eastAsia="ru-RU"/>
              </w:rPr>
              <w:t xml:space="preserve"> և </w:t>
            </w:r>
            <w:r w:rsidRPr="00752386">
              <w:rPr>
                <w:rFonts w:ascii="GHEA Grapalat" w:eastAsiaTheme="minorEastAsia" w:hAnsi="GHEA Grapalat" w:cs="Sylfaen"/>
                <w:noProof/>
                <w:sz w:val="24"/>
                <w:szCs w:val="24"/>
                <w:lang w:val="hy-AM" w:eastAsia="ru-RU"/>
              </w:rPr>
              <w:t>եկամուտների</w:t>
            </w:r>
            <w:r w:rsidRPr="00752386">
              <w:rPr>
                <w:rFonts w:ascii="GHEA Grapalat" w:eastAsiaTheme="minorEastAsia" w:hAnsi="GHEA Grapalat" w:cs="Sylfaen"/>
                <w:noProof/>
                <w:sz w:val="24"/>
                <w:szCs w:val="24"/>
                <w:lang w:eastAsia="ru-RU"/>
              </w:rPr>
              <w:t xml:space="preserve"> </w:t>
            </w:r>
            <w:r w:rsidRPr="00752386">
              <w:rPr>
                <w:rFonts w:ascii="GHEA Grapalat" w:eastAsiaTheme="minorEastAsia" w:hAnsi="GHEA Grapalat"/>
                <w:sz w:val="24"/>
                <w:szCs w:val="24"/>
                <w:lang w:val="hy-AM" w:eastAsia="ru-RU"/>
              </w:rPr>
              <w:t xml:space="preserve">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w:t>
            </w:r>
            <w:r w:rsidRPr="00752386">
              <w:rPr>
                <w:rFonts w:ascii="GHEA Grapalat" w:eastAsiaTheme="minorEastAsia" w:hAnsi="GHEA Grapalat"/>
                <w:sz w:val="24"/>
                <w:szCs w:val="24"/>
                <w:lang w:val="hy-AM" w:eastAsia="ru-RU"/>
              </w:rPr>
              <w:lastRenderedPageBreak/>
              <w:t>չեն նախատեսվում։</w:t>
            </w:r>
          </w:p>
        </w:tc>
      </w:tr>
      <w:tr w:rsidR="007A3EAF" w:rsidRPr="00752386" w:rsidTr="00EB77CD">
        <w:tc>
          <w:tcPr>
            <w:tcW w:w="962" w:type="dxa"/>
            <w:shd w:val="clear" w:color="auto" w:fill="FFFFFF"/>
            <w:tcMar>
              <w:top w:w="75" w:type="dxa"/>
              <w:left w:w="120" w:type="dxa"/>
              <w:bottom w:w="75" w:type="dxa"/>
              <w:right w:w="120" w:type="dxa"/>
            </w:tcMar>
            <w:hideMark/>
          </w:tcPr>
          <w:p w:rsidR="007A3EAF" w:rsidRPr="00752386" w:rsidRDefault="007A3EAF" w:rsidP="00EB77CD">
            <w:pPr>
              <w:spacing w:after="0" w:line="360" w:lineRule="auto"/>
              <w:textAlignment w:val="baseline"/>
              <w:rPr>
                <w:rFonts w:ascii="GHEA Grapalat" w:eastAsiaTheme="minorEastAsia" w:hAnsi="GHEA Grapalat" w:cs="GHEA Grapalat"/>
                <w:b/>
                <w:lang w:eastAsia="ru-RU"/>
              </w:rPr>
            </w:pPr>
            <w:r w:rsidRPr="00752386">
              <w:rPr>
                <w:rFonts w:ascii="GHEA Grapalat" w:eastAsiaTheme="minorEastAsia" w:hAnsi="GHEA Grapalat" w:cs="GHEA Grapalat"/>
                <w:b/>
                <w:lang w:eastAsia="ru-RU"/>
              </w:rPr>
              <w:lastRenderedPageBreak/>
              <w:t>8.</w:t>
            </w: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heme="minorEastAsia" w:hAnsi="GHEA Grapalat"/>
                <w:b/>
                <w:sz w:val="24"/>
                <w:szCs w:val="24"/>
                <w:shd w:val="clear" w:color="auto" w:fill="FFFFFF"/>
                <w:lang w:eastAsia="ru-RU"/>
              </w:rPr>
            </w:pPr>
            <w:r w:rsidRPr="00752386">
              <w:rPr>
                <w:rFonts w:ascii="GHEA Grapalat" w:eastAsiaTheme="minorEastAsia" w:hAnsi="GHEA Grapalat" w:cs="GHEA Grapalat"/>
                <w:b/>
                <w:sz w:val="24"/>
                <w:szCs w:val="24"/>
                <w:shd w:val="clear" w:color="auto" w:fill="FFFFFF"/>
                <w:lang w:val="hy-AM" w:eastAsia="ru-RU"/>
              </w:rPr>
              <w:t>Կապը</w:t>
            </w:r>
            <w:r w:rsidRPr="00752386">
              <w:rPr>
                <w:rFonts w:ascii="GHEA Grapalat" w:eastAsiaTheme="minorEastAsia" w:hAnsi="GHEA Grapalat" w:cs="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ռազմավարական</w:t>
            </w:r>
            <w:r w:rsidRPr="00752386">
              <w:rPr>
                <w:rFonts w:ascii="GHEA Grapalat" w:eastAsiaTheme="minorEastAsia" w:hAnsi="GHEA Grapalat" w:cs="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փաստաթղթերի</w:t>
            </w:r>
            <w:r w:rsidRPr="00752386">
              <w:rPr>
                <w:rFonts w:ascii="GHEA Grapalat" w:eastAsiaTheme="minorEastAsia" w:hAnsi="GHEA Grapalat" w:cs="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հետ</w:t>
            </w:r>
            <w:r w:rsidRPr="00752386">
              <w:rPr>
                <w:rFonts w:ascii="GHEA Grapalat" w:eastAsiaTheme="minorEastAsia" w:hAnsi="GHEA Grapalat"/>
                <w:b/>
                <w:sz w:val="24"/>
                <w:szCs w:val="24"/>
                <w:shd w:val="clear" w:color="auto" w:fill="FFFFFF"/>
                <w:lang w:val="hy-AM" w:eastAsia="ru-RU"/>
              </w:rPr>
              <w:t>.</w:t>
            </w:r>
          </w:p>
          <w:p w:rsidR="007A3EAF" w:rsidRPr="00752386" w:rsidRDefault="007A3EAF" w:rsidP="00EB77CD">
            <w:pPr>
              <w:spacing w:after="0" w:line="360" w:lineRule="auto"/>
              <w:jc w:val="both"/>
              <w:textAlignment w:val="baseline"/>
              <w:rPr>
                <w:rFonts w:ascii="GHEA Grapalat" w:eastAsia="Times New Roman" w:hAnsi="GHEA Grapalat" w:cs="GHEA Grapalat"/>
                <w:sz w:val="24"/>
                <w:szCs w:val="24"/>
                <w:lang w:eastAsia="ru-RU"/>
              </w:rPr>
            </w:pPr>
            <w:r w:rsidRPr="00752386">
              <w:rPr>
                <w:rFonts w:ascii="GHEA Grapalat" w:eastAsiaTheme="minorEastAsia" w:hAnsi="GHEA Grapalat"/>
                <w:b/>
                <w:sz w:val="24"/>
                <w:szCs w:val="24"/>
                <w:shd w:val="clear" w:color="auto" w:fill="FFFFFF"/>
                <w:lang w:val="hy-AM" w:eastAsia="ru-RU"/>
              </w:rPr>
              <w:t>2050</w:t>
            </w:r>
            <w:r w:rsidRPr="00752386">
              <w:rPr>
                <w:rFonts w:ascii="GHEA Grapalat" w:eastAsiaTheme="minorEastAsia" w:hAnsi="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Հայաստանի</w:t>
            </w:r>
            <w:r w:rsidRPr="00752386">
              <w:rPr>
                <w:rFonts w:ascii="GHEA Grapalat" w:eastAsiaTheme="minorEastAsia" w:hAnsi="GHEA Grapalat" w:cs="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վերափոխման</w:t>
            </w:r>
            <w:r w:rsidRPr="00752386">
              <w:rPr>
                <w:rFonts w:ascii="GHEA Grapalat" w:eastAsiaTheme="minorEastAsia" w:hAnsi="GHEA Grapalat" w:cs="GHEA Grapalat"/>
                <w:b/>
                <w:sz w:val="24"/>
                <w:szCs w:val="24"/>
                <w:shd w:val="clear" w:color="auto" w:fill="FFFFFF"/>
                <w:lang w:eastAsia="ru-RU"/>
              </w:rPr>
              <w:t xml:space="preserve"> </w:t>
            </w:r>
            <w:r w:rsidRPr="00752386">
              <w:rPr>
                <w:rFonts w:ascii="GHEA Grapalat" w:eastAsiaTheme="minorEastAsia" w:hAnsi="GHEA Grapalat" w:cs="GHEA Grapalat"/>
                <w:b/>
                <w:sz w:val="24"/>
                <w:szCs w:val="24"/>
                <w:shd w:val="clear" w:color="auto" w:fill="FFFFFF"/>
                <w:lang w:val="hy-AM" w:eastAsia="ru-RU"/>
              </w:rPr>
              <w:t>ռազմավարություն</w:t>
            </w:r>
            <w:r w:rsidRPr="00752386">
              <w:rPr>
                <w:rFonts w:ascii="GHEA Grapalat" w:eastAsiaTheme="minorEastAsia" w:hAnsi="GHEA Grapalat"/>
                <w:b/>
                <w:sz w:val="24"/>
                <w:szCs w:val="24"/>
                <w:shd w:val="clear" w:color="auto" w:fill="FFFFFF"/>
                <w:lang w:val="hy-AM" w:eastAsia="ru-RU"/>
              </w:rPr>
              <w:t>, Կառավարության 2021-2026թթ. ծրագիր, ոլորտային և/կամ այլ ռազմավարություններ</w:t>
            </w:r>
          </w:p>
        </w:tc>
      </w:tr>
      <w:tr w:rsidR="007A3EAF" w:rsidRPr="00752386" w:rsidTr="00EB77CD">
        <w:tc>
          <w:tcPr>
            <w:tcW w:w="962"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jc w:val="both"/>
              <w:textAlignment w:val="baseline"/>
              <w:rPr>
                <w:rFonts w:ascii="GHEA Grapalat" w:eastAsiaTheme="minorEastAsia" w:hAnsi="GHEA Grapalat" w:cs="GHEA Grapalat"/>
                <w:b/>
                <w:lang w:eastAsia="ru-RU"/>
              </w:rPr>
            </w:pPr>
          </w:p>
        </w:tc>
        <w:tc>
          <w:tcPr>
            <w:tcW w:w="9506" w:type="dxa"/>
            <w:shd w:val="clear" w:color="auto" w:fill="FFFFFF"/>
            <w:tcMar>
              <w:top w:w="75" w:type="dxa"/>
              <w:left w:w="120" w:type="dxa"/>
              <w:bottom w:w="75" w:type="dxa"/>
              <w:right w:w="120" w:type="dxa"/>
            </w:tcMar>
            <w:vAlign w:val="bottom"/>
            <w:hideMark/>
          </w:tcPr>
          <w:p w:rsidR="007A3EAF" w:rsidRPr="00752386" w:rsidRDefault="007A3EAF" w:rsidP="00EB77CD">
            <w:pPr>
              <w:spacing w:after="0" w:line="360" w:lineRule="auto"/>
              <w:ind w:right="23" w:firstLine="720"/>
              <w:jc w:val="both"/>
              <w:rPr>
                <w:rFonts w:ascii="GHEA Grapalat" w:eastAsia="Times New Roman" w:hAnsi="GHEA Grapalat" w:cs="GHEA Grapalat"/>
                <w:sz w:val="24"/>
                <w:szCs w:val="24"/>
                <w:lang w:val="hy-AM" w:eastAsia="ru-RU"/>
              </w:rPr>
            </w:pPr>
            <w:r w:rsidRPr="00752386">
              <w:rPr>
                <w:rFonts w:ascii="GHEA Grapalat" w:eastAsiaTheme="minorEastAsia" w:hAnsi="GHEA Grapalat"/>
                <w:sz w:val="24"/>
                <w:szCs w:val="24"/>
                <w:lang w:val="hy-AM" w:eastAsia="ru-RU"/>
              </w:rPr>
              <w:t>Նախագիծը բխում է 2050</w:t>
            </w:r>
            <w:r w:rsidRPr="00752386">
              <w:rPr>
                <w:rFonts w:ascii="GHEA Grapalat" w:eastAsiaTheme="minorEastAsia" w:hAnsi="GHEA Grapalat"/>
                <w:sz w:val="24"/>
                <w:szCs w:val="24"/>
                <w:lang w:eastAsia="ru-RU"/>
              </w:rPr>
              <w:t xml:space="preserve"> </w:t>
            </w:r>
            <w:r w:rsidRPr="00752386">
              <w:rPr>
                <w:rFonts w:ascii="GHEA Grapalat" w:eastAsiaTheme="minorEastAsia" w:hAnsi="GHEA Grapalat"/>
                <w:sz w:val="24"/>
                <w:szCs w:val="24"/>
                <w:lang w:val="hy-AM" w:eastAsia="ru-RU"/>
              </w:rPr>
              <w:t xml:space="preserve">Հայաստանի վերափոխման ռազմավարության </w:t>
            </w:r>
            <w:r w:rsidRPr="00752386">
              <w:rPr>
                <w:rFonts w:ascii="GHEA Grapalat" w:eastAsia="Times New Roman" w:hAnsi="GHEA Grapalat" w:cs="GHEA Grapalat"/>
                <w:sz w:val="24"/>
                <w:szCs w:val="24"/>
                <w:lang w:eastAsia="ru-RU"/>
              </w:rPr>
              <w:t>«</w:t>
            </w:r>
            <w:proofErr w:type="spellStart"/>
            <w:r w:rsidRPr="00752386">
              <w:rPr>
                <w:rFonts w:ascii="GHEA Grapalat" w:eastAsiaTheme="minorEastAsia" w:hAnsi="GHEA Grapalat"/>
                <w:sz w:val="24"/>
                <w:szCs w:val="24"/>
                <w:lang w:eastAsia="ru-RU"/>
              </w:rPr>
              <w:t>Կիրթ</w:t>
            </w:r>
            <w:proofErr w:type="spellEnd"/>
            <w:r w:rsidRPr="00752386">
              <w:rPr>
                <w:rFonts w:ascii="GHEA Grapalat" w:eastAsiaTheme="minorEastAsia" w:hAnsi="GHEA Grapalat"/>
                <w:sz w:val="24"/>
                <w:szCs w:val="24"/>
                <w:lang w:eastAsia="ru-RU"/>
              </w:rPr>
              <w:t xml:space="preserve"> և </w:t>
            </w:r>
            <w:proofErr w:type="spellStart"/>
            <w:r w:rsidRPr="00752386">
              <w:rPr>
                <w:rFonts w:ascii="GHEA Grapalat" w:eastAsiaTheme="minorEastAsia" w:hAnsi="GHEA Grapalat"/>
                <w:sz w:val="24"/>
                <w:szCs w:val="24"/>
                <w:lang w:eastAsia="ru-RU"/>
              </w:rPr>
              <w:t>կարողունակ</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eastAsia="ru-RU"/>
              </w:rPr>
              <w:t>քաղաքացի</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eastAsia="ru-RU"/>
              </w:rPr>
              <w:t>ժողովուրդ</w:t>
            </w:r>
            <w:proofErr w:type="spellEnd"/>
            <w:r w:rsidRPr="00752386">
              <w:rPr>
                <w:rFonts w:ascii="GHEA Grapalat" w:eastAsia="Times New Roman" w:hAnsi="GHEA Grapalat" w:cs="GHEA Grapalat"/>
                <w:sz w:val="24"/>
                <w:szCs w:val="24"/>
                <w:lang w:eastAsia="ru-RU"/>
              </w:rPr>
              <w:t>»</w:t>
            </w:r>
            <w:r w:rsidRPr="00752386">
              <w:rPr>
                <w:rFonts w:ascii="GHEA Grapalat" w:eastAsiaTheme="minorEastAsia" w:hAnsi="GHEA Grapalat"/>
                <w:sz w:val="24"/>
                <w:szCs w:val="24"/>
                <w:lang w:val="hy-AM" w:eastAsia="ru-RU"/>
              </w:rPr>
              <w:t xml:space="preserve"> </w:t>
            </w:r>
            <w:r w:rsidRPr="00752386">
              <w:rPr>
                <w:rFonts w:ascii="GHEA Grapalat" w:eastAsiaTheme="minorEastAsia" w:hAnsi="GHEA Grapalat"/>
                <w:sz w:val="24"/>
                <w:szCs w:val="24"/>
                <w:lang w:eastAsia="ru-RU"/>
              </w:rPr>
              <w:t>1-</w:t>
            </w:r>
            <w:proofErr w:type="spellStart"/>
            <w:r w:rsidRPr="00752386">
              <w:rPr>
                <w:rFonts w:ascii="GHEA Grapalat" w:eastAsiaTheme="minorEastAsia" w:hAnsi="GHEA Grapalat"/>
                <w:sz w:val="24"/>
                <w:szCs w:val="24"/>
                <w:lang w:eastAsia="ru-RU"/>
              </w:rPr>
              <w:t>ին</w:t>
            </w:r>
            <w:proofErr w:type="spellEnd"/>
            <w:r w:rsidRPr="00752386">
              <w:rPr>
                <w:rFonts w:ascii="GHEA Grapalat" w:eastAsiaTheme="minorEastAsia" w:hAnsi="GHEA Grapalat"/>
                <w:sz w:val="24"/>
                <w:szCs w:val="24"/>
                <w:lang w:val="hy-AM" w:eastAsia="ru-RU"/>
              </w:rPr>
              <w:t xml:space="preserve"> մեգանպատակից և</w:t>
            </w:r>
            <w:r w:rsidRPr="00752386">
              <w:rPr>
                <w:rFonts w:ascii="GHEA Grapalat" w:eastAsiaTheme="minorEastAsia" w:hAnsi="GHEA Grapalat"/>
                <w:sz w:val="24"/>
                <w:szCs w:val="24"/>
                <w:lang w:eastAsia="ru-RU"/>
              </w:rPr>
              <w:t xml:space="preserve"> </w:t>
            </w:r>
            <w:r w:rsidRPr="00752386">
              <w:rPr>
                <w:rFonts w:ascii="GHEA Grapalat" w:eastAsiaTheme="minorEastAsia" w:hAnsi="GHEA Grapalat"/>
                <w:sz w:val="24"/>
                <w:szCs w:val="24"/>
                <w:lang w:val="hy-AM" w:eastAsia="ru-RU"/>
              </w:rPr>
              <w:t xml:space="preserve">ՀՀ կառավարության 2021-2026թթ. ծրագրի </w:t>
            </w:r>
            <w:r w:rsidRPr="00752386">
              <w:rPr>
                <w:rFonts w:ascii="GHEA Grapalat" w:eastAsiaTheme="minorEastAsia" w:hAnsi="GHEA Grapalat"/>
                <w:sz w:val="24"/>
                <w:szCs w:val="24"/>
                <w:lang w:eastAsia="ru-RU"/>
              </w:rPr>
              <w:t>4.3</w:t>
            </w:r>
            <w:r w:rsidRPr="00752386">
              <w:rPr>
                <w:rFonts w:ascii="GHEA Grapalat" w:eastAsiaTheme="minorEastAsia" w:hAnsi="GHEA Grapalat"/>
                <w:sz w:val="24"/>
                <w:szCs w:val="24"/>
                <w:lang w:val="hy-AM" w:eastAsia="ru-RU"/>
              </w:rPr>
              <w:t xml:space="preserve">-րդ գլխով սահմանված </w:t>
            </w:r>
            <w:proofErr w:type="spellStart"/>
            <w:r w:rsidRPr="00752386">
              <w:rPr>
                <w:rFonts w:ascii="GHEA Grapalat" w:eastAsiaTheme="minorEastAsia" w:hAnsi="GHEA Grapalat"/>
                <w:sz w:val="24"/>
                <w:szCs w:val="24"/>
                <w:lang w:val="ru-RU" w:eastAsia="ru-RU"/>
              </w:rPr>
              <w:t>բարձրագույն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կրթության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ոլորտի</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բարեփոխմանը</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միտված</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բարձրագույն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ուսումնական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հաստատություններ</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ընդունելության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սկզբունքների</w:t>
            </w:r>
            <w:proofErr w:type="spellEnd"/>
            <w:r w:rsidRPr="00752386">
              <w:rPr>
                <w:rFonts w:ascii="GHEA Grapalat" w:eastAsiaTheme="minorEastAsia" w:hAnsi="GHEA Grapalat"/>
                <w:sz w:val="24"/>
                <w:szCs w:val="24"/>
                <w:lang w:eastAsia="ru-RU"/>
              </w:rPr>
              <w:t xml:space="preserve"> </w:t>
            </w:r>
            <w:r w:rsidRPr="00752386">
              <w:rPr>
                <w:rFonts w:ascii="GHEA Grapalat" w:eastAsiaTheme="minorEastAsia" w:hAnsi="GHEA Grapalat"/>
                <w:sz w:val="24"/>
                <w:szCs w:val="24"/>
                <w:lang w:val="ru-RU" w:eastAsia="ru-RU"/>
              </w:rPr>
              <w:t>և</w:t>
            </w:r>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մեխանիզմների</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վերանայման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ռազմավարական</w:t>
            </w:r>
            <w:proofErr w:type="spellEnd"/>
            <w:r w:rsidRPr="00752386">
              <w:rPr>
                <w:rFonts w:ascii="GHEA Grapalat" w:eastAsiaTheme="minorEastAsia" w:hAnsi="GHEA Grapalat"/>
                <w:sz w:val="24"/>
                <w:szCs w:val="24"/>
                <w:lang w:eastAsia="ru-RU"/>
              </w:rPr>
              <w:t xml:space="preserve"> </w:t>
            </w:r>
            <w:proofErr w:type="spellStart"/>
            <w:r w:rsidRPr="00752386">
              <w:rPr>
                <w:rFonts w:ascii="GHEA Grapalat" w:eastAsiaTheme="minorEastAsia" w:hAnsi="GHEA Grapalat"/>
                <w:sz w:val="24"/>
                <w:szCs w:val="24"/>
                <w:lang w:val="ru-RU" w:eastAsia="ru-RU"/>
              </w:rPr>
              <w:t>նպատակներից</w:t>
            </w:r>
            <w:proofErr w:type="spellEnd"/>
            <w:r w:rsidRPr="00752386">
              <w:rPr>
                <w:rFonts w:ascii="GHEA Grapalat" w:eastAsiaTheme="minorEastAsia" w:hAnsi="GHEA Grapalat"/>
                <w:sz w:val="24"/>
                <w:szCs w:val="24"/>
                <w:lang w:val="hy-AM" w:eastAsia="ru-RU"/>
              </w:rPr>
              <w:t>:</w:t>
            </w:r>
          </w:p>
        </w:tc>
      </w:tr>
    </w:tbl>
    <w:p w:rsidR="00B6721D" w:rsidRPr="007A3EAF" w:rsidRDefault="00B6721D" w:rsidP="007A3EAF">
      <w:pPr>
        <w:rPr>
          <w:lang w:val="hy-AM"/>
        </w:rPr>
      </w:pPr>
    </w:p>
    <w:sectPr w:rsidR="00B6721D" w:rsidRPr="007A3EAF" w:rsidSect="008D2921">
      <w:headerReference w:type="even" r:id="rId7"/>
      <w:footerReference w:type="default" r:id="rId8"/>
      <w:pgSz w:w="11909" w:h="16834" w:code="9"/>
      <w:pgMar w:top="851" w:right="794" w:bottom="567" w:left="794"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83" w:rsidRDefault="00397283">
      <w:r>
        <w:separator/>
      </w:r>
    </w:p>
  </w:endnote>
  <w:endnote w:type="continuationSeparator" w:id="0">
    <w:p w:rsidR="00397283" w:rsidRDefault="003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1D" w:rsidRDefault="00677C1D" w:rsidP="00F65C9E">
    <w:pPr>
      <w:pStyle w:val="30"/>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83" w:rsidRDefault="00397283">
      <w:r>
        <w:separator/>
      </w:r>
    </w:p>
  </w:footnote>
  <w:footnote w:type="continuationSeparator" w:id="0">
    <w:p w:rsidR="00397283" w:rsidRDefault="0039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1D" w:rsidRDefault="00677C1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D0554"/>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94067F"/>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B6D5B"/>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30738"/>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D0552C"/>
    <w:multiLevelType w:val="hybridMultilevel"/>
    <w:tmpl w:val="1B40E894"/>
    <w:lvl w:ilvl="0" w:tplc="D568AF92">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0E422B"/>
    <w:multiLevelType w:val="hybridMultilevel"/>
    <w:tmpl w:val="5E0A3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83E55C3"/>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9"/>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
  </w:num>
  <w:num w:numId="14">
    <w:abstractNumId w:val="2"/>
  </w:num>
  <w:num w:numId="15">
    <w:abstractNumId w:val="16"/>
  </w:num>
  <w:num w:numId="16">
    <w:abstractNumId w:val="15"/>
  </w:num>
  <w:num w:numId="17">
    <w:abstractNumId w:val="11"/>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0157E"/>
    <w:rsid w:val="00010718"/>
    <w:rsid w:val="00021F68"/>
    <w:rsid w:val="0003426F"/>
    <w:rsid w:val="0004054D"/>
    <w:rsid w:val="00042D90"/>
    <w:rsid w:val="00050CCE"/>
    <w:rsid w:val="000526D5"/>
    <w:rsid w:val="000537F9"/>
    <w:rsid w:val="00061CA3"/>
    <w:rsid w:val="00062054"/>
    <w:rsid w:val="00065F5A"/>
    <w:rsid w:val="00072676"/>
    <w:rsid w:val="00085527"/>
    <w:rsid w:val="000C50B0"/>
    <w:rsid w:val="000D1DCA"/>
    <w:rsid w:val="000E06E7"/>
    <w:rsid w:val="000E2393"/>
    <w:rsid w:val="000E56A3"/>
    <w:rsid w:val="000E65ED"/>
    <w:rsid w:val="000F1BF3"/>
    <w:rsid w:val="001135A5"/>
    <w:rsid w:val="001154EC"/>
    <w:rsid w:val="00125AF2"/>
    <w:rsid w:val="00126083"/>
    <w:rsid w:val="00137C0A"/>
    <w:rsid w:val="001402A4"/>
    <w:rsid w:val="001454EC"/>
    <w:rsid w:val="00151E35"/>
    <w:rsid w:val="001526EC"/>
    <w:rsid w:val="001601EB"/>
    <w:rsid w:val="00172A8B"/>
    <w:rsid w:val="00176076"/>
    <w:rsid w:val="00176C18"/>
    <w:rsid w:val="0019148C"/>
    <w:rsid w:val="001A02C6"/>
    <w:rsid w:val="001A30F8"/>
    <w:rsid w:val="001A7186"/>
    <w:rsid w:val="001C26C0"/>
    <w:rsid w:val="001C6BB0"/>
    <w:rsid w:val="001E087A"/>
    <w:rsid w:val="001E27CB"/>
    <w:rsid w:val="001E2BE4"/>
    <w:rsid w:val="001F0814"/>
    <w:rsid w:val="001F7787"/>
    <w:rsid w:val="00202449"/>
    <w:rsid w:val="0021163B"/>
    <w:rsid w:val="002117C0"/>
    <w:rsid w:val="00214600"/>
    <w:rsid w:val="00215A82"/>
    <w:rsid w:val="00215E2E"/>
    <w:rsid w:val="00224DF6"/>
    <w:rsid w:val="002379EA"/>
    <w:rsid w:val="00240301"/>
    <w:rsid w:val="00244D87"/>
    <w:rsid w:val="00256719"/>
    <w:rsid w:val="00257486"/>
    <w:rsid w:val="00260E0C"/>
    <w:rsid w:val="00267621"/>
    <w:rsid w:val="00283EC6"/>
    <w:rsid w:val="00287611"/>
    <w:rsid w:val="002953C4"/>
    <w:rsid w:val="002A0287"/>
    <w:rsid w:val="002A1CFC"/>
    <w:rsid w:val="002A2DF8"/>
    <w:rsid w:val="002B1B6D"/>
    <w:rsid w:val="002B52F6"/>
    <w:rsid w:val="002C1C03"/>
    <w:rsid w:val="002E306D"/>
    <w:rsid w:val="002E7559"/>
    <w:rsid w:val="002F4EA2"/>
    <w:rsid w:val="003031F3"/>
    <w:rsid w:val="00305C0E"/>
    <w:rsid w:val="00306322"/>
    <w:rsid w:val="00345BB6"/>
    <w:rsid w:val="00345E26"/>
    <w:rsid w:val="0037380F"/>
    <w:rsid w:val="003751DE"/>
    <w:rsid w:val="00393583"/>
    <w:rsid w:val="00397283"/>
    <w:rsid w:val="003A2592"/>
    <w:rsid w:val="003B2394"/>
    <w:rsid w:val="003B6624"/>
    <w:rsid w:val="003C1E7B"/>
    <w:rsid w:val="003C273C"/>
    <w:rsid w:val="003F1794"/>
    <w:rsid w:val="00441BC3"/>
    <w:rsid w:val="00457C27"/>
    <w:rsid w:val="00476212"/>
    <w:rsid w:val="00476D8C"/>
    <w:rsid w:val="00487693"/>
    <w:rsid w:val="00492388"/>
    <w:rsid w:val="00495C6A"/>
    <w:rsid w:val="004975CD"/>
    <w:rsid w:val="004B3BB1"/>
    <w:rsid w:val="004B7C13"/>
    <w:rsid w:val="004C75D6"/>
    <w:rsid w:val="004D3366"/>
    <w:rsid w:val="004E5EC7"/>
    <w:rsid w:val="004E60CA"/>
    <w:rsid w:val="004F1E05"/>
    <w:rsid w:val="004F2998"/>
    <w:rsid w:val="004F339E"/>
    <w:rsid w:val="004F4A01"/>
    <w:rsid w:val="004F4B78"/>
    <w:rsid w:val="0050407A"/>
    <w:rsid w:val="00505C99"/>
    <w:rsid w:val="0050796F"/>
    <w:rsid w:val="005155FA"/>
    <w:rsid w:val="00525A85"/>
    <w:rsid w:val="00531777"/>
    <w:rsid w:val="0054162F"/>
    <w:rsid w:val="005433CD"/>
    <w:rsid w:val="00546CC2"/>
    <w:rsid w:val="0055041F"/>
    <w:rsid w:val="005537C3"/>
    <w:rsid w:val="0055608C"/>
    <w:rsid w:val="00560517"/>
    <w:rsid w:val="0056185E"/>
    <w:rsid w:val="00561DC7"/>
    <w:rsid w:val="00567DFD"/>
    <w:rsid w:val="005A329B"/>
    <w:rsid w:val="005A637B"/>
    <w:rsid w:val="005B18E3"/>
    <w:rsid w:val="005B51E8"/>
    <w:rsid w:val="005C08FA"/>
    <w:rsid w:val="005E527C"/>
    <w:rsid w:val="006068B7"/>
    <w:rsid w:val="00613200"/>
    <w:rsid w:val="00621224"/>
    <w:rsid w:val="00621E16"/>
    <w:rsid w:val="0066076D"/>
    <w:rsid w:val="00660A08"/>
    <w:rsid w:val="00661674"/>
    <w:rsid w:val="006644E2"/>
    <w:rsid w:val="0067675E"/>
    <w:rsid w:val="00677C1D"/>
    <w:rsid w:val="00680A67"/>
    <w:rsid w:val="00685AD7"/>
    <w:rsid w:val="006B6AAE"/>
    <w:rsid w:val="006C1D88"/>
    <w:rsid w:val="006D3494"/>
    <w:rsid w:val="006D6D36"/>
    <w:rsid w:val="006E2221"/>
    <w:rsid w:val="006F1E29"/>
    <w:rsid w:val="007045C5"/>
    <w:rsid w:val="00711279"/>
    <w:rsid w:val="00722764"/>
    <w:rsid w:val="007272F1"/>
    <w:rsid w:val="007361DC"/>
    <w:rsid w:val="00752386"/>
    <w:rsid w:val="007611F0"/>
    <w:rsid w:val="0076537A"/>
    <w:rsid w:val="007703EA"/>
    <w:rsid w:val="00785B06"/>
    <w:rsid w:val="00786D28"/>
    <w:rsid w:val="007A3EAF"/>
    <w:rsid w:val="007A5753"/>
    <w:rsid w:val="007B1606"/>
    <w:rsid w:val="007B16BE"/>
    <w:rsid w:val="007C4149"/>
    <w:rsid w:val="007C4A19"/>
    <w:rsid w:val="007D2857"/>
    <w:rsid w:val="007D6359"/>
    <w:rsid w:val="007E2B21"/>
    <w:rsid w:val="007E3D92"/>
    <w:rsid w:val="007F67A6"/>
    <w:rsid w:val="00800BD6"/>
    <w:rsid w:val="008065E2"/>
    <w:rsid w:val="0082130D"/>
    <w:rsid w:val="00821B44"/>
    <w:rsid w:val="00826402"/>
    <w:rsid w:val="008275CD"/>
    <w:rsid w:val="0083641A"/>
    <w:rsid w:val="008708B2"/>
    <w:rsid w:val="008752B5"/>
    <w:rsid w:val="00880207"/>
    <w:rsid w:val="00891AC5"/>
    <w:rsid w:val="00895B19"/>
    <w:rsid w:val="008A3463"/>
    <w:rsid w:val="008A4706"/>
    <w:rsid w:val="008B7D6F"/>
    <w:rsid w:val="008C2884"/>
    <w:rsid w:val="008C64D6"/>
    <w:rsid w:val="008C6B24"/>
    <w:rsid w:val="008D2921"/>
    <w:rsid w:val="008D51EC"/>
    <w:rsid w:val="008D6B4E"/>
    <w:rsid w:val="008D6D8E"/>
    <w:rsid w:val="008E1D92"/>
    <w:rsid w:val="008E751C"/>
    <w:rsid w:val="00924479"/>
    <w:rsid w:val="00931FBC"/>
    <w:rsid w:val="0096392E"/>
    <w:rsid w:val="00971EF4"/>
    <w:rsid w:val="009774B0"/>
    <w:rsid w:val="00977F12"/>
    <w:rsid w:val="009808FC"/>
    <w:rsid w:val="009822ED"/>
    <w:rsid w:val="00984BA8"/>
    <w:rsid w:val="00987822"/>
    <w:rsid w:val="00995938"/>
    <w:rsid w:val="009A2C91"/>
    <w:rsid w:val="009A6751"/>
    <w:rsid w:val="009C673D"/>
    <w:rsid w:val="009D3123"/>
    <w:rsid w:val="009D6F27"/>
    <w:rsid w:val="009F1C24"/>
    <w:rsid w:val="009F2EDD"/>
    <w:rsid w:val="009F437D"/>
    <w:rsid w:val="009F5723"/>
    <w:rsid w:val="00A40F45"/>
    <w:rsid w:val="00A421FB"/>
    <w:rsid w:val="00A43D23"/>
    <w:rsid w:val="00A52BE3"/>
    <w:rsid w:val="00A60771"/>
    <w:rsid w:val="00A60911"/>
    <w:rsid w:val="00A65CB3"/>
    <w:rsid w:val="00A67779"/>
    <w:rsid w:val="00A748B0"/>
    <w:rsid w:val="00A8163B"/>
    <w:rsid w:val="00A8326B"/>
    <w:rsid w:val="00A859A6"/>
    <w:rsid w:val="00A919B1"/>
    <w:rsid w:val="00A92044"/>
    <w:rsid w:val="00A97A5C"/>
    <w:rsid w:val="00AA0D76"/>
    <w:rsid w:val="00AA1576"/>
    <w:rsid w:val="00AB7B91"/>
    <w:rsid w:val="00AC22FA"/>
    <w:rsid w:val="00AC4DB5"/>
    <w:rsid w:val="00AD6F80"/>
    <w:rsid w:val="00AF323B"/>
    <w:rsid w:val="00AF3A9E"/>
    <w:rsid w:val="00B105C2"/>
    <w:rsid w:val="00B17721"/>
    <w:rsid w:val="00B42349"/>
    <w:rsid w:val="00B43B14"/>
    <w:rsid w:val="00B44EC4"/>
    <w:rsid w:val="00B511EC"/>
    <w:rsid w:val="00B665EE"/>
    <w:rsid w:val="00B6721D"/>
    <w:rsid w:val="00B84D00"/>
    <w:rsid w:val="00B9334A"/>
    <w:rsid w:val="00B96F5A"/>
    <w:rsid w:val="00BA0119"/>
    <w:rsid w:val="00BA0750"/>
    <w:rsid w:val="00BB10E5"/>
    <w:rsid w:val="00BB14C4"/>
    <w:rsid w:val="00BC74BB"/>
    <w:rsid w:val="00BE2273"/>
    <w:rsid w:val="00BE4E07"/>
    <w:rsid w:val="00BE588F"/>
    <w:rsid w:val="00BE7B34"/>
    <w:rsid w:val="00BF0EED"/>
    <w:rsid w:val="00C022AA"/>
    <w:rsid w:val="00C214EE"/>
    <w:rsid w:val="00C26516"/>
    <w:rsid w:val="00C27ACC"/>
    <w:rsid w:val="00C33027"/>
    <w:rsid w:val="00C352C6"/>
    <w:rsid w:val="00C367D6"/>
    <w:rsid w:val="00C63D1C"/>
    <w:rsid w:val="00C737C0"/>
    <w:rsid w:val="00C76EB0"/>
    <w:rsid w:val="00C8177B"/>
    <w:rsid w:val="00C82A05"/>
    <w:rsid w:val="00C83884"/>
    <w:rsid w:val="00C92213"/>
    <w:rsid w:val="00CA724A"/>
    <w:rsid w:val="00CB726E"/>
    <w:rsid w:val="00CC0067"/>
    <w:rsid w:val="00CD4AA6"/>
    <w:rsid w:val="00CD6AF9"/>
    <w:rsid w:val="00CE6E15"/>
    <w:rsid w:val="00CF46A8"/>
    <w:rsid w:val="00CF733C"/>
    <w:rsid w:val="00D00457"/>
    <w:rsid w:val="00D02AEE"/>
    <w:rsid w:val="00D11909"/>
    <w:rsid w:val="00D1426A"/>
    <w:rsid w:val="00D163A7"/>
    <w:rsid w:val="00D22231"/>
    <w:rsid w:val="00D27524"/>
    <w:rsid w:val="00D433AC"/>
    <w:rsid w:val="00D4460A"/>
    <w:rsid w:val="00D606AC"/>
    <w:rsid w:val="00D64CA1"/>
    <w:rsid w:val="00D66668"/>
    <w:rsid w:val="00D826FD"/>
    <w:rsid w:val="00D958EC"/>
    <w:rsid w:val="00DA0A31"/>
    <w:rsid w:val="00DB24F4"/>
    <w:rsid w:val="00DC343A"/>
    <w:rsid w:val="00DC6FAF"/>
    <w:rsid w:val="00DE0783"/>
    <w:rsid w:val="00DE46C0"/>
    <w:rsid w:val="00DF0540"/>
    <w:rsid w:val="00DF1177"/>
    <w:rsid w:val="00DF2E0D"/>
    <w:rsid w:val="00DF3FEF"/>
    <w:rsid w:val="00DF572D"/>
    <w:rsid w:val="00DF7832"/>
    <w:rsid w:val="00E0198F"/>
    <w:rsid w:val="00E052D7"/>
    <w:rsid w:val="00E21BAE"/>
    <w:rsid w:val="00E27E16"/>
    <w:rsid w:val="00E435BB"/>
    <w:rsid w:val="00E50939"/>
    <w:rsid w:val="00E63762"/>
    <w:rsid w:val="00E65FDC"/>
    <w:rsid w:val="00E754F7"/>
    <w:rsid w:val="00E87E5D"/>
    <w:rsid w:val="00E914A0"/>
    <w:rsid w:val="00E9797F"/>
    <w:rsid w:val="00E97995"/>
    <w:rsid w:val="00EA7AF9"/>
    <w:rsid w:val="00EB2F05"/>
    <w:rsid w:val="00EB452D"/>
    <w:rsid w:val="00EB63C2"/>
    <w:rsid w:val="00EC0EA6"/>
    <w:rsid w:val="00EC68B1"/>
    <w:rsid w:val="00EC6A78"/>
    <w:rsid w:val="00ED09ED"/>
    <w:rsid w:val="00ED1CDB"/>
    <w:rsid w:val="00EE77A5"/>
    <w:rsid w:val="00EE7864"/>
    <w:rsid w:val="00EF7129"/>
    <w:rsid w:val="00F00B75"/>
    <w:rsid w:val="00F15F05"/>
    <w:rsid w:val="00F20742"/>
    <w:rsid w:val="00F22530"/>
    <w:rsid w:val="00F23051"/>
    <w:rsid w:val="00F2717E"/>
    <w:rsid w:val="00F278F0"/>
    <w:rsid w:val="00F42977"/>
    <w:rsid w:val="00F555A1"/>
    <w:rsid w:val="00F65C9E"/>
    <w:rsid w:val="00F67069"/>
    <w:rsid w:val="00F713ED"/>
    <w:rsid w:val="00F76B64"/>
    <w:rsid w:val="00F84F22"/>
    <w:rsid w:val="00F85913"/>
    <w:rsid w:val="00FA4B67"/>
    <w:rsid w:val="00FA67CB"/>
    <w:rsid w:val="00FA7547"/>
    <w:rsid w:val="00FB6301"/>
    <w:rsid w:val="00FC6184"/>
    <w:rsid w:val="00FC7079"/>
    <w:rsid w:val="00FD1040"/>
    <w:rsid w:val="00FD25DA"/>
    <w:rsid w:val="00FD2B6E"/>
    <w:rsid w:val="00FD6CC8"/>
    <w:rsid w:val="00FD7571"/>
    <w:rsid w:val="00FE3606"/>
    <w:rsid w:val="00FF0FCA"/>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5BEB89-0003-4B35-82C7-E618C34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F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2">
    <w:name w:val="heading 2"/>
    <w:basedOn w:val="a"/>
    <w:next w:val="a"/>
    <w:link w:val="20"/>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3">
    <w:name w:val="heading 3"/>
    <w:basedOn w:val="a"/>
    <w:next w:val="a"/>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4">
    <w:name w:val="heading 4"/>
    <w:basedOn w:val="a"/>
    <w:next w:val="a"/>
    <w:link w:val="40"/>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5">
    <w:name w:val="heading 5"/>
    <w:basedOn w:val="a"/>
    <w:next w:val="a"/>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6">
    <w:name w:val="heading 6"/>
    <w:basedOn w:val="a"/>
    <w:next w:val="a"/>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7">
    <w:name w:val="heading 7"/>
    <w:basedOn w:val="a"/>
    <w:next w:val="a"/>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8">
    <w:name w:val="heading 8"/>
    <w:basedOn w:val="a"/>
    <w:next w:val="a"/>
    <w:link w:val="80"/>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9">
    <w:name w:val="heading 9"/>
    <w:basedOn w:val="a"/>
    <w:next w:val="a"/>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a4">
    <w:name w:val="Body Text"/>
    <w:basedOn w:val="a"/>
    <w:rsid w:val="0066076D"/>
    <w:pPr>
      <w:spacing w:after="0" w:line="360" w:lineRule="auto"/>
    </w:pPr>
    <w:rPr>
      <w:rFonts w:ascii="Times Armenian" w:eastAsia="Times New Roman" w:hAnsi="Times Armenian" w:cs="Times New Roman"/>
      <w:sz w:val="28"/>
      <w:szCs w:val="20"/>
      <w:lang w:val="en-GB" w:eastAsia="ru-RU"/>
    </w:rPr>
  </w:style>
  <w:style w:type="character" w:styleId="a5">
    <w:name w:val="Hyperlink"/>
    <w:basedOn w:val="a0"/>
    <w:rsid w:val="0066076D"/>
    <w:rPr>
      <w:color w:val="0000FF"/>
      <w:u w:val="single"/>
    </w:rPr>
  </w:style>
  <w:style w:type="paragraph" w:styleId="a6">
    <w:name w:val="Block Text"/>
    <w:basedOn w:val="a"/>
    <w:rsid w:val="0066076D"/>
    <w:pPr>
      <w:spacing w:after="0" w:line="240" w:lineRule="auto"/>
      <w:ind w:left="-709" w:right="-694"/>
    </w:pPr>
    <w:rPr>
      <w:rFonts w:ascii="Baltica" w:eastAsia="Times New Roman" w:hAnsi="Baltica" w:cs="Times New Roman"/>
      <w:sz w:val="18"/>
      <w:szCs w:val="20"/>
      <w:lang w:val="en-GB" w:eastAsia="ru-RU"/>
    </w:rPr>
  </w:style>
  <w:style w:type="paragraph" w:styleId="21">
    <w:name w:val="Body Text 2"/>
    <w:basedOn w:val="a"/>
    <w:rsid w:val="0066076D"/>
    <w:pPr>
      <w:spacing w:after="0" w:line="240" w:lineRule="auto"/>
    </w:pPr>
    <w:rPr>
      <w:rFonts w:ascii="Times New Roman" w:eastAsia="Times New Roman" w:hAnsi="Times New Roman" w:cs="Times New Roman"/>
      <w:sz w:val="18"/>
      <w:szCs w:val="20"/>
      <w:lang w:val="en-GB" w:eastAsia="ru-RU"/>
    </w:rPr>
  </w:style>
  <w:style w:type="paragraph" w:styleId="30">
    <w:name w:val="Body Text Indent 3"/>
    <w:basedOn w:val="a"/>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a"/>
    <w:rsid w:val="00F65C9E"/>
    <w:pPr>
      <w:spacing w:after="160" w:line="240" w:lineRule="exact"/>
    </w:pPr>
    <w:rPr>
      <w:rFonts w:ascii="Arial" w:eastAsia="Times New Roman" w:hAnsi="Arial" w:cs="Arial"/>
      <w:sz w:val="20"/>
      <w:szCs w:val="20"/>
    </w:rPr>
  </w:style>
  <w:style w:type="paragraph" w:styleId="a7">
    <w:name w:val="header"/>
    <w:basedOn w:val="a"/>
    <w:link w:val="a8"/>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a9">
    <w:name w:val="footer"/>
    <w:basedOn w:val="a"/>
    <w:link w:val="aa"/>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ab">
    <w:name w:val="Table Grid"/>
    <w:basedOn w:val="a1"/>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eastAsia="Times New Roman" w:hAnsi="Arial" w:cs="Arial"/>
      <w:sz w:val="20"/>
      <w:szCs w:val="20"/>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rsid w:val="00CA724A"/>
    <w:pPr>
      <w:spacing w:after="160" w:line="240" w:lineRule="exact"/>
    </w:pPr>
    <w:rPr>
      <w:rFonts w:ascii="Arial" w:eastAsia="Times New Roman" w:hAnsi="Arial" w:cs="Arial"/>
      <w:sz w:val="20"/>
      <w:szCs w:val="20"/>
    </w:rPr>
  </w:style>
  <w:style w:type="paragraph" w:styleId="ac">
    <w:name w:val="No Spacing"/>
    <w:uiPriority w:val="1"/>
    <w:qFormat/>
    <w:rsid w:val="009808FC"/>
    <w:rPr>
      <w:rFonts w:ascii="Calibri" w:hAnsi="Calibri"/>
      <w:sz w:val="22"/>
      <w:szCs w:val="22"/>
      <w:lang w:bidi="en-US"/>
    </w:rPr>
  </w:style>
  <w:style w:type="paragraph" w:styleId="ad">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e"/>
    <w:uiPriority w:val="34"/>
    <w:qFormat/>
    <w:rsid w:val="009808FC"/>
    <w:pPr>
      <w:spacing w:before="100"/>
      <w:ind w:left="720"/>
      <w:contextualSpacing/>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7D6359"/>
    <w:rPr>
      <w:lang w:val="en-GB" w:eastAsia="ru-RU"/>
    </w:rPr>
  </w:style>
  <w:style w:type="character" w:customStyle="1" w:styleId="aa">
    <w:name w:val="Нижний колонтитул Знак"/>
    <w:basedOn w:val="a0"/>
    <w:link w:val="a9"/>
    <w:uiPriority w:val="99"/>
    <w:rsid w:val="00D433AC"/>
    <w:rPr>
      <w:lang w:val="en-GB" w:eastAsia="ru-RU"/>
    </w:rPr>
  </w:style>
  <w:style w:type="numbering" w:customStyle="1" w:styleId="11">
    <w:name w:val="Нет списка1"/>
    <w:next w:val="a2"/>
    <w:uiPriority w:val="99"/>
    <w:semiHidden/>
    <w:unhideWhenUsed/>
    <w:rsid w:val="008E1D92"/>
  </w:style>
  <w:style w:type="paragraph" w:styleId="af">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a"/>
    <w:link w:val="af0"/>
    <w:uiPriority w:val="99"/>
    <w:unhideWhenUsed/>
    <w:qFormat/>
    <w:rsid w:val="008E1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8E1D92"/>
  </w:style>
  <w:style w:type="character" w:styleId="af1">
    <w:name w:val="Strong"/>
    <w:basedOn w:val="a0"/>
    <w:uiPriority w:val="22"/>
    <w:qFormat/>
    <w:rsid w:val="00AA1576"/>
    <w:rPr>
      <w:b/>
      <w:bCs/>
    </w:rPr>
  </w:style>
  <w:style w:type="character" w:customStyle="1" w:styleId="ae">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d"/>
    <w:uiPriority w:val="34"/>
    <w:locked/>
    <w:rsid w:val="00AA1576"/>
    <w:rPr>
      <w:rFonts w:ascii="Calibri" w:eastAsia="Calibri" w:hAnsi="Calibri"/>
    </w:rPr>
  </w:style>
  <w:style w:type="character" w:customStyle="1" w:styleId="af0">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Char Char Char Знак,Char Char Char Char Знак,Знак Знак2,webb Знак"/>
    <w:link w:val="af"/>
    <w:uiPriority w:val="99"/>
    <w:locked/>
    <w:rsid w:val="00AA15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15623462">
      <w:bodyDiv w:val="1"/>
      <w:marLeft w:val="0"/>
      <w:marRight w:val="0"/>
      <w:marTop w:val="0"/>
      <w:marBottom w:val="0"/>
      <w:divBdr>
        <w:top w:val="none" w:sz="0" w:space="0" w:color="auto"/>
        <w:left w:val="none" w:sz="0" w:space="0" w:color="auto"/>
        <w:bottom w:val="none" w:sz="0" w:space="0" w:color="auto"/>
        <w:right w:val="none" w:sz="0" w:space="0" w:color="auto"/>
      </w:divBdr>
    </w:div>
    <w:div w:id="259534009">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903</Words>
  <Characters>5152</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https://mul-edu.gov.am/tasks/docs/attachment.php?id=322774&amp;fn=Naxarar_blank.docx&amp;out=1&amp;token=</cp:keywords>
  <cp:lastModifiedBy>Arsen_2</cp:lastModifiedBy>
  <cp:revision>81</cp:revision>
  <dcterms:created xsi:type="dcterms:W3CDTF">2020-02-12T06:06:00Z</dcterms:created>
  <dcterms:modified xsi:type="dcterms:W3CDTF">2022-08-09T08:05:00Z</dcterms:modified>
</cp:coreProperties>
</file>