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86" w:rsidRPr="007949E9" w:rsidRDefault="00C33D86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color w:val="000000" w:themeColor="text1"/>
          <w:lang w:val="af-ZA"/>
        </w:rPr>
      </w:pPr>
    </w:p>
    <w:p w:rsidR="00C33D86" w:rsidRPr="007949E9" w:rsidRDefault="00C061A4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7949E9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C33D86" w:rsidRPr="007949E9" w:rsidRDefault="00C33D86">
      <w:pPr>
        <w:pStyle w:val="mechtex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672643" w:rsidRPr="007874E8" w:rsidRDefault="007874E8" w:rsidP="00672643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«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ՀԱՅԱՍՏԱՆԻ ՀԱՆՐԱՊԵՏՈՒԹՅԱՆ  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ԿԱՌԱՎԱՐՈՒԹՅԱՆ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20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ԹՎԱԿԱՆԻ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ԴԵԿՏԵՄԲԵՐԻ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23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N 21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ՄԵՋ ՓՈՓՈԽՈՒԹՅՈՒՆՆԵՐ </w:t>
      </w:r>
      <w:r w:rsidR="00F62B8E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ԿԱ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ՏԱՐԵԼՈՒ   </w:t>
      </w:r>
      <w:r w:rsidR="00672643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» ՈՐՈՇՄԱՆ ՆԱԽԱԳԾԻ ՎԵՐԱԲԵՐՅԱԼ</w:t>
      </w:r>
      <w:bookmarkStart w:id="0" w:name="_GoBack"/>
      <w:bookmarkEnd w:id="0"/>
    </w:p>
    <w:p w:rsidR="008F0BD0" w:rsidRPr="008F0BD0" w:rsidRDefault="00052CC6" w:rsidP="008F0BD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Իրավական ակտի</w:t>
      </w: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ընդունման </w:t>
      </w: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անհրաժեշտությունը</w:t>
      </w:r>
      <w:r w:rsidRPr="00E14B80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 (</w:t>
      </w: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նպատակը</w:t>
      </w:r>
      <w:r w:rsidRPr="00E14B8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)</w:t>
      </w:r>
    </w:p>
    <w:p w:rsidR="00CD402A" w:rsidRPr="00577A37" w:rsidRDefault="008F0BD0" w:rsidP="00CD402A">
      <w:pPr>
        <w:spacing w:after="0" w:line="360" w:lineRule="auto"/>
        <w:ind w:firstLine="533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77A37">
        <w:rPr>
          <w:rFonts w:ascii="GHEA Grapalat" w:hAnsi="GHEA Grapalat" w:cs="GHEA Grapalat"/>
          <w:sz w:val="24"/>
          <w:szCs w:val="24"/>
          <w:lang w:val="hy-AM"/>
        </w:rPr>
        <w:t>ՀՀ կառավարության որոշման նախագիծը բխում է ՀՀ բարձր տեխնոլոգիական արդյունաբերության նախարարության 1043 «Բարձր տեխնոլոգիական արդյունաբերության էկոհամակարգի, թվայնացման և շուկայի զարգացման» ծրագրի 11009 «Ձեռներեցության տեխնոլոգիական էկոհամակարգ» միջոցառման համար ՀՀ 2022թ պետական բյուջեով հատկացված միջոցների</w:t>
      </w:r>
      <w:r w:rsidR="00EE7735">
        <w:rPr>
          <w:rFonts w:ascii="GHEA Grapalat" w:hAnsi="GHEA Grapalat" w:cs="GHEA Grapalat"/>
          <w:sz w:val="24"/>
          <w:szCs w:val="24"/>
          <w:lang w:val="hy-AM"/>
        </w:rPr>
        <w:t>ց 100.0 մլն դրամի չափով</w:t>
      </w:r>
      <w:r w:rsidRPr="00577A37">
        <w:rPr>
          <w:rFonts w:ascii="GHEA Grapalat" w:hAnsi="GHEA Grapalat" w:cs="GHEA Grapalat"/>
          <w:sz w:val="24"/>
          <w:szCs w:val="24"/>
          <w:lang w:val="hy-AM"/>
        </w:rPr>
        <w:t xml:space="preserve"> ներծրագրային հոդվածային վերաբաշխում կատարելու անհրաժեշտությունից: </w:t>
      </w:r>
    </w:p>
    <w:p w:rsidR="008F0BD0" w:rsidRPr="00577A37" w:rsidRDefault="00CD402A" w:rsidP="00CD402A">
      <w:pPr>
        <w:spacing w:after="0" w:line="360" w:lineRule="auto"/>
        <w:ind w:firstLine="533"/>
        <w:jc w:val="both"/>
        <w:rPr>
          <w:rFonts w:ascii="GHEA Grapalat" w:hAnsi="GHEA Grapalat"/>
          <w:sz w:val="24"/>
          <w:szCs w:val="24"/>
          <w:lang w:val="af-ZA"/>
        </w:rPr>
      </w:pPr>
      <w:r w:rsidRPr="00577A37">
        <w:rPr>
          <w:rFonts w:ascii="GHEA Grapalat" w:hAnsi="GHEA Grapalat" w:cs="GHEA Grapalat"/>
          <w:sz w:val="24"/>
          <w:szCs w:val="24"/>
          <w:lang w:val="hy-AM"/>
        </w:rPr>
        <w:t>ՀՀ կառավարության 2022 թվականի մ</w:t>
      </w:r>
      <w:r w:rsidRPr="00577A3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այիսի 5-ի թիվ 640-Ն որոշմամբ նշված միջոցառման համար</w:t>
      </w:r>
      <w:r w:rsidR="00536DA0" w:rsidRPr="00577A3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նախատեսված գումարներն</w:t>
      </w:r>
      <w:r w:rsidRPr="00577A3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ուղղվել են տնտեսագիտական դասակարգման դրամաշնորհային հոդվածին, սակայն ներկայումս խնդիրներ են առաջացել </w:t>
      </w:r>
      <w:r w:rsidR="008F0BD0" w:rsidRPr="00577A37">
        <w:rPr>
          <w:rFonts w:ascii="GHEA Grapalat" w:hAnsi="GHEA Grapalat" w:cs="GHEA Grapalat"/>
          <w:sz w:val="24"/>
          <w:szCs w:val="24"/>
          <w:lang w:val="hy-AM"/>
        </w:rPr>
        <w:t>հիշյալ միջոցառման մաս կազմող «Ներուժ»</w:t>
      </w:r>
      <w:r w:rsidRPr="00577A37">
        <w:rPr>
          <w:rFonts w:ascii="GHEA Grapalat" w:hAnsi="GHEA Grapalat" w:cs="GHEA Grapalat"/>
          <w:sz w:val="24"/>
          <w:szCs w:val="24"/>
          <w:lang w:val="hy-AM"/>
        </w:rPr>
        <w:t xml:space="preserve"> բաղադրիչի իրականացման համար, որը </w:t>
      </w:r>
      <w:r w:rsidR="008F0BD0" w:rsidRPr="00577A37">
        <w:rPr>
          <w:rFonts w:ascii="GHEA Grapalat" w:hAnsi="GHEA Grapalat"/>
          <w:sz w:val="24"/>
          <w:szCs w:val="24"/>
          <w:lang w:val="hy-AM"/>
        </w:rPr>
        <w:t xml:space="preserve">նախատեսված է անցկացնել 2022 թվականի սեպտեմբերի 26-ից 30-ը: Ծրագրին մասնակցության հայտերի ընդունման մեկնարկը տրված է: Ներկայումս ակտիվորեն ընթանում են նաև միջոցառման կազմակերպչական աշխատանքները: Մեկնարկել է միջոցառման բովանդակային մասի կազմակերպման մրցույթը, որի շրջանակում հայտերի ընդունման ամփոփումը տեղի կունենա </w:t>
      </w:r>
      <w:r w:rsidRPr="00577A37">
        <w:rPr>
          <w:rFonts w:ascii="GHEA Grapalat" w:hAnsi="GHEA Grapalat"/>
          <w:sz w:val="24"/>
          <w:szCs w:val="24"/>
          <w:lang w:val="hy-AM"/>
        </w:rPr>
        <w:t>2022թ.</w:t>
      </w:r>
      <w:r w:rsidR="008F0BD0" w:rsidRPr="00577A37">
        <w:rPr>
          <w:rFonts w:ascii="GHEA Grapalat" w:hAnsi="GHEA Grapalat"/>
          <w:sz w:val="24"/>
          <w:szCs w:val="24"/>
          <w:lang w:val="hy-AM"/>
        </w:rPr>
        <w:t xml:space="preserve"> թվականի օգոստոսի 25-ին: Կազմակերպությունը, որի հետ կնքվի պայմանագիր կիրականացնի միջոցառման բովանդակության, օրակարգի և այլ առնչվող հարցերի կազմակերպումը:</w:t>
      </w:r>
    </w:p>
    <w:p w:rsidR="00EE7735" w:rsidRDefault="00F62B8E" w:rsidP="00EE7735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77A37">
        <w:rPr>
          <w:rFonts w:ascii="GHEA Grapalat" w:hAnsi="GHEA Grapalat"/>
          <w:sz w:val="24"/>
          <w:szCs w:val="24"/>
          <w:lang w:val="hy-AM"/>
        </w:rPr>
        <w:t>ՀՀ բարձր տեխնոլոգիական արդյունաբերության նախարարության (այսուհետ` Նախարարություն) և «Իմ քայլը» հիմնադրամի միջև կնքված հուշագրի համաձայն՝ «Ներուժ 2022» ծրագրի անցկացումը կիրականացվի Նախարարության և հիմնադրամի հ</w:t>
      </w:r>
      <w:r w:rsidR="00536DA0" w:rsidRPr="00577A37">
        <w:rPr>
          <w:rFonts w:ascii="GHEA Grapalat" w:hAnsi="GHEA Grapalat"/>
          <w:sz w:val="24"/>
          <w:szCs w:val="24"/>
          <w:lang w:val="hy-AM"/>
        </w:rPr>
        <w:t>ամագործակցությամբ: Մասնավորապես,</w:t>
      </w:r>
      <w:r w:rsidRPr="00577A37">
        <w:rPr>
          <w:rFonts w:ascii="GHEA Grapalat" w:hAnsi="GHEA Grapalat"/>
          <w:sz w:val="24"/>
          <w:szCs w:val="24"/>
          <w:lang w:val="hy-AM"/>
        </w:rPr>
        <w:t xml:space="preserve"> նախատեսվել է, որ ծրագրի դրամաշնորհային  ֆոնդը կհատկացնի «Իմ քայլը» հիմնադրամը, իսկ </w:t>
      </w:r>
      <w:r w:rsidR="00536DA0" w:rsidRPr="00577A37">
        <w:rPr>
          <w:rFonts w:ascii="GHEA Grapalat" w:hAnsi="GHEA Grapalat"/>
          <w:sz w:val="24"/>
          <w:szCs w:val="24"/>
          <w:lang w:val="hy-AM"/>
        </w:rPr>
        <w:t>միջոցառումը</w:t>
      </w:r>
      <w:r w:rsidRPr="00577A37">
        <w:rPr>
          <w:rFonts w:ascii="GHEA Grapalat" w:hAnsi="GHEA Grapalat"/>
          <w:sz w:val="24"/>
          <w:szCs w:val="24"/>
          <w:lang w:val="hy-AM"/>
        </w:rPr>
        <w:t xml:space="preserve"> կիրականացվի Նախարարության կողմից</w:t>
      </w:r>
      <w:r w:rsidR="00536DA0" w:rsidRPr="00577A37">
        <w:rPr>
          <w:rFonts w:ascii="GHEA Grapalat" w:hAnsi="GHEA Grapalat"/>
          <w:sz w:val="24"/>
          <w:szCs w:val="24"/>
          <w:lang w:val="hy-AM"/>
        </w:rPr>
        <w:t xml:space="preserve">, ապահովելով </w:t>
      </w:r>
      <w:r w:rsidRPr="00577A37">
        <w:rPr>
          <w:rFonts w:ascii="GHEA Grapalat" w:hAnsi="GHEA Grapalat"/>
          <w:sz w:val="24"/>
          <w:szCs w:val="24"/>
          <w:lang w:val="hy-AM"/>
        </w:rPr>
        <w:t xml:space="preserve">միջոցառման բովանդակության մշակման </w:t>
      </w:r>
      <w:r w:rsidR="00BF0AB8">
        <w:rPr>
          <w:rFonts w:ascii="GHEA Grapalat" w:hAnsi="GHEA Grapalat"/>
          <w:sz w:val="24"/>
          <w:szCs w:val="24"/>
          <w:lang w:val="hy-AM"/>
        </w:rPr>
        <w:lastRenderedPageBreak/>
        <w:t xml:space="preserve">աշխատանքները </w:t>
      </w:r>
      <w:r w:rsidRPr="00577A37">
        <w:rPr>
          <w:rFonts w:ascii="GHEA Grapalat" w:hAnsi="GHEA Grapalat"/>
          <w:sz w:val="24"/>
          <w:szCs w:val="24"/>
          <w:lang w:val="hy-AM"/>
        </w:rPr>
        <w:t>և լոգիստիկ ծառայությունները: Հաշվի առնելով վերոգրյալը և այն հանգամանքը, որ 2022թ. բյուջեով «Ձեռներեցության տեխնոլոգիական էկոհամակարգ» միջոցառման (որի շրջանակում իրականացվում է «Ներուժ» ծրագիրը) համար նախատեսված գումարները տրամադրվել են դրամաշնորհային հոդվածի ներքո՝ անհրաժեշտություն է առաջացել «Ներուժ» ծրագրի շրջանակում նախատեսված 5-օրյա միջոցառման լոգիստիկ ծառայությունն</w:t>
      </w:r>
      <w:r w:rsidR="00536DA0" w:rsidRPr="00577A37">
        <w:rPr>
          <w:rFonts w:ascii="GHEA Grapalat" w:hAnsi="GHEA Grapalat"/>
          <w:sz w:val="24"/>
          <w:szCs w:val="24"/>
          <w:lang w:val="hy-AM"/>
        </w:rPr>
        <w:t>երի համար նախատեսված գումարներ</w:t>
      </w:r>
      <w:r w:rsidR="00EE7735">
        <w:rPr>
          <w:rFonts w:ascii="GHEA Grapalat" w:hAnsi="GHEA Grapalat"/>
          <w:sz w:val="24"/>
          <w:szCs w:val="24"/>
          <w:lang w:val="hy-AM"/>
        </w:rPr>
        <w:t>ից 30 մլն դրամ</w:t>
      </w:r>
      <w:r w:rsidR="00536DA0" w:rsidRPr="00577A37">
        <w:rPr>
          <w:rFonts w:ascii="GHEA Grapalat" w:hAnsi="GHEA Grapalat"/>
          <w:sz w:val="24"/>
          <w:szCs w:val="24"/>
          <w:lang w:val="hy-AM"/>
        </w:rPr>
        <w:t xml:space="preserve"> հոդվածային վերաբաշխմամբ ուղղել  ընդհանուր բնույթի ծառայություններ հոդվածին՝ գնման ընթացակարգ սահմանելով </w:t>
      </w:r>
      <w:r w:rsidR="00EE7735">
        <w:rPr>
          <w:rFonts w:ascii="GHEA Grapalat" w:hAnsi="GHEA Grapalat"/>
          <w:sz w:val="24"/>
          <w:szCs w:val="24"/>
          <w:lang w:val="hy-AM"/>
        </w:rPr>
        <w:t>Հ</w:t>
      </w:r>
      <w:r w:rsidR="00536DA0" w:rsidRPr="00577A37">
        <w:rPr>
          <w:rFonts w:ascii="GHEA Grapalat" w:hAnsi="GHEA Grapalat"/>
          <w:sz w:val="24"/>
          <w:szCs w:val="24"/>
          <w:lang w:val="hy-AM"/>
        </w:rPr>
        <w:t>ՄԱ՝</w:t>
      </w:r>
      <w:r w:rsidRPr="00577A37">
        <w:rPr>
          <w:rFonts w:ascii="GHEA Grapalat" w:hAnsi="GHEA Grapalat"/>
          <w:sz w:val="24"/>
          <w:szCs w:val="24"/>
          <w:lang w:val="hy-AM"/>
        </w:rPr>
        <w:t xml:space="preserve"> հաշվի առնելով միջոցառման համար արդեն իսկ սահմանված ժամկետները (2022 թվականի սեպտեմբերի 26-ից 30) և լոգիստիկ ծառայությունների (տեղափոխության, սննդի, կեցության կազմակերպման, տեխնիկական միջոցների և մարքետինգի) ապահովման համար ոչ բավարար ժամանակը</w:t>
      </w:r>
      <w:r w:rsidR="00536DA0" w:rsidRPr="00577A3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77A37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735">
        <w:rPr>
          <w:rFonts w:ascii="GHEA Grapalat" w:hAnsi="GHEA Grapalat"/>
          <w:sz w:val="24"/>
          <w:szCs w:val="24"/>
          <w:lang w:val="hy-AM"/>
        </w:rPr>
        <w:t xml:space="preserve">20 մլն դրամը անհրաժեշտ կլինի մասնակիցների համար ավիատոմսերի ձեռք բերման համար: Ընդհանուրը՝ 50.0 մլն դրամ: </w:t>
      </w:r>
    </w:p>
    <w:p w:rsidR="00EE7735" w:rsidRDefault="00EE7735" w:rsidP="00EE7735">
      <w:pPr>
        <w:spacing w:after="0" w:line="360" w:lineRule="auto"/>
        <w:ind w:firstLine="531"/>
        <w:jc w:val="both"/>
        <w:rPr>
          <w:rFonts w:ascii="GHEA Grapalat" w:hAnsi="GHEA Grapalat"/>
          <w:sz w:val="24"/>
          <w:szCs w:val="24"/>
          <w:lang w:val="hy-AM"/>
        </w:rPr>
      </w:pPr>
      <w:r w:rsidRPr="00EE7735">
        <w:rPr>
          <w:rFonts w:ascii="GHEA Grapalat" w:hAnsi="GHEA Grapalat"/>
          <w:sz w:val="24"/>
          <w:szCs w:val="24"/>
          <w:lang w:val="hy-AM"/>
        </w:rPr>
        <w:t xml:space="preserve">Բացի այդ, ևս 50 մլն դրամ առաջարկվում է ուղղել «Ընդհանուր բնույթի ծառայություններ» հոդվածին՝ </w:t>
      </w:r>
      <w:r>
        <w:rPr>
          <w:rFonts w:ascii="GHEA Grapalat" w:hAnsi="GHEA Grapalat"/>
          <w:sz w:val="24"/>
          <w:szCs w:val="24"/>
          <w:lang w:val="hy-AM"/>
        </w:rPr>
        <w:t xml:space="preserve">աքսելերացիոն և ինկուբացիոն ծրագրերի պատվիրման համար, որը հնարավոր չէ իրականացնել դրամաշնորհային հոդվածով: Մասնավորապես, </w:t>
      </w:r>
      <w:r w:rsidRPr="00EE7735">
        <w:rPr>
          <w:rFonts w:ascii="GHEA Grapalat" w:hAnsi="GHEA Grapalat"/>
          <w:sz w:val="24"/>
          <w:szCs w:val="24"/>
          <w:lang w:val="hy-AM"/>
        </w:rPr>
        <w:t>«Գաղափարից մինչև բիզնես» դրամաշնորհների շրջանակում հայտարարված «Գաղափարի փուլում գտնվող պրոդուկտների համար դրամաշնորհների» մրցույթը կայացել է: Արդյունքում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EE7735">
        <w:rPr>
          <w:rFonts w:ascii="GHEA Grapalat" w:hAnsi="GHEA Grapalat"/>
          <w:sz w:val="24"/>
          <w:szCs w:val="24"/>
          <w:lang w:val="hy-AM"/>
        </w:rPr>
        <w:t xml:space="preserve"> ՀՀ բարձր տեխնոլոգիական արդյունաբերության նախարարությունը դրամաշնորհի տրամադրման պայմանագիր է կնքել է 18 կազմակերպությունների հետ: Շահառու կազմակերպությունների և դրամաշնորհային պայմանագրերով սահմանված ծրագրերի բարեհաջող իրականացման համար այս փուլում նախատեսված է ինկուբացիոն հնարավորությունների ստեղծում: Այդ նպատակով ոլորտի առաջատար կազմակերպությունների (կրթական հաստատություններ, ինկուբատորներ, աքսելերատորներ և այլն) հետ համագործակցության միջոցով գիտական և տեխնոլոգիական հիմքով ստարտափերի համար կմշակեն և կապահովեն շահառուների կարիքներին համապատասխան ինկուբացիոն և հետագա փուլում աքսելերացիոն բնույթի ծրագրեր</w:t>
      </w:r>
      <w:r>
        <w:rPr>
          <w:rFonts w:ascii="GHEA Grapalat" w:hAnsi="GHEA Grapalat"/>
          <w:sz w:val="24"/>
          <w:szCs w:val="24"/>
          <w:lang w:val="hy-AM"/>
        </w:rPr>
        <w:t xml:space="preserve"> 50 մլն դրամի չափով</w:t>
      </w:r>
      <w:r w:rsidR="00371DD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71DD7" w:rsidRPr="00577A37">
        <w:rPr>
          <w:rFonts w:ascii="GHEA Grapalat" w:hAnsi="GHEA Grapalat"/>
          <w:sz w:val="24"/>
          <w:szCs w:val="24"/>
          <w:lang w:val="hy-AM"/>
        </w:rPr>
        <w:t xml:space="preserve">գնման ընթացակարգ սահմանելով </w:t>
      </w:r>
      <w:r w:rsidR="00371DD7">
        <w:rPr>
          <w:rFonts w:ascii="GHEA Grapalat" w:hAnsi="GHEA Grapalat"/>
          <w:sz w:val="24"/>
          <w:szCs w:val="24"/>
          <w:lang w:val="hy-AM"/>
        </w:rPr>
        <w:t>Հ</w:t>
      </w:r>
      <w:r w:rsidR="00371DD7" w:rsidRPr="00577A37">
        <w:rPr>
          <w:rFonts w:ascii="GHEA Grapalat" w:hAnsi="GHEA Grapalat"/>
          <w:sz w:val="24"/>
          <w:szCs w:val="24"/>
          <w:lang w:val="hy-AM"/>
        </w:rPr>
        <w:t>ՄԱ՝ հաշվի առնելով միջոցառման համար արդեն իսկ սահմանված ժամկետները</w:t>
      </w:r>
      <w:r w:rsidRPr="00EE7735">
        <w:rPr>
          <w:rFonts w:ascii="GHEA Grapalat" w:hAnsi="GHEA Grapalat"/>
          <w:sz w:val="24"/>
          <w:szCs w:val="24"/>
          <w:lang w:val="hy-AM"/>
        </w:rPr>
        <w:t>։</w:t>
      </w:r>
    </w:p>
    <w:p w:rsidR="006F3F56" w:rsidRDefault="006F3F56" w:rsidP="00EE7735">
      <w:pPr>
        <w:spacing w:after="0" w:line="360" w:lineRule="auto"/>
        <w:ind w:firstLine="53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Նշված փոփոխությունները չեն հանգեցնում ոչ ֆինանսական ցուցանիշների փոփոխության:</w:t>
      </w:r>
    </w:p>
    <w:p w:rsidR="00EE7735" w:rsidRDefault="00EE7735" w:rsidP="00EE7735">
      <w:pPr>
        <w:pStyle w:val="BalloonText"/>
      </w:pPr>
    </w:p>
    <w:p w:rsidR="00EE7735" w:rsidRDefault="00EE7735" w:rsidP="00EE7735">
      <w:pPr>
        <w:pStyle w:val="BalloonText"/>
      </w:pPr>
    </w:p>
    <w:p w:rsidR="00401F41" w:rsidRPr="00CD402A" w:rsidRDefault="000054E3" w:rsidP="00CD402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D402A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2</w:t>
      </w:r>
      <w:r w:rsidR="00401F41" w:rsidRPr="00CD40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.Առաջարկվող կարգավորման բնույթը</w:t>
      </w:r>
    </w:p>
    <w:p w:rsidR="00BF0AB8" w:rsidRPr="00CD402A" w:rsidRDefault="001A52CC" w:rsidP="00BF0AB8">
      <w:pPr>
        <w:suppressAutoHyphens w:val="0"/>
        <w:overflowPunct/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F0A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Սույն որոշման նախագծով </w:t>
      </w:r>
      <w:r w:rsidR="00EB7B69" w:rsidRPr="00BF0A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կապահովվի </w:t>
      </w:r>
      <w:r w:rsidR="00EE7735">
        <w:rPr>
          <w:rFonts w:ascii="GHEA Grapalat" w:hAnsi="GHEA Grapalat"/>
          <w:color w:val="000000" w:themeColor="text1"/>
          <w:sz w:val="24"/>
          <w:szCs w:val="24"/>
          <w:lang w:val="hy-AM"/>
        </w:rPr>
        <w:t>բարձր տեխնոլոգիաների ոլորտում Նախարարության կանոնադրական խնդիրների պատշաճ ու ժամանակին իրականացումը</w:t>
      </w:r>
      <w:r w:rsidR="00BF0AB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B7B69" w:rsidRPr="00101C53" w:rsidRDefault="00EB7B69" w:rsidP="00401F41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F56DD" w:rsidRPr="007949E9" w:rsidRDefault="002F56DD" w:rsidP="00FE0C9D">
      <w:pPr>
        <w:pStyle w:val="ListParagraph"/>
        <w:numPr>
          <w:ilvl w:val="0"/>
          <w:numId w:val="5"/>
        </w:numPr>
        <w:overflowPunct/>
        <w:spacing w:after="0" w:line="360" w:lineRule="auto"/>
        <w:ind w:left="0" w:firstLine="630"/>
        <w:jc w:val="both"/>
        <w:rPr>
          <w:color w:val="000000" w:themeColor="text1"/>
          <w:lang w:val="hy-AM"/>
        </w:rPr>
      </w:pPr>
      <w:r w:rsidRPr="007949E9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ՀՀ</w:t>
      </w:r>
      <w:r w:rsidRPr="007949E9">
        <w:rPr>
          <w:rFonts w:ascii="GHEA Grapalat" w:hAnsi="GHEA Grapalat" w:cs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կառավարության</w:t>
      </w:r>
      <w:r w:rsidRPr="007949E9">
        <w:rPr>
          <w:rFonts w:ascii="GHEA Grapalat" w:hAnsi="GHEA Grapalat" w:cs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որոշման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նախագծի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ընդունման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կապակցությամբ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այլ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իրավական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ակտերում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փոփոխություններ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և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լրացումներ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վերաբերյալ</w:t>
      </w:r>
    </w:p>
    <w:p w:rsidR="001A52CC" w:rsidRPr="001A52CC" w:rsidRDefault="002F56DD" w:rsidP="001A52CC">
      <w:pPr>
        <w:spacing w:line="360" w:lineRule="auto"/>
        <w:ind w:firstLine="630"/>
        <w:jc w:val="both"/>
        <w:rPr>
          <w:color w:val="000000" w:themeColor="text1"/>
          <w:lang w:val="hy-AM"/>
        </w:rPr>
      </w:pPr>
      <w:r w:rsidRPr="007949E9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Որոշման նախագծի ընդունման կապակցությամբ </w:t>
      </w:r>
      <w:r w:rsidR="00EE77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 իրավա</w:t>
      </w:r>
      <w:r w:rsidR="00BF0A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 ակտերում փոփոխություններ չեն նախատեսվում</w:t>
      </w:r>
      <w:r w:rsidR="001A52CC">
        <w:rPr>
          <w:rFonts w:ascii="GHEA Grapalat" w:hAnsi="GHEA Grapalat" w:cs="GHEA Grapalat"/>
          <w:bCs/>
          <w:sz w:val="24"/>
          <w:szCs w:val="24"/>
          <w:lang w:val="hy-AM"/>
        </w:rPr>
        <w:t>:</w:t>
      </w:r>
      <w:r w:rsidR="001A52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2F56DD" w:rsidRPr="00902107" w:rsidRDefault="00FE0C9D" w:rsidP="00FE0C9D">
      <w:pPr>
        <w:overflowPunct/>
        <w:spacing w:after="0" w:line="360" w:lineRule="auto"/>
        <w:ind w:firstLine="585"/>
        <w:jc w:val="both"/>
        <w:rPr>
          <w:color w:val="000000" w:themeColor="text1"/>
          <w:lang w:val="hy-AM"/>
        </w:rPr>
      </w:pPr>
      <w:r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4.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Ներկայացվող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հարցի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կապակցությամբ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լրացուցիչ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ֆինանսական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միջոցների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պահանջի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անհրաժեշտությունը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,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ինչպես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նաև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Հանրապետության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պետական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բյուջեի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եկամուտներում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և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ծախսերում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սպասվելիք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փոփոխությունների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մասին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>.</w:t>
      </w:r>
    </w:p>
    <w:p w:rsidR="002F56DD" w:rsidRPr="00902107" w:rsidRDefault="002F56DD" w:rsidP="002F56DD">
      <w:pPr>
        <w:spacing w:after="0" w:line="360" w:lineRule="auto"/>
        <w:ind w:firstLine="720"/>
        <w:jc w:val="both"/>
        <w:rPr>
          <w:color w:val="000000" w:themeColor="text1"/>
          <w:lang w:val="hy-AM"/>
        </w:rPr>
      </w:pPr>
      <w:r w:rsidRPr="007949E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Որոշման նախագծի ընդունման արդյունքում ՀՀ 2022 թվականի պետական բյուջեի եկամուտների և ծախսերի փոփոխություն չի առաջանում։</w:t>
      </w:r>
      <w:r w:rsidR="00EB7B6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Իրականացված բոլոր վերաբաշխումները ՀՀ բարձր տեխնոլոգիական արդյունաբերության նախարարության 2022 թվականի ՀՀ պետական բյուջեով նախատեսված ծրագրերի միջոցների հաշվին է:</w:t>
      </w:r>
    </w:p>
    <w:p w:rsidR="001A52CC" w:rsidRDefault="002F56DD" w:rsidP="002F56DD">
      <w:pPr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949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</w:p>
    <w:p w:rsidR="000054E3" w:rsidRPr="007949E9" w:rsidRDefault="000054E3" w:rsidP="000054E3">
      <w:pPr>
        <w:pStyle w:val="BodyText"/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</w:rPr>
      </w:pPr>
      <w:r w:rsidRPr="007949E9">
        <w:rPr>
          <w:rFonts w:ascii="GHEA Grapalat" w:hAnsi="GHEA Grapalat"/>
          <w:b/>
          <w:bCs/>
          <w:color w:val="000000" w:themeColor="text1"/>
          <w:lang w:val="hy-AM"/>
        </w:rPr>
        <w:t xml:space="preserve"> Կապը  ռազմավարական փաստաթղթերի հետ. Հայաստանի վերափոխման ռազմավարություն 2050, կառավարության 2021-2026թթ, ծրագիր, ոլորտային և /կամ այլ ռազմավարություններ</w:t>
      </w:r>
    </w:p>
    <w:p w:rsidR="000054E3" w:rsidRPr="00EB7B69" w:rsidRDefault="000054E3" w:rsidP="000054E3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</w:rPr>
      </w:pPr>
    </w:p>
    <w:p w:rsidR="000054E3" w:rsidRPr="00EB7B69" w:rsidRDefault="00B5548F" w:rsidP="0076579F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EB7B69">
        <w:rPr>
          <w:rFonts w:ascii="GHEA Grapalat" w:hAnsi="GHEA Grapalat"/>
          <w:bCs/>
          <w:lang w:val="hy-AM" w:eastAsia="en-US"/>
        </w:rPr>
        <w:t>Ներկայացված նախագիծը բխում է  ՀՀ կառավարության  2021 թվականի օգոստոսի 18-ի N 1363-Ա որոշմամբ հաստատված ՀՀ կառավարության 2021-2026թթ ծրագրի, «2.3 Բարձր տեխնոլոգիաներ» մասի</w:t>
      </w:r>
      <w:r w:rsidR="00BF0AB8">
        <w:rPr>
          <w:rFonts w:ascii="GHEA Grapalat" w:hAnsi="GHEA Grapalat"/>
          <w:bCs/>
          <w:lang w:val="hy-AM" w:eastAsia="en-US"/>
        </w:rPr>
        <w:t xml:space="preserve"> դրույթներից,</w:t>
      </w:r>
      <w:r w:rsidR="00BF0AB8">
        <w:rPr>
          <w:rFonts w:ascii="GHEA Grapalat" w:hAnsi="GHEA Grapalat"/>
          <w:lang w:val="hy-AM"/>
        </w:rPr>
        <w:t xml:space="preserve"> այն է՝</w:t>
      </w:r>
      <w:r w:rsidR="00BF0AB8" w:rsidRPr="00977564">
        <w:rPr>
          <w:rFonts w:ascii="GHEA Grapalat" w:hAnsi="GHEA Grapalat"/>
          <w:lang w:val="hy-AM"/>
        </w:rPr>
        <w:t xml:space="preserve"> ՀՀ կառավարությունը շարունակելու է նպաստել նորարարական համակարգի զարգացմանը և տարբեր ոլորտներում համակողմանի ներդրմանը։</w:t>
      </w:r>
    </w:p>
    <w:sectPr w:rsidR="000054E3" w:rsidRPr="00EB7B69" w:rsidSect="0081624A">
      <w:pgSz w:w="12240" w:h="15840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1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2" w15:restartNumberingAfterBreak="0">
    <w:nsid w:val="1EC53443"/>
    <w:multiLevelType w:val="hybridMultilevel"/>
    <w:tmpl w:val="A6FA4A5C"/>
    <w:lvl w:ilvl="0" w:tplc="F724B3F8">
      <w:start w:val="3"/>
      <w:numFmt w:val="decimal"/>
      <w:lvlText w:val="%1."/>
      <w:lvlJc w:val="left"/>
      <w:pPr>
        <w:ind w:left="990" w:hanging="360"/>
      </w:pPr>
      <w:rPr>
        <w:rFonts w:ascii="GHEA Grapalat" w:hAnsi="GHEA Grapalat" w:cs="GHEA Grapal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55A1984"/>
    <w:multiLevelType w:val="multilevel"/>
    <w:tmpl w:val="0F2EC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6F6678C"/>
    <w:multiLevelType w:val="multilevel"/>
    <w:tmpl w:val="225CA1A6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GHEA Grapalat" w:eastAsia="Times New Roman" w:hAnsi="GHEA Grapalat" w:cs="GHEA Grapalat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</w:lvl>
  </w:abstractNum>
  <w:abstractNum w:abstractNumId="5" w15:restartNumberingAfterBreak="0">
    <w:nsid w:val="50EF354B"/>
    <w:multiLevelType w:val="hybridMultilevel"/>
    <w:tmpl w:val="27D4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2A95"/>
    <w:multiLevelType w:val="hybridMultilevel"/>
    <w:tmpl w:val="CA8C0CD2"/>
    <w:lvl w:ilvl="0" w:tplc="BF3CEF60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7BD4EF6"/>
    <w:multiLevelType w:val="hybridMultilevel"/>
    <w:tmpl w:val="D8166316"/>
    <w:lvl w:ilvl="0" w:tplc="75223F3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1"/>
  <w:autoHyphenation/>
  <w:characterSpacingControl w:val="doNotCompress"/>
  <w:compat>
    <w:compatSetting w:name="compatibilityMode" w:uri="http://schemas.microsoft.com/office/word" w:val="12"/>
  </w:compat>
  <w:rsids>
    <w:rsidRoot w:val="00C33D86"/>
    <w:rsid w:val="000054DC"/>
    <w:rsid w:val="000054E3"/>
    <w:rsid w:val="00010660"/>
    <w:rsid w:val="00052CC6"/>
    <w:rsid w:val="00092C1B"/>
    <w:rsid w:val="000947D6"/>
    <w:rsid w:val="00096668"/>
    <w:rsid w:val="000A736A"/>
    <w:rsid w:val="000B25B0"/>
    <w:rsid w:val="00101C53"/>
    <w:rsid w:val="00105A9D"/>
    <w:rsid w:val="00153AB3"/>
    <w:rsid w:val="00153B3D"/>
    <w:rsid w:val="001629C5"/>
    <w:rsid w:val="00192B8E"/>
    <w:rsid w:val="001A52CC"/>
    <w:rsid w:val="001C4140"/>
    <w:rsid w:val="002F56DD"/>
    <w:rsid w:val="00305436"/>
    <w:rsid w:val="00360444"/>
    <w:rsid w:val="00365397"/>
    <w:rsid w:val="00371DD7"/>
    <w:rsid w:val="003C2C42"/>
    <w:rsid w:val="003E021D"/>
    <w:rsid w:val="003E6F3E"/>
    <w:rsid w:val="003F6F41"/>
    <w:rsid w:val="00401F41"/>
    <w:rsid w:val="00416000"/>
    <w:rsid w:val="00454E64"/>
    <w:rsid w:val="00497BF1"/>
    <w:rsid w:val="004A2CEB"/>
    <w:rsid w:val="004B2AC1"/>
    <w:rsid w:val="004E0121"/>
    <w:rsid w:val="00503738"/>
    <w:rsid w:val="00504103"/>
    <w:rsid w:val="00504108"/>
    <w:rsid w:val="00536DA0"/>
    <w:rsid w:val="0054188A"/>
    <w:rsid w:val="00577A37"/>
    <w:rsid w:val="005864D4"/>
    <w:rsid w:val="005A1EDC"/>
    <w:rsid w:val="006033E6"/>
    <w:rsid w:val="0060427D"/>
    <w:rsid w:val="006344A6"/>
    <w:rsid w:val="006513EE"/>
    <w:rsid w:val="00656CA9"/>
    <w:rsid w:val="00672643"/>
    <w:rsid w:val="00695095"/>
    <w:rsid w:val="006F08E0"/>
    <w:rsid w:val="006F3F56"/>
    <w:rsid w:val="0070355F"/>
    <w:rsid w:val="00723315"/>
    <w:rsid w:val="00750C8C"/>
    <w:rsid w:val="0076579F"/>
    <w:rsid w:val="0077577A"/>
    <w:rsid w:val="007874E8"/>
    <w:rsid w:val="007949E9"/>
    <w:rsid w:val="007C2FBC"/>
    <w:rsid w:val="007D0F2C"/>
    <w:rsid w:val="0081624A"/>
    <w:rsid w:val="0086613A"/>
    <w:rsid w:val="00871C58"/>
    <w:rsid w:val="008F0BD0"/>
    <w:rsid w:val="00902107"/>
    <w:rsid w:val="009638D1"/>
    <w:rsid w:val="0096585C"/>
    <w:rsid w:val="00965E50"/>
    <w:rsid w:val="0098127C"/>
    <w:rsid w:val="009B60B7"/>
    <w:rsid w:val="00A22D16"/>
    <w:rsid w:val="00A45B9B"/>
    <w:rsid w:val="00A47373"/>
    <w:rsid w:val="00A83E29"/>
    <w:rsid w:val="00A942A0"/>
    <w:rsid w:val="00AD6DB2"/>
    <w:rsid w:val="00AE1471"/>
    <w:rsid w:val="00AE4C66"/>
    <w:rsid w:val="00B201B3"/>
    <w:rsid w:val="00B22E63"/>
    <w:rsid w:val="00B5548F"/>
    <w:rsid w:val="00B67236"/>
    <w:rsid w:val="00B9150A"/>
    <w:rsid w:val="00BF0AB8"/>
    <w:rsid w:val="00C061A4"/>
    <w:rsid w:val="00C2503E"/>
    <w:rsid w:val="00C254AF"/>
    <w:rsid w:val="00C33D86"/>
    <w:rsid w:val="00C714C2"/>
    <w:rsid w:val="00CD402A"/>
    <w:rsid w:val="00D07104"/>
    <w:rsid w:val="00D82736"/>
    <w:rsid w:val="00DC45DF"/>
    <w:rsid w:val="00E14B80"/>
    <w:rsid w:val="00E62211"/>
    <w:rsid w:val="00E65AF1"/>
    <w:rsid w:val="00EB7B69"/>
    <w:rsid w:val="00EE7735"/>
    <w:rsid w:val="00F07378"/>
    <w:rsid w:val="00F34F5C"/>
    <w:rsid w:val="00F62B8E"/>
    <w:rsid w:val="00FB67F4"/>
    <w:rsid w:val="00FC4A72"/>
    <w:rsid w:val="00FD534A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8D6A"/>
  <w15:docId w15:val="{449F3A43-BCF7-4272-9F56-FAEB437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Calibri" w:eastAsia="Times New Roman" w:hAnsi="Calibri" w:cs="Times New Roman"/>
    </w:rPr>
  </w:style>
  <w:style w:type="character" w:customStyle="1" w:styleId="FooterChar">
    <w:name w:val="Footer Char"/>
    <w:qFormat/>
    <w:rPr>
      <w:rFonts w:ascii="Calibri" w:eastAsia="Times New Roman" w:hAnsi="Calibri" w:cs="Times New Roman"/>
    </w:rPr>
  </w:style>
  <w:style w:type="character" w:styleId="Emphasis">
    <w:name w:val="Emphasis"/>
    <w:qFormat/>
    <w:rPr>
      <w:i/>
      <w:iCs/>
    </w:rPr>
  </w:style>
  <w:style w:type="character" w:customStyle="1" w:styleId="normChar">
    <w:name w:val="norm Char"/>
    <w:qFormat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NoSpacingChar">
    <w:name w:val="No Spacing Char"/>
    <w:qFormat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mechtexChar">
    <w:name w:val="mechtex Char"/>
    <w:qFormat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qFormat/>
    <w:rPr>
      <w:rFonts w:eastAsia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 webb Char"/>
    <w:uiPriority w:val="99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qFormat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Footer">
    <w:name w:val="foot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 webb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overflowPunct w:val="0"/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qFormat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2">
    <w:name w:val="toc 2"/>
    <w:basedOn w:val="Normal"/>
    <w:next w:val="Normal"/>
    <w:autoRedefine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41E0-83F4-4A96-9097-FA6A96FC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Lilit Harutyunyan</cp:lastModifiedBy>
  <cp:revision>139</cp:revision>
  <dcterms:created xsi:type="dcterms:W3CDTF">2021-09-02T06:11:00Z</dcterms:created>
  <dcterms:modified xsi:type="dcterms:W3CDTF">2022-08-30T09:04:00Z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