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22987" w:rsidRDefault="00D22987" w:rsidP="00D22987">
      <w:pPr>
        <w:shd w:val="clear" w:color="auto" w:fill="FFFFFF"/>
        <w:tabs>
          <w:tab w:val="start" w:pos="49.65pt"/>
        </w:tabs>
        <w:spacing w:after="0pt" w:line="13.80pt" w:lineRule="auto"/>
        <w:ind w:firstLine="28.35pt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ՀԻՄՆԱՎՈՐՈՒՄ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«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ԿԱՌԱՎԱՐՈՒԹՅԱՆ 2017 ԹՎԱԿԱՆԻ ՄԱՐՏԻ 30-Ի N 546-Ն ՈՐՈՇՄԱՆ ՄԵՋ ՓՈՓՈԽՈՒԹՅՈՒՆՆԵՐ ԵՎ ԼՐԱՑՈՒՄՆԵՐ ԿԱՏԱՐԵԼՈՒ ՄԱՍԻՆ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» ՀԱՅԱՍՏԱՆԻ ՀԱՆՐԱՊԵՏՈՒԹՅԱՆ ԿԱՌԱՎԱՐՈՒԹՅԱ</w:t>
      </w:r>
      <w:r w:rsidRPr="00B72C2F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>Ն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ՈՐՈՇՄԱՆ ՆԱԽԱԳԾԻ ԸՆԴՈՒՆՄԱՆ ԱՆՀՐԱԺԵՇՏՈՒԹՅԱՆ ՎԵՐԱԲԵՐՅԱԼ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Իրավական ակտի ընդունման անհրաժեշտությունը, ընթացիկ իրավիճակը և խնդիրները.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Նախագծի մշակումը պայմանավորված է հայտարարատուի կողմից մաքսային մարմիններին ներկայացվող, ինչպես նաև մաքսային մարմինների կողմից կազմվող մաքսային փաստաթղթերի էլեկտրոնային տարբերակների շրջանառության և պահ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>պան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>ման գործընթացը մաքսային մարմինների կողմից կիրառվող՝ միասնական ավտո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>մա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>տացված տեղեկատվական համակարգի միջոցով իրականացնելու անհրաժեշ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>տությամբ։ ՀՀ կառավարության 30.03.2017թ</w:t>
      </w:r>
      <w:r w:rsidRPr="00B72C2F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N546-Ն որոշման համաձայն՝ հայտա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>րարատուի և (կամ) մաքսային մարմինների կողմից մաքսային միասնական ավտոմա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>տաց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softHyphen/>
        <w:t xml:space="preserve">ված տեղեկատվական համակարգի միջոցով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ձևավորվում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և (կամ) ներկայացվում են նույն որոշմամբ նախատեսված փաստաթղթերը, որոնցից բացի անհրաժեշտություն է առաջացել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Եվրասիական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տնտեսական միության և Հայաստանի Հանրապետության մաքսային օրենսդրությամբ սահմանված դեպքերում մաքսային մարմիններին ներկայացվող այլ փաստաթղթերը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ևս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ձևավորել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և (կամ) ներկայացնել մաքսային մարմինների կողմից կիրառվող էլեկտրոնային համակարգի միջոցով։ Նախագծի մշակումը պայմանավորված է նաև վերոնշյալ փաստաթղթերի էլեկտրոնային տարբերակների շրջանառությունը և պահպանումը միասնական ավտոմատացված տեղեկատվական համակարգի միջոցով, այդ թվում «Հայաստանի Հանրապետության արտաքին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առևտրի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ազգային մեկ պատուհան» էլեկտրոնային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հարթակում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(www.trade.gov.am) ներդրված՝ «Փաստաթղթերի միասնական արխիվ համակարգի միջոցով, իրականացնելու համար անհրաժեշտ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կարգավորումների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սահմանմամբ։   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Կարգավորման առարկան, ակնկալվող արդյունքը.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ընդունման արդյունքում նախատեսվում է ստեղծել իրավական հիմքեր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հայտարարատուների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կողմից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Եվրասիական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տնտեսական միության և Հայաստանի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 xml:space="preserve">Հանրապետության մաքսային օրենսդրությամբ սահմանված դեպքերում մաքսային մարմիններին ներկայացվող փաստաթղթերի՝ «Հայաստանի Հանրապետության արտաքին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առևտրի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ազգային մեկ պատուհան» էլեկտրոնային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հարթակում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(www.trade.gov.am) ներդրված «Փաստաթղթերի միասնական արխիվ համակարգի միջոցով ներկայացման, ինչպես նաև նշված համակարգի միջոցով մաքսային մարմինների կողմից փաստաթղթերի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ձևավորման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համար։ 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ընդունման պարագայում, ինչպես նաև համակարգի լիարժեք գործարկման պարագայում նախատեսվում է բացառել մաքսային մարմինների կողմից նշված կարգով նախատեսված փաստաթղթերի թղթային տարբերակների պահպանման անհրաժեշտությունը: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ռազմավարություններ</w:t>
      </w:r>
      <w:proofErr w:type="spellEnd"/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.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Նախագիծը մշակվել է Հայաստանի Հանրապետության կառավարության 2019 թվականի դեկտեմբերի 12-ի N 1830-Լ որոշմամբ հաստատված՝ Հայաստանի Հանրապետության պետական եկամուտների կոմիտեի զարգացման և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վարչարարության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բարելավման ռազմավարական ծրագրի 1.1.1-ին կետի բ ենթակետով նախատեսված՝ «մաքսային փաստաթղթերի և դրանց կից ներկայացված փաստաթղթերի էլեկտրոնային տարբերակների շրջանառության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հասանելիության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, պահպանության և ոչնչացման հետ կապված հարաբերությունները կարգավորող համապատասխան իրավական ակտի մշակում և անհրաժեշտությունից կախված՝ «ՀՀ արտաքին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առևտրի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ազգային մեկ պատուհան համակարգում» մաքսային մարմնի կողմից պահպանվող փաստաթղթերի համար համապատասխան ծրագրային ապահովման ուղղությամբ աշխատանքների իրականացում» միջոցառման կատարման շրջանակներում: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Նախագծի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մշակման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գործընթացում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ներգրավված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ինստիտուտները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և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անձինք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. 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Նախագիծը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մշակվել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է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val="en-US" w:eastAsia="hy-AM"/>
        </w:rPr>
        <w:t>Հայաստանի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val="en-US" w:eastAsia="hy-AM"/>
        </w:rPr>
        <w:t>Հանրապետության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պետական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եկամուտների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կոմիտեի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կողմից</w:t>
      </w:r>
      <w:r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</w:t>
      </w:r>
      <w:proofErr w:type="spellStart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ընդունմամբ</w:t>
      </w:r>
      <w:proofErr w:type="spellEnd"/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 լրացուցիչ ֆինանսական միջոցների ներգրավման անհրաժեշտություն առկա չէ: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lastRenderedPageBreak/>
        <w:t xml:space="preserve">Պետական բյուջեի </w:t>
      </w:r>
      <w:proofErr w:type="spellStart"/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եկամուտներում</w:t>
      </w:r>
      <w:proofErr w:type="spellEnd"/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 xml:space="preserve"> և ծախսերում սպասվելիք փոփոխությունների վերաբերյալ.</w:t>
      </w:r>
    </w:p>
    <w:p w:rsidR="00D22987" w:rsidRPr="00B72C2F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</w:t>
      </w:r>
      <w:proofErr w:type="spellStart"/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ընդունմամբ</w:t>
      </w:r>
      <w:proofErr w:type="spellEnd"/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պետական բյուջեում եկամուտների և ծախսերի ավելացում կամ նվազեցում չի նախատեսվում։</w:t>
      </w:r>
    </w:p>
    <w:p w:rsidR="00D22987" w:rsidRDefault="00D22987" w:rsidP="00D22987">
      <w:pPr>
        <w:shd w:val="clear" w:color="auto" w:fill="FFFFFF"/>
        <w:tabs>
          <w:tab w:val="start" w:pos="49.65pt"/>
        </w:tabs>
        <w:spacing w:after="0pt" w:line="18pt" w:lineRule="auto"/>
        <w:ind w:firstLine="28.35pt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700E80" w:rsidRDefault="00700E80"/>
    <w:sectPr w:rsidR="00700E80" w:rsidSect="009A22FA">
      <w:pgSz w:w="595.30pt" w:h="841.90pt"/>
      <w:pgMar w:top="56.70pt" w:right="28.35pt" w:bottom="28.35pt" w:left="56.70pt" w:header="35.45pt" w:footer="35.45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characterSet="iso-8859-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7"/>
    <w:rsid w:val="00700E80"/>
    <w:rsid w:val="009F59C3"/>
    <w:rsid w:val="00D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CDDDD9-883F-447E-9EE0-2B2CD198FA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87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Mirzoyan</dc:creator>
  <cp:keywords/>
  <dc:description/>
  <cp:lastModifiedBy>Gohar Mirzoyan</cp:lastModifiedBy>
  <cp:revision>1</cp:revision>
  <dcterms:created xsi:type="dcterms:W3CDTF">2022-09-14T11:56:00Z</dcterms:created>
  <dcterms:modified xsi:type="dcterms:W3CDTF">2022-09-14T11:57:00Z</dcterms:modified>
</cp:coreProperties>
</file>