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ԱՄՓՈՓԱԹԵՐԹ</w:t>
      </w:r>
    </w:p>
    <w:p>
      <w:pPr>
        <w:shd w:val="clear" w:color="auto" w:fill="FFFFFF"/>
        <w:spacing w:after="0" w:line="240" w:lineRule="auto"/>
        <w:ind w:firstLine="375"/>
        <w:jc w:val="center"/>
        <w:rPr>
          <w:rFonts w:ascii="GHEA Grapalat" w:eastAsia="Times New Roman" w:hAnsi="GHEA Grapalat" w:cs="Times New Roman"/>
          <w:b/>
          <w:color w:val="000000"/>
          <w:sz w:val="24"/>
          <w:szCs w:val="24"/>
        </w:rPr>
      </w:pPr>
    </w:p>
    <w:p>
      <w:pPr>
        <w:shd w:val="clear" w:color="auto" w:fill="FFFFFF"/>
        <w:spacing w:after="0" w:line="240" w:lineRule="auto"/>
        <w:ind w:firstLine="375"/>
        <w:jc w:val="center"/>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rPr>
        <w:t>«</w:t>
      </w:r>
      <w:r>
        <w:rPr>
          <w:rFonts w:ascii="GHEA Grapalat" w:hAnsi="GHEA Grapalat"/>
          <w:b/>
          <w:color w:val="000000"/>
          <w:sz w:val="24"/>
          <w:szCs w:val="24"/>
          <w:shd w:val="clear" w:color="auto" w:fill="FFFFFF"/>
        </w:rPr>
        <w:t>ՄԱՐԴԿԱՆՑ ԹՐԱՖԻՔԻՆԳԻ և ՇԱՀԱԳՈՐԾՄԱՆ ՀԱՎԱՆԱԿԱՆ ԶՈՀԵՐԻՆ,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ՀԱՍՏԱՏՈՒԹՅՈՒՆՆԵՐՈՒՄ, ՈՐԱԿԻ ՆՎԱԶԱԳՈՒՅՆ ՉԱՓՈՐՈՇԻՉՆԵՐԸ ՍԱՀՄԱՆԵԼՈՒ ՄԱՍԻՆ</w:t>
      </w:r>
      <w:r>
        <w:rPr>
          <w:rFonts w:ascii="Calibri" w:hAnsi="Calibri" w:cs="Calibri"/>
          <w:color w:val="000000"/>
          <w:sz w:val="24"/>
          <w:szCs w:val="24"/>
          <w:shd w:val="clear" w:color="auto" w:fill="FFFFFF"/>
        </w:rPr>
        <w:t> </w:t>
      </w:r>
      <w:r>
        <w:rPr>
          <w:rFonts w:ascii="Calibri" w:eastAsia="Times New Roman" w:hAnsi="Calibri" w:cs="Calibri"/>
          <w:b/>
          <w:color w:val="000000"/>
          <w:sz w:val="24"/>
          <w:szCs w:val="24"/>
        </w:rPr>
        <w:t>  </w:t>
      </w:r>
      <w:r>
        <w:rPr>
          <w:rFonts w:ascii="GHEA Grapalat" w:hAnsi="GHEA Grapalat"/>
          <w:b/>
          <w:color w:val="000000"/>
          <w:sz w:val="24"/>
          <w:szCs w:val="24"/>
          <w:shd w:val="clear" w:color="auto" w:fill="FFFFFF"/>
        </w:rPr>
        <w:t>ԿԱՌԱՎԱՐՈՒԹՅԱՆ ՈՐՈՇՄԱՆ ՆԱԽԱԳ</w:t>
      </w:r>
      <w:r>
        <w:rPr>
          <w:rFonts w:ascii="GHEA Grapalat" w:hAnsi="GHEA Grapalat"/>
          <w:b/>
          <w:color w:val="000000"/>
          <w:sz w:val="24"/>
          <w:szCs w:val="24"/>
          <w:shd w:val="clear" w:color="auto" w:fill="FFFFFF"/>
          <w:lang w:val="hy-AM"/>
        </w:rPr>
        <w:t>ԾԻ</w:t>
      </w:r>
    </w:p>
    <w:p>
      <w:pPr>
        <w:shd w:val="clear" w:color="auto" w:fill="FFFFFF"/>
        <w:spacing w:after="0" w:line="240" w:lineRule="auto"/>
        <w:ind w:firstLine="375"/>
        <w:jc w:val="center"/>
        <w:rPr>
          <w:rFonts w:ascii="GHEA Grapalat" w:eastAsia="Times New Roman" w:hAnsi="GHEA Grapalat" w:cs="Times New Roman"/>
          <w:b/>
          <w:color w:val="000000"/>
          <w:sz w:val="24"/>
          <w:szCs w:val="24"/>
        </w:rPr>
      </w:pPr>
    </w:p>
    <w:tbl>
      <w:tblPr>
        <w:tblW w:w="131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38"/>
        <w:gridCol w:w="142"/>
        <w:gridCol w:w="6095"/>
      </w:tblGrid>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rPr>
              <w:t>1.</w:t>
            </w:r>
            <w:r>
              <w:rPr>
                <w:rFonts w:ascii="GHEA Grapalat" w:hAnsi="GHEA Grapalat"/>
                <w:b/>
                <w:sz w:val="24"/>
                <w:szCs w:val="24"/>
                <w:lang w:val="hy-AM"/>
              </w:rPr>
              <w:t xml:space="preserve"> ՀՀ Առողջապահության նախարարություն</w:t>
            </w:r>
          </w:p>
          <w:p>
            <w:pPr>
              <w:spacing w:after="0" w:line="240" w:lineRule="auto"/>
              <w:jc w:val="center"/>
              <w:rPr>
                <w:rFonts w:ascii="GHEA Grapalat" w:eastAsia="Times New Roman" w:hAnsi="GHEA Grapalat" w:cs="Times New Roman"/>
                <w:b/>
                <w:color w:val="000000"/>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04</w:t>
            </w:r>
            <w:r>
              <w:rPr>
                <w:rFonts w:ascii="GHEA Grapalat" w:eastAsia="Times New Roman" w:hAnsi="GHEA Grapalat" w:cs="Times New Roman"/>
                <w:b/>
                <w:color w:val="000000"/>
                <w:sz w:val="24"/>
                <w:szCs w:val="24"/>
              </w:rPr>
              <w:t>.07.2022թ.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ԱԱ/11/16215-2022</w:t>
            </w:r>
          </w:p>
        </w:tc>
      </w:tr>
      <w:tr>
        <w:trPr>
          <w:trHeight w:val="428"/>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pStyle w:val="ListParagraph"/>
              <w:numPr>
                <w:ilvl w:val="0"/>
                <w:numId w:val="40"/>
              </w:numPr>
              <w:spacing w:after="0" w:line="240" w:lineRule="auto"/>
              <w:ind w:left="0" w:firstLine="567"/>
              <w:jc w:val="both"/>
              <w:rPr>
                <w:rFonts w:ascii="GHEA Grapalat" w:hAnsi="GHEA Grapalat"/>
                <w:sz w:val="24"/>
                <w:szCs w:val="24"/>
                <w:lang w:val="hy-AM"/>
              </w:rPr>
            </w:pPr>
            <w:r>
              <w:rPr>
                <w:rFonts w:ascii="GHEA Grapalat" w:eastAsia="Times New Roman" w:hAnsi="GHEA Grapalat"/>
                <w:sz w:val="24"/>
                <w:szCs w:val="24"/>
                <w:lang w:val="hy-AM"/>
              </w:rPr>
              <w:t xml:space="preserve">  </w:t>
            </w:r>
            <w:r>
              <w:rPr>
                <w:rFonts w:ascii="GHEA Grapalat" w:hAnsi="GHEA Grapalat"/>
                <w:sz w:val="24"/>
                <w:szCs w:val="24"/>
                <w:lang w:val="hy-AM"/>
              </w:rPr>
              <w:t xml:space="preserve">Համաձայն «Մարդկանց թրաֆիքինգի և շահագործման ենթարկված անձանց նույնացման և աջակցության մասին» Հայաստանի Հանրապետության օրենքի (այսուհետ` Օրենք) 22-րդ հոդվածի 2.2-րդ մասի`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հաստատությունում, որակի նվազագույն չափորոշիչները սահմանվում են Հայաստանի Հանրապետության կառավարության որոշմամբ: </w:t>
            </w:r>
          </w:p>
          <w:p>
            <w:pPr>
              <w:spacing w:after="0" w:line="240" w:lineRule="auto"/>
              <w:ind w:firstLine="567"/>
              <w:jc w:val="both"/>
              <w:rPr>
                <w:rFonts w:ascii="GHEA Grapalat" w:hAnsi="GHEA Grapalat"/>
                <w:sz w:val="24"/>
                <w:szCs w:val="24"/>
                <w:lang w:val="hy-AM"/>
              </w:rPr>
            </w:pPr>
            <w:r>
              <w:rPr>
                <w:rFonts w:ascii="GHEA Grapalat" w:hAnsi="GHEA Grapalat"/>
                <w:sz w:val="24"/>
                <w:szCs w:val="24"/>
                <w:lang w:val="hy-AM"/>
              </w:rPr>
              <w:t>Մինչդեռ, ինչպես Նախագծի վերնագրում, այնպես էլ ամբողջ տեքստում կիրառվում է «հավանական զոհեր» հասկացությունը, ինչը, սակայն, չի բխում լիազորող նորմի բովանդակությունից:</w:t>
            </w:r>
          </w:p>
          <w:p>
            <w:pPr>
              <w:spacing w:after="0" w:line="240" w:lineRule="auto"/>
              <w:ind w:firstLine="567"/>
              <w:jc w:val="both"/>
              <w:rPr>
                <w:rFonts w:ascii="GHEA Grapalat" w:hAnsi="GHEA Grapalat"/>
                <w:sz w:val="24"/>
                <w:szCs w:val="24"/>
                <w:lang w:val="hy-AM"/>
              </w:rPr>
            </w:pPr>
            <w:r>
              <w:rPr>
                <w:rFonts w:ascii="GHEA Grapalat" w:hAnsi="GHEA Grapalat"/>
                <w:sz w:val="24"/>
                <w:szCs w:val="24"/>
                <w:lang w:val="hy-AM"/>
              </w:rPr>
              <w:t>Հաշվի առնելով վերոգրյալը` առաջարկում եմ Նախագծում և հաստատվող հավելվածում կատարել անհրաժեշտ համապատասխանեցումներ:</w:t>
            </w:r>
          </w:p>
          <w:p>
            <w:pPr>
              <w:numPr>
                <w:ilvl w:val="0"/>
                <w:numId w:val="40"/>
              </w:numPr>
              <w:spacing w:after="0" w:line="240" w:lineRule="auto"/>
              <w:ind w:left="0" w:firstLine="567"/>
              <w:contextualSpacing/>
              <w:jc w:val="both"/>
              <w:rPr>
                <w:rFonts w:ascii="GHEA Grapalat" w:hAnsi="GHEA Grapalat"/>
                <w:sz w:val="24"/>
                <w:szCs w:val="24"/>
                <w:lang w:val="hy-AM"/>
              </w:rPr>
            </w:pPr>
            <w:r>
              <w:rPr>
                <w:rFonts w:ascii="GHEA Grapalat" w:hAnsi="GHEA Grapalat"/>
                <w:sz w:val="24"/>
                <w:szCs w:val="24"/>
                <w:lang w:val="hy-AM"/>
              </w:rPr>
              <w:lastRenderedPageBreak/>
              <w:t>Նախագծով հաստատվող հավելվածում կիրառվում է «</w:t>
            </w:r>
            <w:r>
              <w:rPr>
                <w:rFonts w:ascii="GHEA Grapalat" w:eastAsia="Calibri" w:hAnsi="GHEA Grapalat" w:cs="Times New Roman"/>
                <w:sz w:val="24"/>
                <w:szCs w:val="24"/>
                <w:lang w:val="hy-AM"/>
              </w:rPr>
              <w:t>հատուկ կատեգորիայի զոհ-երեխա</w:t>
            </w:r>
            <w:r>
              <w:rPr>
                <w:rFonts w:ascii="GHEA Grapalat" w:hAnsi="GHEA Grapalat"/>
                <w:sz w:val="24"/>
                <w:szCs w:val="24"/>
                <w:lang w:val="hy-AM"/>
              </w:rPr>
              <w:t xml:space="preserve">» ձևակերպումը, մինչդեռ Օրենքում կիրառվում է «հատուկ կատեգորիայի երեխա զոհեր» ձևակերպումը: </w:t>
            </w:r>
          </w:p>
          <w:p>
            <w:pPr>
              <w:spacing w:after="0" w:line="240" w:lineRule="auto"/>
              <w:ind w:firstLine="567"/>
              <w:jc w:val="both"/>
              <w:rPr>
                <w:rFonts w:ascii="GHEA Grapalat" w:hAnsi="GHEA Grapalat"/>
                <w:sz w:val="24"/>
                <w:szCs w:val="24"/>
                <w:lang w:val="hy-AM"/>
              </w:rPr>
            </w:pPr>
            <w:r>
              <w:rPr>
                <w:rFonts w:ascii="GHEA Grapalat" w:hAnsi="GHEA Grapalat"/>
                <w:sz w:val="24"/>
                <w:szCs w:val="24"/>
                <w:lang w:val="hy-AM"/>
              </w:rPr>
              <w:t>Բացի այդ, Նախագծով հաստատվող հավելվածում կիրառվում է «զոհի երեխա» ձևակերպումը, մինչդեռ Օրենքում կիրառվում է «</w:t>
            </w:r>
            <w:bookmarkStart w:id="0" w:name="_Hlk109142212"/>
            <w:r>
              <w:rPr>
                <w:rFonts w:ascii="GHEA Grapalat" w:hAnsi="GHEA Grapalat"/>
                <w:sz w:val="24"/>
                <w:szCs w:val="24"/>
                <w:lang w:val="hy-AM"/>
              </w:rPr>
              <w:t>զոհերի խնամքի տակ գտնվող երեխա</w:t>
            </w:r>
            <w:bookmarkEnd w:id="0"/>
            <w:r>
              <w:rPr>
                <w:rFonts w:ascii="GHEA Grapalat" w:hAnsi="GHEA Grapalat"/>
                <w:sz w:val="24"/>
                <w:szCs w:val="24"/>
                <w:lang w:val="hy-AM"/>
              </w:rPr>
              <w:t>» ձևակերպումը:</w:t>
            </w:r>
          </w:p>
          <w:p>
            <w:pPr>
              <w:spacing w:after="0" w:line="240" w:lineRule="auto"/>
              <w:ind w:firstLine="567"/>
              <w:jc w:val="both"/>
              <w:rPr>
                <w:rFonts w:ascii="GHEA Grapalat" w:hAnsi="GHEA Grapalat"/>
                <w:sz w:val="24"/>
                <w:szCs w:val="24"/>
                <w:lang w:val="hy-AM"/>
              </w:rPr>
            </w:pPr>
            <w:r>
              <w:rPr>
                <w:rFonts w:ascii="GHEA Grapalat" w:hAnsi="GHEA Grapalat"/>
                <w:bCs/>
                <w:color w:val="000000" w:themeColor="text1"/>
                <w:sz w:val="24"/>
                <w:szCs w:val="24"/>
                <w:lang w:val="hy-AM"/>
              </w:rPr>
              <w:t xml:space="preserve">Հաշվի առնելով վերոգրյալը` առաջարկում եմ </w:t>
            </w:r>
            <w:r>
              <w:rPr>
                <w:rFonts w:ascii="GHEA Grapalat" w:hAnsi="GHEA Grapalat"/>
                <w:sz w:val="24"/>
                <w:szCs w:val="24"/>
                <w:lang w:val="hy-AM"/>
              </w:rPr>
              <w:t>Նախագծով հաստատվող հավելվածում կիրառվող ձևակերպումները համապատասխանեցնել Օրենքում կիրառվող ձևակերպումներին:</w:t>
            </w:r>
          </w:p>
          <w:p>
            <w:pPr>
              <w:spacing w:after="0" w:line="240" w:lineRule="auto"/>
              <w:ind w:left="118" w:firstLine="449"/>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Առաջարկում եմ </w:t>
            </w:r>
            <w:r>
              <w:rPr>
                <w:rFonts w:ascii="GHEA Grapalat" w:hAnsi="GHEA Grapalat"/>
                <w:sz w:val="24"/>
                <w:szCs w:val="24"/>
                <w:lang w:val="hy-AM"/>
              </w:rPr>
              <w:t>Նախագծով հաստատվող հավելված</w:t>
            </w:r>
            <w:r>
              <w:rPr>
                <w:rFonts w:ascii="GHEA Grapalat" w:hAnsi="GHEA Grapalat"/>
                <w:bCs/>
                <w:color w:val="000000" w:themeColor="text1"/>
                <w:sz w:val="24"/>
                <w:szCs w:val="24"/>
                <w:lang w:val="hy-AM"/>
              </w:rPr>
              <w:t xml:space="preserve">ի 16-րդ կետում «հիվանդ» բառը փոխարինել «պացիենտ» բառով` </w:t>
            </w:r>
            <w:r>
              <w:rPr>
                <w:rFonts w:ascii="Calibri" w:hAnsi="Calibri" w:cs="Calibri"/>
                <w:bCs/>
                <w:color w:val="000000" w:themeColor="text1"/>
                <w:sz w:val="24"/>
                <w:szCs w:val="24"/>
                <w:lang w:val="hy-AM"/>
              </w:rPr>
              <w:t> </w:t>
            </w:r>
            <w:r>
              <w:rPr>
                <w:rFonts w:ascii="GHEA Grapalat" w:hAnsi="GHEA Grapalat"/>
                <w:bCs/>
                <w:color w:val="000000" w:themeColor="text1"/>
                <w:sz w:val="24"/>
                <w:szCs w:val="24"/>
                <w:lang w:val="hy-AM"/>
              </w:rPr>
              <w:t>հիմք ընդունելով «Բնակչության բժշկական օգնության և սպասարկման մասին» օրենքում կիրառվող հասկացությունը:</w:t>
            </w:r>
          </w:p>
          <w:p>
            <w:pPr>
              <w:spacing w:after="0" w:line="240" w:lineRule="auto"/>
              <w:ind w:left="118" w:firstLine="449"/>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Առաջարկում եմ նաև </w:t>
            </w:r>
            <w:r>
              <w:rPr>
                <w:rFonts w:ascii="GHEA Grapalat" w:hAnsi="GHEA Grapalat"/>
                <w:sz w:val="24"/>
                <w:szCs w:val="24"/>
                <w:lang w:val="hy-AM"/>
              </w:rPr>
              <w:t>Նախագծով հաստատվող հավելված</w:t>
            </w:r>
            <w:r>
              <w:rPr>
                <w:rFonts w:ascii="GHEA Grapalat" w:hAnsi="GHEA Grapalat"/>
                <w:bCs/>
                <w:color w:val="000000" w:themeColor="text1"/>
                <w:sz w:val="24"/>
                <w:szCs w:val="24"/>
                <w:lang w:val="hy-AM"/>
              </w:rPr>
              <w:t>ի 35-րդ կետի աղյուսակի 1-ին կետի 6-րդ սյունյակից հանել «պացիենտի համար» բառերը:</w:t>
            </w:r>
          </w:p>
          <w:p>
            <w:pPr>
              <w:spacing w:after="0" w:line="240" w:lineRule="auto"/>
              <w:ind w:left="118" w:firstLine="449"/>
              <w:jc w:val="both"/>
              <w:rPr>
                <w:rFonts w:ascii="GHEA Grapalat" w:hAnsi="GHEA Grapalat"/>
                <w:bCs/>
                <w:color w:val="000000" w:themeColor="text1"/>
                <w:sz w:val="24"/>
                <w:szCs w:val="24"/>
                <w:lang w:val="hy-AM"/>
              </w:rPr>
            </w:pPr>
            <w:r>
              <w:rPr>
                <w:rFonts w:ascii="GHEA Grapalat" w:hAnsi="GHEA Grapalat"/>
                <w:sz w:val="24"/>
                <w:szCs w:val="24"/>
                <w:lang w:val="hy-AM"/>
              </w:rPr>
              <w:t>Նախագծով հաստատվող հավելված</w:t>
            </w:r>
            <w:r>
              <w:rPr>
                <w:rFonts w:ascii="GHEA Grapalat" w:hAnsi="GHEA Grapalat"/>
                <w:bCs/>
                <w:color w:val="000000" w:themeColor="text1"/>
                <w:sz w:val="24"/>
                <w:szCs w:val="24"/>
                <w:lang w:val="hy-AM"/>
              </w:rPr>
              <w:t>ի 53-րդ կետում նշված «բժշկական շարունակական հսկողության և հիվանդանոցային բուժման ուղղորդմանը» բառերը առաջարկում եմ փոխարինել «</w:t>
            </w:r>
            <w:bookmarkStart w:id="1" w:name="_Hlk109142451"/>
            <w:r>
              <w:rPr>
                <w:rFonts w:ascii="GHEA Grapalat" w:hAnsi="GHEA Grapalat"/>
                <w:bCs/>
                <w:color w:val="000000" w:themeColor="text1"/>
                <w:sz w:val="24"/>
                <w:szCs w:val="24"/>
                <w:lang w:val="hy-AM"/>
              </w:rPr>
              <w:t>բժշկական օգնության և սպասարկման տրամադրմանը</w:t>
            </w:r>
            <w:bookmarkEnd w:id="1"/>
            <w:r>
              <w:rPr>
                <w:rFonts w:ascii="GHEA Grapalat" w:hAnsi="GHEA Grapalat"/>
                <w:bCs/>
                <w:color w:val="000000" w:themeColor="text1"/>
                <w:sz w:val="24"/>
                <w:szCs w:val="24"/>
                <w:lang w:val="hy-AM"/>
              </w:rPr>
              <w:t>» բառերով` հիմք ընդունելով Օրենքում կիրառվող ձևակերպումները:</w:t>
            </w:r>
          </w:p>
          <w:p>
            <w:pPr>
              <w:numPr>
                <w:ilvl w:val="0"/>
                <w:numId w:val="40"/>
              </w:numPr>
              <w:shd w:val="clear" w:color="auto" w:fill="FFFFFF"/>
              <w:tabs>
                <w:tab w:val="left" w:pos="709"/>
                <w:tab w:val="left" w:pos="851"/>
              </w:tabs>
              <w:spacing w:after="0" w:line="240" w:lineRule="auto"/>
              <w:ind w:left="118" w:firstLine="449"/>
              <w:contextualSpacing/>
              <w:jc w:val="both"/>
              <w:rPr>
                <w:rFonts w:ascii="GHEA Grapalat" w:eastAsia="Calibri" w:hAnsi="GHEA Grapalat" w:cs="Times New Roman"/>
                <w:sz w:val="24"/>
                <w:szCs w:val="24"/>
                <w:shd w:val="clear" w:color="auto" w:fill="FFFFFF"/>
                <w:lang w:val="hy-AM"/>
              </w:rPr>
            </w:pPr>
            <w:r>
              <w:rPr>
                <w:rFonts w:ascii="GHEA Grapalat" w:hAnsi="GHEA Grapalat"/>
                <w:sz w:val="24"/>
                <w:szCs w:val="24"/>
                <w:lang w:val="hy-AM"/>
              </w:rPr>
              <w:t>Նախագծով հաստատվող հավելված</w:t>
            </w:r>
            <w:r>
              <w:rPr>
                <w:rFonts w:ascii="GHEA Grapalat" w:hAnsi="GHEA Grapalat"/>
                <w:bCs/>
                <w:color w:val="000000" w:themeColor="text1"/>
                <w:sz w:val="24"/>
                <w:szCs w:val="24"/>
                <w:lang w:val="hy-AM"/>
              </w:rPr>
              <w:t xml:space="preserve">ի 14-րդ կետի համաձայն` </w:t>
            </w:r>
            <w:r>
              <w:rPr>
                <w:rFonts w:ascii="GHEA Grapalat" w:eastAsia="Arial Unicode" w:hAnsi="GHEA Grapalat" w:cs="Arial Unicode"/>
                <w:color w:val="000000"/>
                <w:sz w:val="24"/>
                <w:szCs w:val="24"/>
                <w:lang w:val="hy-AM"/>
              </w:rPr>
              <w:t xml:space="preserve">կացարանում </w:t>
            </w:r>
            <w:r>
              <w:rPr>
                <w:rFonts w:ascii="GHEA Grapalat" w:eastAsia="Calibri" w:hAnsi="GHEA Grapalat" w:cs="Times New Roman"/>
                <w:sz w:val="24"/>
                <w:szCs w:val="24"/>
                <w:shd w:val="clear" w:color="auto" w:fill="FFFFFF"/>
                <w:lang w:val="hy-AM"/>
              </w:rPr>
              <w:t xml:space="preserve">մարդկանց թրաֆիքինգի և </w:t>
            </w:r>
            <w:r>
              <w:rPr>
                <w:rFonts w:ascii="GHEA Grapalat" w:eastAsia="Calibri" w:hAnsi="GHEA Grapalat" w:cs="Times New Roman"/>
                <w:sz w:val="24"/>
                <w:szCs w:val="24"/>
                <w:shd w:val="clear" w:color="auto" w:fill="FFFFFF"/>
                <w:lang w:val="hy-AM"/>
              </w:rPr>
              <w:lastRenderedPageBreak/>
              <w:t>շահագործման հավանական զոհին, զոհին կամ հատուկ կատեգորիայի զոհին ընդունում են անձնագրով կամ անձը հաստատող այլ փաստաթղթով, իսկ դրանց բացակայության դեպքում՝ առանց դրա՝ նշում կատարելով այլ փաստաթղթերից մարդկանց թրաֆիքինգի և շահագործման հավանական զոհի, զոհի կամ հատուկ կատեգորիայի զոհի անունը, ազգանունը, ծննդյան տարեթիվը և այլ տվյալներ, որոնք հայտնի են: Տվյալ պարագայում, անդրադարձ չի կատարվում այն դեպքին, երբ առհասարակ բացակայում են փաստաթղթերը, որոնք կարող են տվյալների աղբյուր հանդիսանալ: Ուստի առաջարկում եմ քննարկել նկարագրված իրավիճակին անդրադարձ կատարելու նպատակահարմարությունը:</w:t>
            </w:r>
          </w:p>
          <w:p>
            <w:pPr>
              <w:numPr>
                <w:ilvl w:val="0"/>
                <w:numId w:val="40"/>
              </w:numPr>
              <w:shd w:val="clear" w:color="auto" w:fill="FFFFFF"/>
              <w:tabs>
                <w:tab w:val="left" w:pos="709"/>
                <w:tab w:val="left" w:pos="851"/>
              </w:tabs>
              <w:spacing w:after="0" w:line="240" w:lineRule="auto"/>
              <w:ind w:left="0" w:firstLine="567"/>
              <w:contextualSpacing/>
              <w:jc w:val="both"/>
              <w:rPr>
                <w:rFonts w:ascii="GHEA Grapalat" w:eastAsia="Calibri" w:hAnsi="GHEA Grapalat" w:cs="Times New Roman"/>
                <w:sz w:val="24"/>
                <w:szCs w:val="24"/>
                <w:shd w:val="clear" w:color="auto" w:fill="FFFFFF"/>
                <w:lang w:val="hy-AM"/>
              </w:rPr>
            </w:pPr>
            <w:r>
              <w:rPr>
                <w:rFonts w:ascii="GHEA Grapalat" w:hAnsi="GHEA Grapalat"/>
                <w:sz w:val="24"/>
                <w:szCs w:val="24"/>
                <w:lang w:val="hy-AM"/>
              </w:rPr>
              <w:t>Նախագծով հաստատվող հավելված</w:t>
            </w:r>
            <w:r>
              <w:rPr>
                <w:rFonts w:ascii="GHEA Grapalat" w:hAnsi="GHEA Grapalat"/>
                <w:bCs/>
                <w:color w:val="000000" w:themeColor="text1"/>
                <w:sz w:val="24"/>
                <w:szCs w:val="24"/>
                <w:lang w:val="hy-AM"/>
              </w:rPr>
              <w:t xml:space="preserve">ի «8.Եզրափակիչ դրույթներ» գլխում կարգավորվում եմ ընթացակարգային հարաբերություններ, ինչպես նաև նշված գլուխը պարունակում է </w:t>
            </w:r>
            <w:r>
              <w:rPr>
                <w:rFonts w:ascii="GHEA Grapalat" w:hAnsi="GHEA Grapalat"/>
                <w:bCs/>
                <w:iCs/>
                <w:color w:val="000000" w:themeColor="text1"/>
                <w:sz w:val="24"/>
                <w:szCs w:val="24"/>
                <w:lang w:val="hy-AM"/>
              </w:rPr>
              <w:t>ծառայություններ կամ օգնություն տրամադրող կազմակերպության կամ հաստատության և Աշխատանքի և սոցիալական հարցերի նախարարության միջև իրավահարաբերությունների ծագամանն ու դադարմանը վերաբերող դրույթներ: Նշված գլխում ներառված կարգավորումները դուրս են Նախագծի կարգավորման առարկայի շրջանակից, ուստի առաջարկում եմ վերանայել դրանք Նախագծով սահմանելու նպատակահարմարությունը:</w:t>
            </w:r>
          </w:p>
          <w:p>
            <w:pPr>
              <w:shd w:val="clear" w:color="auto" w:fill="FFFFFF"/>
              <w:tabs>
                <w:tab w:val="left" w:pos="709"/>
                <w:tab w:val="left" w:pos="851"/>
              </w:tabs>
              <w:spacing w:after="0" w:line="240" w:lineRule="auto"/>
              <w:contextualSpacing/>
              <w:jc w:val="both"/>
              <w:rPr>
                <w:rFonts w:ascii="GHEA Grapalat" w:eastAsia="Calibri" w:hAnsi="GHEA Grapalat" w:cs="Times New Roman"/>
                <w:sz w:val="24"/>
                <w:szCs w:val="24"/>
                <w:shd w:val="clear" w:color="auto" w:fill="FFFFFF"/>
                <w:lang w:val="hy-AM"/>
              </w:rPr>
            </w:pPr>
          </w:p>
          <w:p>
            <w:pPr>
              <w:shd w:val="clear" w:color="auto" w:fill="FFFFFF"/>
              <w:tabs>
                <w:tab w:val="left" w:pos="709"/>
                <w:tab w:val="left" w:pos="851"/>
              </w:tabs>
              <w:spacing w:after="0" w:line="240" w:lineRule="auto"/>
              <w:contextualSpacing/>
              <w:jc w:val="both"/>
              <w:rPr>
                <w:rFonts w:ascii="GHEA Grapalat" w:eastAsia="Calibri" w:hAnsi="GHEA Grapalat" w:cs="Times New Roman"/>
                <w:sz w:val="24"/>
                <w:szCs w:val="24"/>
                <w:shd w:val="clear" w:color="auto" w:fill="FFFFFF"/>
                <w:lang w:val="hy-AM"/>
              </w:rPr>
            </w:pPr>
          </w:p>
          <w:p>
            <w:pPr>
              <w:shd w:val="clear" w:color="auto" w:fill="FFFFFF"/>
              <w:tabs>
                <w:tab w:val="left" w:pos="709"/>
                <w:tab w:val="left" w:pos="851"/>
              </w:tabs>
              <w:spacing w:after="0" w:line="240" w:lineRule="auto"/>
              <w:contextualSpacing/>
              <w:jc w:val="both"/>
              <w:rPr>
                <w:rFonts w:ascii="GHEA Grapalat" w:eastAsia="Calibri" w:hAnsi="GHEA Grapalat" w:cs="Times New Roman"/>
                <w:sz w:val="24"/>
                <w:szCs w:val="24"/>
                <w:shd w:val="clear" w:color="auto" w:fill="FFFFFF"/>
                <w:lang w:val="hy-AM"/>
              </w:rPr>
            </w:pPr>
          </w:p>
          <w:p>
            <w:pPr>
              <w:numPr>
                <w:ilvl w:val="0"/>
                <w:numId w:val="40"/>
              </w:numPr>
              <w:spacing w:after="0" w:line="240" w:lineRule="auto"/>
              <w:ind w:left="0" w:firstLine="567"/>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Նախագծով հաստատվող հավելվածով նախատեսված չեն կացարաններում վարակիչ հիվանդությունների կանխարգելման նպատակով հակահամաճարակային միջոցառումները, մասնավորապես՝ վարակիչ հիվանդությունների ներթափանցման և տարածման կանխարգելմանն ուղղված: </w:t>
            </w:r>
          </w:p>
          <w:p>
            <w:pPr>
              <w:spacing w:after="0" w:line="240" w:lineRule="auto"/>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Ելնելով նշվածից՝ առաջարկում եմ. </w:t>
            </w:r>
          </w:p>
          <w:p>
            <w:pPr>
              <w:numPr>
                <w:ilvl w:val="0"/>
                <w:numId w:val="41"/>
              </w:numPr>
              <w:spacing w:after="0" w:line="240" w:lineRule="auto"/>
              <w:ind w:left="0" w:firstLine="567"/>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Հաշվի առնելով, որ նոր ընդունվողների համար նախատեսվում է կարանտինային բաժանմունք, ապա այդ կացարանները կարանտինի ժամանակահատվածում կարող են դիտարկվել որպես փակ տիպի կազմակերպություններ: Ելնելով վերոգրյալից՝ Նախագծով հաստատվող հավելվածի 15-րդ կետում բժշկական զննման բառերից հետո լրացնել </w:t>
            </w:r>
            <w:bookmarkStart w:id="2" w:name="_Hlk109143356"/>
            <w:r>
              <w:rPr>
                <w:rFonts w:ascii="GHEA Grapalat" w:eastAsia="Calibri" w:hAnsi="GHEA Grapalat" w:cs="Times New Roman"/>
                <w:sz w:val="24"/>
                <w:szCs w:val="24"/>
                <w:lang w:val="hy-AM"/>
              </w:rPr>
              <w:t>կղանքի միանվագ մանրէաբանական և մակաբուծաբանական հետազոտության աղիքային վարակիչ հիվանդություններ առաջացնող ախտածին հարուցիչների, միաբջիջ նախակենդանիների նկատմամբ,</w:t>
            </w:r>
            <w:bookmarkEnd w:id="2"/>
            <w:r>
              <w:rPr>
                <w:rFonts w:ascii="GHEA Grapalat" w:eastAsia="Calibri" w:hAnsi="GHEA Grapalat" w:cs="Times New Roman"/>
                <w:sz w:val="24"/>
                <w:szCs w:val="24"/>
                <w:lang w:val="hy-AM"/>
              </w:rPr>
              <w:t xml:space="preserve"> բառերը (նշված միջոցառումը նախատեսված է փակ տիպի կազմակերպություններ նոր ընդունվողների համար՝ համաձայն Առողջապահության նախարարի 2013 թվականի ապրիլի 9-ի «Աղիքային վարակիչ հիվանդությունների համաճարակաբանական հսկողություն» N 3.1.1.-027-2013 սանիտարահամաճարակաբանական կանոնները և նորմերը հաստատելու մասին թիվ 14-Ն հրամանի): </w:t>
            </w:r>
          </w:p>
          <w:p>
            <w:pPr>
              <w:numPr>
                <w:ilvl w:val="0"/>
                <w:numId w:val="41"/>
              </w:numPr>
              <w:spacing w:after="0" w:line="240" w:lineRule="auto"/>
              <w:ind w:left="0" w:firstLine="567"/>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Կացարանների կառուցվածքում նախատեսել մեկուսարան՝ </w:t>
            </w:r>
            <w:bookmarkStart w:id="3" w:name="_Hlk109143521"/>
            <w:r>
              <w:rPr>
                <w:rFonts w:ascii="GHEA Grapalat" w:eastAsia="Calibri" w:hAnsi="GHEA Grapalat" w:cs="Times New Roman"/>
                <w:sz w:val="24"/>
                <w:szCs w:val="24"/>
                <w:lang w:val="hy-AM"/>
              </w:rPr>
              <w:t>վարակիչ հիվանդությունների արձանագրման դեպքում պացիենտներին մեկուսացնելու նպատակով</w:t>
            </w:r>
            <w:bookmarkEnd w:id="3"/>
            <w:r>
              <w:rPr>
                <w:rFonts w:ascii="GHEA Grapalat" w:eastAsia="Calibri" w:hAnsi="GHEA Grapalat" w:cs="Times New Roman"/>
                <w:sz w:val="24"/>
                <w:szCs w:val="24"/>
                <w:lang w:val="hy-AM"/>
              </w:rPr>
              <w:t>:</w:t>
            </w:r>
          </w:p>
          <w:p>
            <w:pPr>
              <w:numPr>
                <w:ilvl w:val="0"/>
                <w:numId w:val="41"/>
              </w:numPr>
              <w:spacing w:after="0" w:line="240" w:lineRule="auto"/>
              <w:ind w:left="0" w:firstLine="567"/>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Անհրաժեշտ է հստակեցնել նաև Նախագծով հաստատվող հավելվածի 15-րդ կետով սահմանված 7 օր տևողությամբ կարանտինի ժամկետի հիմքերը:</w:t>
            </w:r>
          </w:p>
          <w:p>
            <w:pPr>
              <w:spacing w:after="0" w:line="240" w:lineRule="auto"/>
              <w:ind w:firstLine="567"/>
              <w:jc w:val="both"/>
              <w:rPr>
                <w:rFonts w:ascii="GHEA Grapalat" w:eastAsia="Calibri" w:hAnsi="GHEA Grapalat" w:cs="Times New Roman"/>
                <w:sz w:val="24"/>
                <w:szCs w:val="24"/>
                <w:lang w:val="hy-AM"/>
              </w:rPr>
            </w:pPr>
          </w:p>
          <w:p>
            <w:pPr>
              <w:spacing w:after="0" w:line="240" w:lineRule="auto"/>
              <w:ind w:firstLine="567"/>
              <w:jc w:val="both"/>
              <w:rPr>
                <w:rFonts w:ascii="GHEA Grapalat" w:eastAsia="Calibri" w:hAnsi="GHEA Grapalat" w:cs="Times New Roman"/>
                <w:sz w:val="24"/>
                <w:szCs w:val="24"/>
                <w:lang w:val="hy-AM"/>
              </w:rPr>
            </w:pPr>
          </w:p>
          <w:p>
            <w:pPr>
              <w:spacing w:after="0" w:line="240" w:lineRule="auto"/>
              <w:ind w:firstLine="567"/>
              <w:jc w:val="both"/>
              <w:rPr>
                <w:rFonts w:ascii="GHEA Grapalat" w:eastAsia="Calibri" w:hAnsi="GHEA Grapalat" w:cs="Times New Roman"/>
                <w:sz w:val="24"/>
                <w:szCs w:val="24"/>
                <w:lang w:val="hy-AM"/>
              </w:rPr>
            </w:pPr>
          </w:p>
          <w:p>
            <w:pPr>
              <w:spacing w:after="0" w:line="240" w:lineRule="auto"/>
              <w:ind w:firstLine="567"/>
              <w:jc w:val="both"/>
              <w:rPr>
                <w:rFonts w:ascii="GHEA Grapalat" w:eastAsia="Calibri" w:hAnsi="GHEA Grapalat" w:cs="Times New Roman"/>
                <w:sz w:val="24"/>
                <w:szCs w:val="24"/>
                <w:lang w:val="hy-AM"/>
              </w:rPr>
            </w:pPr>
          </w:p>
          <w:p>
            <w:pPr>
              <w:spacing w:after="0" w:line="240" w:lineRule="auto"/>
              <w:ind w:firstLine="567"/>
              <w:jc w:val="both"/>
              <w:rPr>
                <w:rFonts w:ascii="GHEA Grapalat" w:hAnsi="GHEA Grapalat"/>
                <w:sz w:val="24"/>
                <w:szCs w:val="24"/>
                <w:lang w:val="hy-AM"/>
              </w:rPr>
            </w:pPr>
            <w:r>
              <w:rPr>
                <w:rFonts w:ascii="GHEA Grapalat" w:eastAsia="Calibri" w:hAnsi="GHEA Grapalat" w:cs="Times New Roman"/>
                <w:sz w:val="24"/>
                <w:szCs w:val="24"/>
                <w:lang w:val="hy-AM"/>
              </w:rPr>
              <w:t>Միաժամանակ, Նախագծով հաստատվող հավելվածի 6-րդ կետից առաջարկում եմ հանել «հակահամաճարակային» բառը` հաշվի առնելով, որ Հայաստանի Հանրապետությունում սենյակների համար նման պահանջներ սահմանված չեն:</w:t>
            </w:r>
          </w:p>
        </w:tc>
        <w:tc>
          <w:tcPr>
            <w:tcW w:w="6237" w:type="dxa"/>
            <w:gridSpan w:val="2"/>
            <w:tcBorders>
              <w:top w:val="outset" w:sz="6" w:space="0" w:color="auto"/>
              <w:left w:val="nil"/>
              <w:bottom w:val="outset" w:sz="6" w:space="0" w:color="auto"/>
              <w:right w:val="outset" w:sz="6" w:space="0" w:color="auto"/>
            </w:tcBorders>
            <w:shd w:val="clear" w:color="auto" w:fill="FFFFFF"/>
            <w:hideMark/>
          </w:tcPr>
          <w:p>
            <w:pPr>
              <w:pStyle w:val="ListParagraph"/>
              <w:numPr>
                <w:ilvl w:val="0"/>
                <w:numId w:val="43"/>
              </w:numPr>
              <w:tabs>
                <w:tab w:val="left" w:pos="444"/>
              </w:tabs>
              <w:spacing w:after="0" w:line="240" w:lineRule="auto"/>
              <w:ind w:left="136" w:firstLine="142"/>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lastRenderedPageBreak/>
              <w:t>Ընդունվել է, կատարվել է համապատասխան փոփոխություն:</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pStyle w:val="ListParagraph"/>
              <w:numPr>
                <w:ilvl w:val="0"/>
                <w:numId w:val="43"/>
              </w:numPr>
              <w:tabs>
                <w:tab w:val="left" w:pos="444"/>
              </w:tabs>
              <w:spacing w:after="0" w:line="240" w:lineRule="auto"/>
              <w:ind w:left="136" w:firstLine="142"/>
              <w:jc w:val="both"/>
              <w:rPr>
                <w:rFonts w:ascii="GHEA Grapalat" w:eastAsia="Times New Roman" w:hAnsi="GHEA Grapalat"/>
                <w:bCs/>
                <w:color w:val="000000"/>
                <w:sz w:val="24"/>
                <w:szCs w:val="24"/>
                <w:lang w:val="hy-AM"/>
              </w:rPr>
            </w:pPr>
            <w:r>
              <w:rPr>
                <w:rFonts w:ascii="GHEA Grapalat" w:hAnsi="GHEA Grapalat"/>
                <w:color w:val="000000"/>
                <w:sz w:val="24"/>
                <w:szCs w:val="24"/>
                <w:shd w:val="clear" w:color="auto" w:fill="FFFFFF"/>
                <w:lang w:val="hy-AM"/>
              </w:rPr>
              <w:lastRenderedPageBreak/>
              <w:t>Ընդունվել են, կատարվել են համապատասխան փոփոխություններ:</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 Ընդունվել է, կատարվել է համապատասխան փոփոխություն:</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կատարվել է համապատասխան փոփոխություն:</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կատարվել է համապատասխան փոփոխություն:</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pStyle w:val="ListParagraph"/>
              <w:numPr>
                <w:ilvl w:val="0"/>
                <w:numId w:val="43"/>
              </w:numPr>
              <w:tabs>
                <w:tab w:val="left" w:pos="444"/>
              </w:tabs>
              <w:spacing w:after="0" w:line="240" w:lineRule="auto"/>
              <w:ind w:left="140" w:firstLine="220"/>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Չի ընդունվել: Հաշվի առնելով, որ կացարն ընդունում իրականացվում է նախանույնացման կամ </w:t>
            </w:r>
            <w:r>
              <w:rPr>
                <w:rFonts w:ascii="GHEA Grapalat" w:eastAsia="Times New Roman" w:hAnsi="GHEA Grapalat"/>
                <w:bCs/>
                <w:color w:val="000000"/>
                <w:sz w:val="24"/>
                <w:szCs w:val="24"/>
                <w:lang w:val="hy-AM"/>
              </w:rPr>
              <w:lastRenderedPageBreak/>
              <w:t>նույնացման փուլում, դա ենթադրում, որ առնվազն հանձնաժողովի որոշում, ոստիկանությունից տրամադրված տեղեկանք կամ այլ փաստաթուղթ առկա լինելու է:</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pStyle w:val="ListParagraph"/>
              <w:numPr>
                <w:ilvl w:val="0"/>
                <w:numId w:val="43"/>
              </w:numPr>
              <w:tabs>
                <w:tab w:val="left" w:pos="444"/>
              </w:tabs>
              <w:spacing w:after="0" w:line="240" w:lineRule="auto"/>
              <w:ind w:left="140" w:firstLine="220"/>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Չի ընդունվել: Մ</w:t>
            </w:r>
            <w:r>
              <w:rPr>
                <w:rFonts w:ascii="GHEA Grapalat" w:eastAsia="Times New Roman" w:hAnsi="GHEA Grapalat"/>
                <w:color w:val="000000"/>
                <w:sz w:val="24"/>
                <w:szCs w:val="24"/>
                <w:lang w:val="hy-AM"/>
              </w:rPr>
              <w:t xml:space="preserve">արդկանց թրաֆիքինգի և շահագործման հավանական զոհերին, </w:t>
            </w:r>
            <w:r>
              <w:rPr>
                <w:rFonts w:ascii="GHEA Grapalat" w:hAnsi="GHEA Grapalat"/>
                <w:sz w:val="24"/>
                <w:szCs w:val="24"/>
                <w:shd w:val="clear" w:color="auto" w:fill="FFFFFF"/>
                <w:lang w:val="hy-AM"/>
              </w:rPr>
              <w:t xml:space="preserve">զոհերին և հատուկ կատեգորիայի զոհերին </w:t>
            </w:r>
            <w:r>
              <w:rPr>
                <w:rFonts w:ascii="GHEA Grapalat" w:eastAsia="Times New Roman" w:hAnsi="GHEA Grapalat"/>
                <w:color w:val="000000"/>
                <w:sz w:val="24"/>
                <w:szCs w:val="24"/>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Pr>
                <w:rFonts w:ascii="GHEA Grapalat" w:hAnsi="GHEA Grapalat"/>
                <w:bCs/>
                <w:iCs/>
                <w:sz w:val="24"/>
                <w:szCs w:val="24"/>
                <w:lang w:val="hy-AM"/>
              </w:rPr>
              <w:t>որակի նվազագույն չափորոշիչները, լինելով նորարարություն և մինչ այս նախատեսված չլինելով ՀՀ օրենսդրությամբ, ակամա առաջացնում են թե՛ իրավահարաբերությունների փոփոխություն, թե՛ դրանց դադարեցում, եթե ծառայությունների մատուցումը չի համապատասխանելու այն չափորոշիչներին, որոնք սահմանվել են Նախագծով:</w:t>
            </w: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tabs>
                <w:tab w:val="left" w:pos="444"/>
              </w:tabs>
              <w:spacing w:after="0" w:line="240" w:lineRule="auto"/>
              <w:ind w:left="360"/>
              <w:jc w:val="both"/>
              <w:rPr>
                <w:rFonts w:ascii="GHEA Grapalat" w:eastAsia="Times New Roman" w:hAnsi="GHEA Grapalat"/>
                <w:bCs/>
                <w:color w:val="000000"/>
                <w:sz w:val="24"/>
                <w:szCs w:val="24"/>
                <w:lang w:val="hy-AM"/>
              </w:rPr>
            </w:pPr>
          </w:p>
          <w:p>
            <w:pPr>
              <w:pStyle w:val="ListParagraph"/>
              <w:numPr>
                <w:ilvl w:val="0"/>
                <w:numId w:val="44"/>
              </w:numPr>
              <w:tabs>
                <w:tab w:val="left" w:pos="444"/>
              </w:tabs>
              <w:spacing w:after="0" w:line="240" w:lineRule="auto"/>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կատարվել է համապատասխան փոփոխություն:</w:t>
            </w: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p>
          <w:p>
            <w:pPr>
              <w:pStyle w:val="ListParagraph"/>
              <w:numPr>
                <w:ilvl w:val="0"/>
                <w:numId w:val="44"/>
              </w:numPr>
              <w:tabs>
                <w:tab w:val="left" w:pos="444"/>
              </w:tabs>
              <w:spacing w:after="0" w:line="240" w:lineRule="auto"/>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15-րդ կետում կատարվել է համապատասխան լրացում:</w:t>
            </w:r>
          </w:p>
          <w:p>
            <w:pPr>
              <w:tabs>
                <w:tab w:val="left" w:pos="444"/>
              </w:tabs>
              <w:spacing w:after="0" w:line="240" w:lineRule="auto"/>
              <w:ind w:firstLine="282"/>
              <w:jc w:val="both"/>
              <w:rPr>
                <w:rFonts w:ascii="GHEA Grapalat" w:eastAsia="Times New Roman" w:hAnsi="GHEA Grapalat"/>
                <w:bCs/>
                <w:color w:val="000000"/>
                <w:sz w:val="24"/>
                <w:szCs w:val="24"/>
                <w:lang w:val="hy-AM"/>
              </w:rPr>
            </w:pPr>
          </w:p>
          <w:p>
            <w:pPr>
              <w:tabs>
                <w:tab w:val="left" w:pos="444"/>
              </w:tabs>
              <w:spacing w:after="0" w:line="240" w:lineRule="auto"/>
              <w:ind w:firstLine="282"/>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lastRenderedPageBreak/>
              <w:t>3) Ընդունվել է, կատարվել է համապատասխան փոփոխություն՝ 15 օր՝ ՀՀ քրեակատարողական օրենսգրքում կարանտինային բաժանմունքում պահելու տրամաբանությամբ՝ ելնելով վարակիչ  հիվանդությունների մեծամասնության գաղտնի շրջանի տևողությամբ:</w:t>
            </w:r>
          </w:p>
          <w:p>
            <w:pPr>
              <w:pStyle w:val="ListParagraph"/>
              <w:tabs>
                <w:tab w:val="left" w:pos="444"/>
              </w:tabs>
              <w:spacing w:after="0" w:line="240" w:lineRule="auto"/>
              <w:ind w:left="642"/>
              <w:jc w:val="both"/>
              <w:rPr>
                <w:rFonts w:ascii="GHEA Grapalat" w:eastAsia="Times New Roman" w:hAnsi="GHEA Grapalat"/>
                <w:bCs/>
                <w:color w:val="000000"/>
                <w:sz w:val="24"/>
                <w:szCs w:val="24"/>
                <w:lang w:val="hy-AM"/>
              </w:rPr>
            </w:pPr>
          </w:p>
          <w:p>
            <w:pPr>
              <w:tabs>
                <w:tab w:val="left" w:pos="444"/>
              </w:tabs>
              <w:spacing w:after="0" w:line="240" w:lineRule="auto"/>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 Ընդունվել է, կատարվել է համապատասխան փոփոխություն: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2. </w:t>
            </w:r>
            <w:r>
              <w:rPr>
                <w:rFonts w:ascii="GHEA Grapalat" w:hAnsi="GHEA Grapalat"/>
                <w:b/>
                <w:sz w:val="24"/>
                <w:szCs w:val="24"/>
                <w:lang w:val="hy-AM"/>
              </w:rPr>
              <w:t>ՀՀ  Արտաքին գործերի նախարարություն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30.06.2022թ.</w:t>
            </w:r>
          </w:p>
        </w:tc>
      </w:tr>
      <w:tr>
        <w:trPr>
          <w:trHeight w:val="88"/>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1110/28823-22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pStyle w:val="BodyText"/>
              <w:spacing w:after="0" w:line="240" w:lineRule="auto"/>
              <w:ind w:firstLine="737"/>
              <w:jc w:val="both"/>
              <w:rPr>
                <w:rFonts w:ascii="GHEA Grapalat" w:hAnsi="GHEA Grapalat"/>
                <w:sz w:val="24"/>
                <w:szCs w:val="24"/>
                <w:lang w:val="hy-AM"/>
              </w:rPr>
            </w:pPr>
            <w:r>
              <w:rPr>
                <w:rFonts w:ascii="GHEA Grapalat" w:eastAsia="Times New Roman" w:hAnsi="GHEA Grapalat"/>
                <w:sz w:val="24"/>
                <w:szCs w:val="24"/>
                <w:lang w:val="hy-AM"/>
              </w:rPr>
              <w:t xml:space="preserve">      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3. ՀՀ Արդարադա</w:t>
            </w:r>
            <w:r>
              <w:rPr>
                <w:rFonts w:ascii="GHEA Grapalat" w:eastAsia="Times New Roman" w:hAnsi="GHEA Grapalat" w:cs="Times New Roman"/>
                <w:b/>
                <w:sz w:val="24"/>
                <w:szCs w:val="24"/>
              </w:rPr>
              <w:t>տության նախարարություն</w:t>
            </w:r>
          </w:p>
          <w:p>
            <w:pPr>
              <w:spacing w:after="0" w:line="240" w:lineRule="auto"/>
              <w:ind w:left="360" w:firstLine="360"/>
              <w:jc w:val="both"/>
              <w:rPr>
                <w:rFonts w:ascii="GHEA Grapalat" w:eastAsia="Times New Roman" w:hAnsi="GHEA Grapalat" w:cs="Times New Roman"/>
                <w:b/>
                <w:color w:val="000000"/>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04.07.2022</w:t>
            </w:r>
            <w:r>
              <w:rPr>
                <w:rFonts w:ascii="GHEA Grapalat" w:eastAsia="Times New Roman" w:hAnsi="GHEA Grapalat" w:cs="Times New Roman"/>
                <w:b/>
                <w:color w:val="000000"/>
                <w:sz w:val="24"/>
                <w:szCs w:val="24"/>
                <w:lang w:val="ru-RU"/>
              </w:rPr>
              <w:t>թ</w:t>
            </w:r>
            <w:r>
              <w:rPr>
                <w:rFonts w:ascii="GHEA Grapalat" w:eastAsia="Times New Roman" w:hAnsi="GHEA Grapalat" w:cs="Times New Roman"/>
                <w:b/>
                <w:color w:val="000000"/>
                <w:sz w:val="24"/>
                <w:szCs w:val="24"/>
              </w:rPr>
              <w:t>.</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/01/14.1/28978-2022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pStyle w:val="Style5"/>
              <w:widowControl/>
              <w:spacing w:line="240" w:lineRule="auto"/>
              <w:ind w:firstLine="540"/>
              <w:rPr>
                <w:rFonts w:ascii="GHEA Grapalat" w:hAnsi="GHEA Grapalat" w:cs="Tahoma"/>
                <w:lang w:val="hy-AM"/>
              </w:rPr>
            </w:pPr>
            <w:r>
              <w:rPr>
                <w:rFonts w:ascii="GHEA Grapalat" w:eastAsia="Times New Roman" w:hAnsi="GHEA Grapalat"/>
              </w:rPr>
              <w:t xml:space="preserve">       </w:t>
            </w:r>
            <w:r>
              <w:rPr>
                <w:rFonts w:ascii="GHEA Grapalat" w:eastAsia="Times New Roman" w:hAnsi="GHEA Grapalat"/>
                <w:lang w:val="hy-AM"/>
              </w:rPr>
              <w:t>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jc w:val="center"/>
              <w:rPr>
                <w:rFonts w:ascii="GHEA Grapalat" w:eastAsia="Times New Roman" w:hAnsi="GHEA Grapalat" w:cs="GHEA Grapalat"/>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ind w:left="260" w:firstLine="142"/>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rPr>
              <w:t>4</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rPr>
              <w:t xml:space="preserve">ՀՀ </w:t>
            </w:r>
            <w:r>
              <w:rPr>
                <w:rFonts w:ascii="GHEA Grapalat" w:eastAsia="Times New Roman" w:hAnsi="GHEA Grapalat" w:cs="Times New Roman"/>
                <w:b/>
                <w:sz w:val="24"/>
                <w:szCs w:val="24"/>
                <w:lang w:val="hy-AM"/>
              </w:rPr>
              <w:t>Ֆինանսների նախարարություն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08.</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ind w:left="260" w:firstLine="142"/>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01/11-1/12246-2022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ind w:left="260" w:right="12" w:firstLine="142"/>
              <w:jc w:val="both"/>
              <w:rPr>
                <w:rFonts w:ascii="GHEA Grapalat" w:eastAsia="Calibri" w:hAnsi="GHEA Grapalat" w:cs="Times New Roman"/>
                <w:color w:val="000000"/>
                <w:sz w:val="24"/>
                <w:szCs w:val="24"/>
                <w:shd w:val="clear" w:color="auto" w:fill="FFFFFF"/>
                <w:lang w:val="hy-AM"/>
              </w:rPr>
            </w:pPr>
            <w:r>
              <w:rPr>
                <w:rFonts w:ascii="GHEA Grapalat" w:eastAsia="Times New Roman" w:hAnsi="GHEA Grapalat"/>
                <w:sz w:val="24"/>
                <w:szCs w:val="24"/>
                <w:lang w:val="hy-AM"/>
              </w:rPr>
              <w:t xml:space="preserve">           </w:t>
            </w:r>
            <w:r>
              <w:rPr>
                <w:rFonts w:ascii="GHEA Grapalat" w:hAnsi="GHEA Grapalat"/>
                <w:sz w:val="24"/>
                <w:szCs w:val="24"/>
                <w:lang w:val="hy-AM"/>
              </w:rPr>
              <w:t xml:space="preserve">«Հայաստանի Հանրապետության բյուջետային համակարգի մասին» օրենքի (այսուհետ՝ Օրենք) 21-րդ հոդվածի 4-րդ մասի համաձայն՝ </w:t>
            </w:r>
            <w:r>
              <w:rPr>
                <w:rFonts w:ascii="GHEA Grapalat" w:hAnsi="GHEA Grapalat"/>
                <w:b/>
                <w:i/>
                <w:sz w:val="24"/>
                <w:szCs w:val="24"/>
                <w:lang w:val="hy-AM"/>
              </w:rPr>
              <w:t>պետական մարմիններն</w:t>
            </w:r>
            <w:r>
              <w:rPr>
                <w:rFonts w:ascii="GHEA Grapalat" w:hAnsi="GHEA Grapalat"/>
                <w:sz w:val="24"/>
                <w:szCs w:val="24"/>
                <w:lang w:val="hy-AM"/>
              </w:rPr>
              <w:t xml:space="preserve"> առաջիկա տարվա բյուջետային ֆինանսավորման հայտերը կազմելու և դրանք ներկայացնելու մեթոդական ցուցումների համաձայն կազմված իրենց և հ</w:t>
            </w:r>
            <w:r>
              <w:rPr>
                <w:rFonts w:ascii="GHEA Grapalat" w:eastAsia="Calibri" w:hAnsi="GHEA Grapalat" w:cs="Times New Roman"/>
                <w:color w:val="000000"/>
                <w:sz w:val="24"/>
                <w:szCs w:val="24"/>
                <w:shd w:val="clear" w:color="auto" w:fill="FFFFFF"/>
                <w:lang w:val="hy-AM"/>
              </w:rPr>
              <w:t xml:space="preserve">ամակարգի առաջիկա տարվա բյուջետային ֆինանսավորման հայտերը (որտեղ ցույց է տրվում կապն առաջիկա երեք տարվա պետական </w:t>
            </w:r>
            <w:r>
              <w:rPr>
                <w:rFonts w:ascii="GHEA Grapalat" w:eastAsia="Calibri" w:hAnsi="GHEA Grapalat" w:cs="Times New Roman"/>
                <w:color w:val="000000"/>
                <w:sz w:val="24"/>
                <w:szCs w:val="24"/>
                <w:shd w:val="clear" w:color="auto" w:fill="FFFFFF"/>
                <w:lang w:val="hy-AM"/>
              </w:rPr>
              <w:lastRenderedPageBreak/>
              <w:t>միջնաժամկետ ծախսերի ծրագրերի հետ և ընդգծվում են առաջիկա երեք տարվա պետական միջնաժամկետ ծախսերի ծրագրերի նկատմամբ բոլոր զգալի շեղումները), իսկ դոտացիայի գումարները հաշվարկող մարմինը` դոտացիայի գումարի` ըստ առանձին համայնքների բաշխումը առաջիկա տարվա բյուջետային գործընթացն սկսելու մասին Հայաստանի Հանրապետության վարչապետի որոշմամբ սահմանված ժամկետում ներկայացնում են պետական լիազորված մարմին:</w:t>
            </w:r>
          </w:p>
          <w:p>
            <w:pPr>
              <w:spacing w:after="0" w:line="240" w:lineRule="auto"/>
              <w:ind w:left="260" w:right="12" w:firstLine="142"/>
              <w:jc w:val="both"/>
              <w:rPr>
                <w:rFonts w:ascii="GHEA Grapalat" w:eastAsia="Times New Roman" w:hAnsi="GHEA Grapalat"/>
                <w:b/>
                <w:bCs/>
                <w:color w:val="000000"/>
                <w:sz w:val="24"/>
                <w:szCs w:val="24"/>
                <w:lang w:val="hy-AM"/>
              </w:rPr>
            </w:pPr>
            <w:r>
              <w:rPr>
                <w:rFonts w:ascii="GHEA Grapalat" w:eastAsia="Calibri" w:hAnsi="GHEA Grapalat" w:cs="Times New Roman"/>
                <w:color w:val="000000"/>
                <w:sz w:val="24"/>
                <w:szCs w:val="24"/>
                <w:shd w:val="clear" w:color="auto" w:fill="FFFFFF"/>
                <w:lang w:val="hy-AM"/>
              </w:rPr>
              <w:t xml:space="preserve">Նույն հոդվածի 11-րդ մասի համաձայն՝ բյուջետային </w:t>
            </w:r>
            <w:r>
              <w:rPr>
                <w:rFonts w:ascii="GHEA Grapalat" w:hAnsi="GHEA Grapalat"/>
                <w:sz w:val="24"/>
                <w:szCs w:val="24"/>
                <w:lang w:val="hy-AM"/>
              </w:rPr>
              <w:t>ֆինանսավորման հայտերի ներկայացման և դրանց շուրջ` պետական լիազորված մարմնի ու հայտատուների միջև տարաձայնությունների համաձայնեցման կարգը սահմանում է կառավարությունը` նույն օրենքի պահանջներին համապատասխան:</w:t>
            </w:r>
          </w:p>
          <w:p>
            <w:pPr>
              <w:spacing w:after="0" w:line="240" w:lineRule="auto"/>
              <w:ind w:left="260" w:right="-168" w:firstLine="142"/>
              <w:jc w:val="both"/>
              <w:rPr>
                <w:rFonts w:ascii="GHEA Grapalat" w:hAnsi="GHEA Grapalat"/>
                <w:sz w:val="24"/>
                <w:szCs w:val="24"/>
                <w:lang w:val="hy-AM"/>
              </w:rPr>
            </w:pPr>
            <w:r>
              <w:rPr>
                <w:rFonts w:ascii="GHEA Grapalat" w:hAnsi="GHEA Grapalat"/>
                <w:sz w:val="24"/>
                <w:szCs w:val="24"/>
                <w:lang w:val="hy-AM"/>
              </w:rPr>
              <w:t>ՀՀ կառավարության 1998 թվականի հունիսի 25-ի «Բյուջետային ֆինանսավորման հայտերի ներկայացման և դրանց շուրջ Հայաստանի Հանրապետության ֆինանսների և էկոնոմիկայի նախարարության ու հայտատուների միջև առաջացած տարաձայնությունների համաձայնեցման կարգը հաստատելու մասին» թիվ 400 որոշմամբ հաստատվել է բյուջետային ֆինանսավորման հայտերի ներկայացման և դրանց շուրջ Հայաստանի Հանրապետության ֆինանսների և էկոնոմիկայի նախարարության ու հայտատուների միջև առաջացած տարաձայնությունների համաձայնեցման կարգը:</w:t>
            </w:r>
          </w:p>
          <w:p>
            <w:pPr>
              <w:spacing w:after="0" w:line="240" w:lineRule="auto"/>
              <w:ind w:left="260" w:right="-168" w:firstLine="142"/>
              <w:jc w:val="both"/>
              <w:rPr>
                <w:rFonts w:ascii="GHEA Grapalat" w:hAnsi="GHEA Grapalat"/>
                <w:sz w:val="24"/>
                <w:szCs w:val="24"/>
                <w:lang w:val="hy-AM"/>
              </w:rPr>
            </w:pPr>
            <w:r>
              <w:rPr>
                <w:rFonts w:ascii="GHEA Grapalat" w:hAnsi="GHEA Grapalat"/>
                <w:sz w:val="24"/>
                <w:szCs w:val="24"/>
                <w:lang w:val="hy-AM"/>
              </w:rPr>
              <w:t xml:space="preserve">Հարկ է ընդգծել, որ յուրաքանչյուր պետական մարմնի կողմից իրականացվող ծրագրերը և դրանց շրջանակներում իրականացվող միջոցառումները նախատեսվում են տվյալ </w:t>
            </w:r>
            <w:r>
              <w:rPr>
                <w:rFonts w:ascii="GHEA Grapalat" w:hAnsi="GHEA Grapalat"/>
                <w:sz w:val="24"/>
                <w:szCs w:val="24"/>
                <w:lang w:val="hy-AM"/>
              </w:rPr>
              <w:lastRenderedPageBreak/>
              <w:t>պետական մարմնի կողմից պետական լիազորված մարմին ներկայացվող բյուջետային ֆինանսավորման հայտերում, իսկ բյուջետային միջոցների հատկացման հնարավորության հարցը քննարկվում է յուրաքանչյուր տարվա բյուջետային գործընթացի շրջանակում՝ պետական մարմինների կողմից բյուջետային ֆինանսավորման հայտերի ներկայացման պայմաններում՝ ելնելով կանխատես</w:t>
            </w:r>
            <w:r>
              <w:rPr>
                <w:rFonts w:ascii="GHEA Grapalat" w:hAnsi="GHEA Grapalat"/>
                <w:sz w:val="24"/>
                <w:szCs w:val="24"/>
                <w:lang w:val="hy-AM"/>
              </w:rPr>
              <w:softHyphen/>
              <w:t>վող բյուջետային մուտքերի մակարդակից և ծախ</w:t>
            </w:r>
            <w:r>
              <w:rPr>
                <w:rFonts w:ascii="GHEA Grapalat" w:hAnsi="GHEA Grapalat"/>
                <w:sz w:val="24"/>
                <w:szCs w:val="24"/>
                <w:lang w:val="hy-AM"/>
              </w:rPr>
              <w:softHyphen/>
              <w:t>սերի առաջնահեր</w:t>
            </w:r>
            <w:r>
              <w:rPr>
                <w:rFonts w:ascii="GHEA Grapalat" w:hAnsi="GHEA Grapalat"/>
                <w:sz w:val="24"/>
                <w:szCs w:val="24"/>
                <w:lang w:val="hy-AM"/>
              </w:rPr>
              <w:softHyphen/>
              <w:t>թու</w:t>
            </w:r>
            <w:r>
              <w:rPr>
                <w:rFonts w:ascii="GHEA Grapalat" w:hAnsi="GHEA Grapalat"/>
                <w:sz w:val="24"/>
                <w:szCs w:val="24"/>
                <w:lang w:val="hy-AM"/>
              </w:rPr>
              <w:softHyphen/>
              <w:t>թյու</w:t>
            </w:r>
            <w:r>
              <w:rPr>
                <w:rFonts w:ascii="GHEA Grapalat" w:hAnsi="GHEA Grapalat"/>
                <w:sz w:val="24"/>
                <w:szCs w:val="24"/>
                <w:lang w:val="hy-AM"/>
              </w:rPr>
              <w:softHyphen/>
              <w:t>նից:</w:t>
            </w:r>
          </w:p>
          <w:p>
            <w:pPr>
              <w:spacing w:after="0" w:line="240" w:lineRule="auto"/>
              <w:ind w:left="260" w:right="-168" w:firstLine="142"/>
              <w:jc w:val="both"/>
              <w:rPr>
                <w:rFonts w:ascii="GHEA Grapalat" w:eastAsia="Times New Roman" w:hAnsi="GHEA Grapalat"/>
                <w:sz w:val="24"/>
                <w:szCs w:val="24"/>
                <w:lang w:val="hy-AM"/>
              </w:rPr>
            </w:pPr>
            <w:r>
              <w:rPr>
                <w:rFonts w:ascii="GHEA Grapalat" w:hAnsi="GHEA Grapalat"/>
                <w:sz w:val="24"/>
                <w:szCs w:val="24"/>
                <w:lang w:val="hy-AM"/>
              </w:rPr>
              <w:t>Հաշվի առնելով, որ բյուջետային ֆինանսավորման հայտերի հետ կապված հարաբերությունները կարգավորվում են Օրենքով՝ յուրաքանչյուր տարվա բյուջետային գործընթացի շրջանակում, հետևաբար այդ հարաբերությունները</w:t>
            </w:r>
            <w:r>
              <w:rPr>
                <w:rFonts w:ascii="GHEA Grapalat" w:hAnsi="GHEA Grapalat" w:cs="Sylfaen"/>
                <w:iCs/>
                <w:sz w:val="24"/>
                <w:szCs w:val="24"/>
                <w:lang w:val="hy-AM"/>
              </w:rPr>
              <w:t xml:space="preserve"> Նա</w:t>
            </w:r>
            <w:r>
              <w:rPr>
                <w:rFonts w:ascii="GHEA Grapalat" w:hAnsi="GHEA Grapalat" w:cs="Sylfaen"/>
                <w:iCs/>
                <w:sz w:val="24"/>
                <w:szCs w:val="24"/>
                <w:lang w:val="pt-BR"/>
              </w:rPr>
              <w:t xml:space="preserve">խագծի կարգավորման առարկան չեն կարող համարվել, ուստի </w:t>
            </w:r>
            <w:r>
              <w:rPr>
                <w:rFonts w:ascii="GHEA Grapalat" w:hAnsi="GHEA Grapalat"/>
                <w:sz w:val="24"/>
                <w:szCs w:val="24"/>
                <w:lang w:val="hy-AM"/>
              </w:rPr>
              <w:t>առաջարկում ենք Նախագծից հանել</w:t>
            </w:r>
            <w:r>
              <w:rPr>
                <w:rFonts w:ascii="GHEA Grapalat" w:hAnsi="GHEA Grapalat" w:cs="Sylfaen"/>
                <w:iCs/>
                <w:sz w:val="24"/>
                <w:szCs w:val="24"/>
                <w:lang w:val="pt-BR"/>
              </w:rPr>
              <w:t xml:space="preserve"> </w:t>
            </w:r>
            <w:r>
              <w:rPr>
                <w:rFonts w:ascii="GHEA Grapalat" w:hAnsi="GHEA Grapalat" w:cs="Sylfaen"/>
                <w:iCs/>
                <w:sz w:val="24"/>
                <w:szCs w:val="24"/>
                <w:lang w:val="hy-AM"/>
              </w:rPr>
              <w:t xml:space="preserve">Նախագծով առաջարկվող </w:t>
            </w:r>
            <w:r>
              <w:rPr>
                <w:rFonts w:ascii="GHEA Grapalat" w:hAnsi="GHEA Grapalat" w:cs="Sylfaen"/>
                <w:iCs/>
                <w:sz w:val="24"/>
                <w:szCs w:val="24"/>
                <w:lang w:val="pt-BR"/>
              </w:rPr>
              <w:t>բյուջետային</w:t>
            </w:r>
            <w:r>
              <w:rPr>
                <w:rFonts w:ascii="GHEA Grapalat" w:hAnsi="GHEA Grapalat" w:cs="Sylfaen"/>
                <w:iCs/>
                <w:sz w:val="24"/>
                <w:szCs w:val="24"/>
                <w:lang w:val="hy-AM"/>
              </w:rPr>
              <w:t xml:space="preserve"> ֆինանսավորման</w:t>
            </w:r>
            <w:r>
              <w:rPr>
                <w:rFonts w:ascii="GHEA Grapalat" w:hAnsi="GHEA Grapalat" w:cs="Sylfaen"/>
                <w:iCs/>
                <w:sz w:val="24"/>
                <w:szCs w:val="24"/>
                <w:lang w:val="pt-BR"/>
              </w:rPr>
              <w:t xml:space="preserve"> հայտերի </w:t>
            </w:r>
            <w:r>
              <w:rPr>
                <w:rFonts w:ascii="GHEA Grapalat" w:hAnsi="GHEA Grapalat" w:cs="Sylfaen"/>
                <w:iCs/>
                <w:sz w:val="24"/>
                <w:szCs w:val="24"/>
                <w:lang w:val="hy-AM"/>
              </w:rPr>
              <w:t>վերաբերյալ կարգավորումները:</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tabs>
                <w:tab w:val="left" w:pos="1080"/>
              </w:tabs>
              <w:spacing w:after="0" w:line="240" w:lineRule="auto"/>
              <w:ind w:firstLine="112"/>
              <w:jc w:val="both"/>
              <w:rPr>
                <w:rFonts w:ascii="GHEA Grapalat" w:eastAsia="Times New Roman" w:hAnsi="GHEA Grapalat" w:cs="Times New Roman"/>
                <w:color w:val="000000"/>
                <w:sz w:val="24"/>
                <w:szCs w:val="24"/>
                <w:lang w:val="hy-AM"/>
              </w:rPr>
            </w:pPr>
            <w:r>
              <w:rPr>
                <w:rFonts w:ascii="GHEA Grapalat" w:eastAsia="Times New Roman" w:hAnsi="GHEA Grapalat"/>
                <w:bCs/>
                <w:color w:val="000000"/>
                <w:sz w:val="24"/>
                <w:szCs w:val="24"/>
                <w:lang w:val="hy-AM"/>
              </w:rPr>
              <w:t>Ընդունվել է, կատարվել է համապատասխան փոփոխություն: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5. ՀՀ Կրթության, գիտության, մշակույթի և սպորտի </w:t>
            </w:r>
          </w:p>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նախարարություն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04.</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w:t>
            </w:r>
            <w:r>
              <w:rPr>
                <w:rFonts w:ascii="GHEA Grapalat" w:eastAsia="Times New Roman" w:hAnsi="GHEA Grapalat" w:cs="Times New Roman"/>
                <w:b/>
                <w:color w:val="000000"/>
                <w:sz w:val="24"/>
                <w:szCs w:val="24"/>
              </w:rPr>
              <w:t>21</w:t>
            </w:r>
            <w:r>
              <w:rPr>
                <w:rFonts w:ascii="GHEA Grapalat" w:eastAsia="Times New Roman" w:hAnsi="GHEA Grapalat" w:cs="Times New Roman"/>
                <w:b/>
                <w:color w:val="000000"/>
                <w:sz w:val="24"/>
                <w:szCs w:val="24"/>
                <w:lang w:val="hy-AM"/>
              </w:rPr>
              <w:t>/15853-2022</w:t>
            </w:r>
          </w:p>
        </w:tc>
      </w:tr>
      <w:tr>
        <w:trPr>
          <w:trHeight w:val="360"/>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tabs>
                <w:tab w:val="left" w:pos="709"/>
                <w:tab w:val="left" w:pos="993"/>
                <w:tab w:val="left" w:pos="1276"/>
              </w:tabs>
              <w:spacing w:after="0" w:line="240" w:lineRule="auto"/>
              <w:ind w:firstLine="567"/>
              <w:jc w:val="both"/>
              <w:rPr>
                <w:rFonts w:ascii="GHEA Grapalat" w:hAnsi="GHEA Grapalat"/>
                <w:sz w:val="24"/>
                <w:szCs w:val="24"/>
                <w:lang w:val="hy-AM"/>
              </w:rPr>
            </w:pPr>
            <w:r>
              <w:rPr>
                <w:rFonts w:ascii="GHEA Grapalat" w:eastAsia="Calibri" w:hAnsi="GHEA Grapalat" w:cs="Sylfaen"/>
                <w:sz w:val="24"/>
                <w:szCs w:val="24"/>
                <w:lang w:val="hy-AM"/>
              </w:rPr>
              <w:t xml:space="preserve">  Ի պատասխան Ձեր` ս/թ հունիսի 24-ի թիվ </w:t>
            </w:r>
            <w:r>
              <w:rPr>
                <w:rFonts w:ascii="GHEA Grapalat" w:eastAsia="Calibri" w:hAnsi="GHEA Grapalat" w:cs="Sylfaen"/>
                <w:color w:val="000000"/>
                <w:sz w:val="24"/>
                <w:szCs w:val="24"/>
                <w:shd w:val="clear" w:color="auto" w:fill="FFFFFF"/>
                <w:lang w:val="hy-AM"/>
              </w:rPr>
              <w:t>ՄՆ</w:t>
            </w:r>
            <w:r>
              <w:rPr>
                <w:rFonts w:ascii="GHEA Grapalat" w:eastAsia="Calibri" w:hAnsi="GHEA Grapalat" w:cs="Times New Roman"/>
                <w:color w:val="000000"/>
                <w:sz w:val="24"/>
                <w:szCs w:val="24"/>
                <w:shd w:val="clear" w:color="auto" w:fill="FFFFFF"/>
                <w:lang w:val="hy-AM"/>
              </w:rPr>
              <w:t>/</w:t>
            </w:r>
            <w:r>
              <w:rPr>
                <w:rFonts w:ascii="GHEA Grapalat" w:eastAsia="Calibri" w:hAnsi="GHEA Grapalat" w:cs="Sylfaen"/>
                <w:color w:val="000000"/>
                <w:sz w:val="24"/>
                <w:szCs w:val="24"/>
                <w:shd w:val="clear" w:color="auto" w:fill="FFFFFF"/>
                <w:lang w:val="hy-AM"/>
              </w:rPr>
              <w:t>ՔՀ</w:t>
            </w:r>
            <w:r>
              <w:rPr>
                <w:rFonts w:ascii="GHEA Grapalat" w:eastAsia="Calibri" w:hAnsi="GHEA Grapalat" w:cs="Times New Roman"/>
                <w:color w:val="000000"/>
                <w:sz w:val="24"/>
                <w:szCs w:val="24"/>
                <w:shd w:val="clear" w:color="auto" w:fill="FFFFFF"/>
                <w:lang w:val="hy-AM"/>
              </w:rPr>
              <w:t xml:space="preserve">-4-2/16657-2022 </w:t>
            </w:r>
            <w:r>
              <w:rPr>
                <w:rFonts w:ascii="GHEA Grapalat" w:eastAsia="Calibri" w:hAnsi="GHEA Grapalat" w:cs="Sylfaen"/>
                <w:sz w:val="24"/>
                <w:szCs w:val="24"/>
                <w:lang w:val="hy-AM"/>
              </w:rPr>
              <w:t xml:space="preserve">գրության, </w:t>
            </w:r>
            <w:r>
              <w:rPr>
                <w:rFonts w:ascii="GHEA Grapalat" w:eastAsia="Calibri" w:hAnsi="GHEA Grapalat" w:cs="Times New Roman"/>
                <w:sz w:val="24"/>
                <w:szCs w:val="24"/>
                <w:lang w:val="hy-AM"/>
              </w:rPr>
              <w:t xml:space="preserve">առաջարկում ենք «Մարդկանց թրաֆիքինգի և շահագործման զոհերի նույնացման հանձնաժողովի </w:t>
            </w:r>
            <w:r>
              <w:rPr>
                <w:rFonts w:ascii="GHEA Grapalat" w:eastAsia="Calibri" w:hAnsi="GHEA Grapalat" w:cs="Times New Roman"/>
                <w:sz w:val="24"/>
                <w:szCs w:val="24"/>
                <w:shd w:val="clear" w:color="auto" w:fill="FFFFFF"/>
                <w:lang w:val="hy-AM"/>
              </w:rPr>
              <w:t>կողմից անձին որպես զոհ կամ հատուկ կատեգորիայի զոհ նույնացնելու ցուցիչները հաստատելու մասին</w:t>
            </w:r>
            <w:r>
              <w:rPr>
                <w:rFonts w:ascii="GHEA Grapalat" w:eastAsia="Calibri" w:hAnsi="GHEA Grapalat" w:cs="Times New Roman"/>
                <w:sz w:val="24"/>
                <w:szCs w:val="24"/>
                <w:lang w:val="hy-AM"/>
              </w:rPr>
              <w:t>» ՀՀ կառավարության որոշման նախագծի հավելվածի 9-րդ</w:t>
            </w:r>
            <w:r>
              <w:rPr>
                <w:rFonts w:ascii="GHEA Grapalat" w:eastAsia="Calibri" w:hAnsi="GHEA Grapalat" w:cs="Sylfaen"/>
                <w:sz w:val="24"/>
                <w:szCs w:val="24"/>
                <w:lang w:val="hy-AM"/>
              </w:rPr>
              <w:t>`</w:t>
            </w:r>
            <w:r>
              <w:rPr>
                <w:rFonts w:ascii="GHEA Grapalat" w:eastAsia="Calibri" w:hAnsi="GHEA Grapalat" w:cs="Times New Roman"/>
                <w:sz w:val="24"/>
                <w:szCs w:val="24"/>
                <w:lang w:val="hy-AM"/>
              </w:rPr>
              <w:t xml:space="preserve"> «Հատուկ կատեգորիայի զոհերի վերաբերյալ  6-րդ և 8-րդ կետերում ներկայացված ցուցիչներից զատ, կիրառելի են նաև հետևյալ ցուցիչները» կետի 3-րդ ենթակետը շարադրել </w:t>
            </w:r>
            <w:r>
              <w:rPr>
                <w:rFonts w:ascii="GHEA Grapalat" w:eastAsia="Calibri" w:hAnsi="GHEA Grapalat" w:cs="Times New Roman"/>
                <w:sz w:val="24"/>
                <w:szCs w:val="24"/>
                <w:lang w:val="hy-AM"/>
              </w:rPr>
              <w:lastRenderedPageBreak/>
              <w:t xml:space="preserve">հետևյալ կերպ. «3) երեխայի կրթություն ստանալու իրավունքի բացառում»: </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Չի ընդունվել, քանի որ 9-րդ կետը նման կարգավորում չի նախատեսում: Ենթադրաբար այս առաջարկը վերաբերում է ՀՀ կառավարության որոշման այլ նախագծին: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lastRenderedPageBreak/>
              <w:t xml:space="preserve">6. </w:t>
            </w:r>
            <w:r>
              <w:rPr>
                <w:rFonts w:ascii="GHEA Grapalat" w:hAnsi="GHEA Grapalat"/>
                <w:b/>
                <w:sz w:val="24"/>
                <w:szCs w:val="24"/>
                <w:lang w:val="hy-AM"/>
              </w:rPr>
              <w:t xml:space="preserve">Ազգային անվտանգության </w:t>
            </w:r>
            <w:r>
              <w:rPr>
                <w:rFonts w:ascii="GHEA Grapalat" w:hAnsi="GHEA Grapalat"/>
                <w:b/>
                <w:sz w:val="24"/>
                <w:szCs w:val="24"/>
              </w:rPr>
              <w:t>ծառայություն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lang w:val="hy-AM"/>
              </w:rPr>
              <w:t>07</w:t>
            </w:r>
            <w:r>
              <w:rPr>
                <w:rFonts w:ascii="GHEA Grapalat" w:eastAsia="Times New Roman" w:hAnsi="GHEA Grapalat" w:cs="Times New Roman"/>
                <w:b/>
                <w:color w:val="000000"/>
                <w:sz w:val="24"/>
                <w:szCs w:val="24"/>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rPr>
              <w:t>11/731</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ind w:right="599"/>
              <w:jc w:val="both"/>
              <w:rPr>
                <w:rFonts w:ascii="GHEA Grapalat" w:hAnsi="GHEA Grapalat"/>
                <w:sz w:val="24"/>
                <w:szCs w:val="24"/>
                <w:lang w:val="hy-AM"/>
              </w:rPr>
            </w:pPr>
            <w:r>
              <w:rPr>
                <w:rFonts w:ascii="GHEA Grapalat" w:eastAsia="Times New Roman" w:hAnsi="GHEA Grapalat"/>
                <w:sz w:val="24"/>
                <w:szCs w:val="24"/>
                <w:lang w:val="hy-AM"/>
              </w:rPr>
              <w:t xml:space="preserve">            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tabs>
                <w:tab w:val="left" w:pos="360"/>
              </w:tabs>
              <w:spacing w:after="0" w:line="240" w:lineRule="auto"/>
              <w:ind w:right="273"/>
              <w:jc w:val="both"/>
              <w:rPr>
                <w:rFonts w:ascii="GHEA Grapalat" w:eastAsia="Times New Roman" w:hAnsi="GHEA Grapalat"/>
                <w:bCs/>
                <w:color w:val="000000"/>
                <w:sz w:val="24"/>
                <w:szCs w:val="24"/>
              </w:rPr>
            </w:pP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 xml:space="preserve">7. </w:t>
            </w:r>
            <w:r>
              <w:rPr>
                <w:rFonts w:ascii="GHEA Grapalat" w:hAnsi="GHEA Grapalat"/>
                <w:b/>
                <w:sz w:val="24"/>
                <w:szCs w:val="24"/>
                <w:lang w:val="hy-AM"/>
              </w:rPr>
              <w:t>ՀՀ Պաշտպանության նախարարություն</w:t>
            </w:r>
          </w:p>
          <w:p>
            <w:pPr>
              <w:spacing w:after="0" w:line="240" w:lineRule="auto"/>
              <w:jc w:val="center"/>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ՊՆ/510/3181-2022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rPr>
                <w:rFonts w:ascii="GHEA Grapalat" w:hAnsi="GHEA Grapalat"/>
                <w:sz w:val="24"/>
                <w:szCs w:val="24"/>
                <w:lang w:val="hy-AM"/>
              </w:rPr>
            </w:pPr>
            <w:r>
              <w:rPr>
                <w:rFonts w:ascii="GHEA Grapalat" w:eastAsia="Times New Roman" w:hAnsi="GHEA Grapalat" w:cs="Times New Roman"/>
                <w:color w:val="000000"/>
                <w:sz w:val="24"/>
                <w:szCs w:val="24"/>
                <w:lang w:val="hy-AM"/>
              </w:rPr>
              <w:tab/>
            </w:r>
            <w:r>
              <w:rPr>
                <w:rFonts w:ascii="GHEA Grapalat" w:hAnsi="GHEA Grapalat"/>
                <w:sz w:val="24"/>
                <w:szCs w:val="24"/>
                <w:lang w:val="hy-AM"/>
              </w:rPr>
              <w:t xml:space="preserve">   </w:t>
            </w:r>
            <w:r>
              <w:rPr>
                <w:rFonts w:ascii="GHEA Grapalat" w:eastAsia="Times New Roman" w:hAnsi="GHEA Grapalat"/>
                <w:sz w:val="24"/>
                <w:szCs w:val="24"/>
                <w:lang w:val="hy-AM"/>
              </w:rPr>
              <w:t>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 xml:space="preserve">8. </w:t>
            </w:r>
            <w:r>
              <w:rPr>
                <w:rFonts w:ascii="GHEA Grapalat" w:hAnsi="GHEA Grapalat"/>
                <w:b/>
                <w:sz w:val="24"/>
                <w:szCs w:val="24"/>
                <w:lang w:val="hy-AM"/>
              </w:rPr>
              <w:t>ՀՀ Ոստիկանություն</w:t>
            </w:r>
          </w:p>
          <w:p>
            <w:pPr>
              <w:spacing w:after="0" w:line="240" w:lineRule="auto"/>
              <w:jc w:val="both"/>
              <w:rPr>
                <w:rStyle w:val="IntenseEmphasis"/>
                <w:rFonts w:ascii="GHEA Grapalat" w:hAnsi="GHEA Grapalat"/>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highlight w:val="green"/>
                <w:lang w:val="hy-AM"/>
              </w:rPr>
            </w:pPr>
            <w:r>
              <w:rPr>
                <w:rFonts w:ascii="GHEA Grapalat" w:eastAsia="Times New Roman" w:hAnsi="GHEA Grapalat" w:cs="Times New Roman"/>
                <w:b/>
                <w:color w:val="000000"/>
                <w:sz w:val="24"/>
                <w:szCs w:val="24"/>
                <w:lang w:val="hy-AM"/>
              </w:rPr>
              <w:t>04.07.2022թ.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highlight w:val="green"/>
                <w:lang w:val="hy-AM"/>
              </w:rPr>
            </w:pPr>
            <w:r>
              <w:rPr>
                <w:rFonts w:ascii="GHEA Grapalat" w:eastAsia="Times New Roman" w:hAnsi="GHEA Grapalat" w:cs="Times New Roman"/>
                <w:b/>
                <w:color w:val="000000"/>
                <w:sz w:val="24"/>
                <w:szCs w:val="24"/>
                <w:lang w:val="hy-AM"/>
              </w:rPr>
              <w:t>N 1/21/58685-22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9. ՀՀ Գլխավոր դատախազություն</w:t>
            </w:r>
          </w:p>
          <w:p>
            <w:pPr>
              <w:spacing w:after="0" w:line="240" w:lineRule="auto"/>
              <w:jc w:val="center"/>
              <w:rPr>
                <w:rFonts w:ascii="GHEA Grapalat" w:eastAsia="Times New Roman" w:hAnsi="GHEA Grapalat" w:cs="Times New Roman"/>
                <w:b/>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07.</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r>
              <w:rPr>
                <w:rFonts w:ascii="Cambria Math" w:eastAsia="Times New Roman" w:hAnsi="Cambria Math" w:cs="Cambria Math"/>
                <w:b/>
                <w:color w:val="000000"/>
                <w:sz w:val="24"/>
                <w:szCs w:val="24"/>
                <w:lang w:val="hy-AM"/>
              </w:rPr>
              <w:t>․</w:t>
            </w:r>
          </w:p>
        </w:tc>
      </w:tr>
      <w:tr>
        <w:trPr>
          <w:trHeight w:val="389"/>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02</w:t>
            </w:r>
            <w:r>
              <w:rPr>
                <w:rFonts w:ascii="GHEA Grapalat" w:eastAsia="Times New Roman" w:hAnsi="GHEA Grapalat" w:cs="Times New Roman"/>
                <w:b/>
                <w:color w:val="000000"/>
                <w:sz w:val="24"/>
                <w:szCs w:val="24"/>
                <w:lang w:val="hy-AM"/>
              </w:rPr>
              <w:t>/15.</w:t>
            </w:r>
            <w:r>
              <w:rPr>
                <w:rFonts w:ascii="GHEA Grapalat" w:eastAsia="Times New Roman" w:hAnsi="GHEA Grapalat" w:cs="Times New Roman"/>
                <w:b/>
                <w:color w:val="000000"/>
                <w:sz w:val="24"/>
                <w:szCs w:val="24"/>
              </w:rPr>
              <w:t>9</w:t>
            </w:r>
            <w:r>
              <w:rPr>
                <w:rFonts w:ascii="GHEA Grapalat" w:eastAsia="Times New Roman" w:hAnsi="GHEA Grapalat" w:cs="Times New Roman"/>
                <w:b/>
                <w:color w:val="000000"/>
                <w:sz w:val="24"/>
                <w:szCs w:val="24"/>
                <w:lang w:val="hy-AM"/>
              </w:rPr>
              <w:t>/9291-2022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 xml:space="preserve">                     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t>10. ՀՀ Քննչական կոմիտե</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28.07.2022 թ</w:t>
            </w:r>
            <w:r>
              <w:rPr>
                <w:rFonts w:ascii="Cambria Math" w:eastAsia="Times New Roman" w:hAnsi="Cambria Math" w:cs="Cambria Math"/>
                <w:b/>
                <w:color w:val="000000"/>
                <w:sz w:val="24"/>
                <w:szCs w:val="24"/>
                <w:lang w:val="hy-AM"/>
              </w:rPr>
              <w:t>․</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07/07/ 71238-2022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rPr>
                <w:rFonts w:ascii="GHEA Grapalat" w:hAnsi="GHEA Grapalat"/>
                <w:color w:val="000000"/>
                <w:sz w:val="24"/>
                <w:szCs w:val="24"/>
                <w:shd w:val="clear" w:color="auto" w:fill="FFFFFF"/>
                <w:lang w:val="hy-AM"/>
              </w:rPr>
            </w:pPr>
            <w:r>
              <w:rPr>
                <w:rFonts w:ascii="GHEA Grapalat" w:eastAsia="Times New Roman" w:hAnsi="GHEA Grapalat"/>
                <w:sz w:val="24"/>
                <w:szCs w:val="24"/>
                <w:lang w:val="hy-AM"/>
              </w:rPr>
              <w:t xml:space="preserve">            Դիտողություններ և առաջարկություններ չկան։</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jc w:val="center"/>
              <w:rPr>
                <w:rFonts w:ascii="GHEA Grapalat" w:eastAsia="Times New Roman" w:hAnsi="GHEA Grapalat" w:cs="Times New Roman"/>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 ՀՀ Մարդու իրավունքների պաշտպանի գրասենյակ</w:t>
            </w:r>
          </w:p>
          <w:p>
            <w:pPr>
              <w:spacing w:after="0" w:line="240" w:lineRule="auto"/>
              <w:jc w:val="center"/>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13.</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 թ</w:t>
            </w:r>
            <w:r>
              <w:rPr>
                <w:rFonts w:ascii="Cambria Math" w:eastAsia="Times New Roman" w:hAnsi="Cambria Math" w:cs="Cambria Math"/>
                <w:b/>
                <w:color w:val="000000"/>
                <w:sz w:val="24"/>
                <w:szCs w:val="24"/>
                <w:lang w:val="hy-AM"/>
              </w:rPr>
              <w:t>․</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01/1</w:t>
            </w:r>
            <w:r>
              <w:rPr>
                <w:rFonts w:ascii="GHEA Grapalat" w:eastAsia="Times New Roman" w:hAnsi="GHEA Grapalat" w:cs="Times New Roman"/>
                <w:b/>
                <w:color w:val="000000"/>
                <w:sz w:val="24"/>
                <w:szCs w:val="24"/>
              </w:rPr>
              <w:t>3</w:t>
            </w:r>
            <w:r>
              <w:rPr>
                <w:rFonts w:ascii="GHEA Grapalat" w:eastAsia="Times New Roman" w:hAnsi="GHEA Grapalat" w:cs="Times New Roman"/>
                <w:b/>
                <w:color w:val="000000"/>
                <w:sz w:val="24"/>
                <w:szCs w:val="24"/>
                <w:lang w:val="hy-AM"/>
              </w:rPr>
              <w:t>.2/3651-22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40" w:lineRule="auto"/>
              <w:ind w:firstLine="54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1.  Նախագծի ուսումնասիրությունների արդյունքներով վեր են հանվել բազում խնդիրներ, որոնք բխում են ինչպես Նախագծում, այնպես էլ ոլորտը կարգավորող հիմնական իրավական ակտում, այն է՝ </w:t>
            </w:r>
            <w:r>
              <w:rPr>
                <w:rFonts w:ascii="GHEA Grapalat" w:hAnsi="GHEA Grapalat"/>
                <w:sz w:val="24"/>
                <w:szCs w:val="24"/>
                <w:lang w:val="hy-AM"/>
              </w:rPr>
              <w:t xml:space="preserve">«Մարդկանց թրաֆիքինգի և շահագործման ենթարկված անձանց նույնացման և աջակցության մասին» Հայաստանի Հանրապետության օրենքում տեղ գտած </w:t>
            </w:r>
            <w:r>
              <w:rPr>
                <w:rFonts w:ascii="GHEA Grapalat" w:eastAsia="MS Mincho" w:hAnsi="GHEA Grapalat" w:cs="MS Mincho"/>
                <w:sz w:val="24"/>
                <w:szCs w:val="24"/>
                <w:lang w:val="hy-AM"/>
              </w:rPr>
              <w:t>առանցքային խնդիրներից:</w:t>
            </w:r>
          </w:p>
          <w:p>
            <w:pPr>
              <w:spacing w:after="0" w:line="240" w:lineRule="auto"/>
              <w:ind w:firstLine="540"/>
              <w:jc w:val="both"/>
              <w:rPr>
                <w:rFonts w:ascii="GHEA Grapalat" w:hAnsi="GHEA Grapalat"/>
                <w:sz w:val="24"/>
                <w:szCs w:val="24"/>
                <w:lang w:val="hy-AM"/>
              </w:rPr>
            </w:pPr>
            <w:r>
              <w:rPr>
                <w:rFonts w:ascii="GHEA Grapalat" w:eastAsia="MS Mincho" w:hAnsi="GHEA Grapalat" w:cs="MS Mincho"/>
                <w:sz w:val="24"/>
                <w:szCs w:val="24"/>
                <w:lang w:val="hy-AM"/>
              </w:rPr>
              <w:lastRenderedPageBreak/>
              <w:t>Ա. Նախագծով,</w:t>
            </w:r>
            <w:r>
              <w:rPr>
                <w:rFonts w:ascii="GHEA Grapalat" w:eastAsia="Times New Roman" w:hAnsi="GHEA Grapalat" w:cs="Times New Roman"/>
                <w:color w:val="000000"/>
                <w:sz w:val="24"/>
                <w:szCs w:val="24"/>
                <w:lang w:val="hy-AM"/>
              </w:rPr>
              <w:t xml:space="preserve"> հ</w:t>
            </w:r>
            <w:r>
              <w:rPr>
                <w:rFonts w:ascii="GHEA Grapalat" w:eastAsia="MS Mincho" w:hAnsi="GHEA Grapalat" w:cs="MS Mincho"/>
                <w:sz w:val="24"/>
                <w:szCs w:val="24"/>
                <w:lang w:val="hy-AM"/>
              </w:rPr>
              <w:t>իմք ընդունելով «Մարդկանց թրաֆիքինգի և շահագործման ենթարկված անձանց նույնացման և աջակցության մասին» Հայաստանի Հանրապետության օրենքի 22-րդ հոդվածի 2.2-րդ մասը, նախատեսվում են մ</w:t>
            </w:r>
            <w:r>
              <w:rPr>
                <w:rFonts w:ascii="GHEA Grapalat" w:hAnsi="GHEA Grapalat"/>
                <w:sz w:val="24"/>
                <w:szCs w:val="24"/>
                <w:lang w:val="hy-AM"/>
              </w:rPr>
              <w:t>արդկանց թրաֆիքինգի և շահագործման հավանական զոհերին,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հաստատություններում, որակի նվազագույն չափորոշիչները: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«Մարդկանց թրաֆիքինգի և շահագործման ենթարկված անձանց նույնացման և աջակցության մասին» Հայաստանի Հանրապետության օրենքի</w:t>
            </w:r>
            <w:r>
              <w:rPr>
                <w:rFonts w:ascii="GHEA Grapalat" w:hAnsi="GHEA Grapalat"/>
                <w:sz w:val="24"/>
                <w:szCs w:val="24"/>
                <w:vertAlign w:val="superscript"/>
                <w:lang w:val="hy-AM"/>
              </w:rPr>
              <w:footnoteReference w:id="1"/>
            </w:r>
            <w:r>
              <w:rPr>
                <w:rFonts w:ascii="GHEA Grapalat" w:hAnsi="GHEA Grapalat"/>
                <w:sz w:val="24"/>
                <w:szCs w:val="24"/>
                <w:lang w:val="hy-AM"/>
              </w:rPr>
              <w:t xml:space="preserve"> 22-րդ հոդվածի 2.2-րդ մասի համաձայն՝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հաստատությունում, որակի նվազագույն չափորոշիչները սահմանվում են Հայաստանի Հանրապետության կառավարության որոշմամբ: Սույն մասում նշված ծառայությունների որակի նվազագույն չափորոշիչները պարտադիր են զոհերին կամ հատուկ կատեգորիայի զոհերին սոցիալական ծառայություններ մատուցող հիմնարկների և կազմակերպությունների համար՝ անկախ դրանց կազմակերպաիրավական ձևից:</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lastRenderedPageBreak/>
              <w:t>Նախևառաջ, հարկ է ընդգծել, որ Օրենքի վերը նշված հոդվածը Կառավարությանը լիազորում է սահմանել զոհերին և հատուկ կատեգորիայի զոհերին տրամադրվող աջակցության չափորոշիչները: Մինչդեռ, Նախագծով նախատեսված չափորոշիչները վերաբերում են ինչպես զոհերին և հատուկ կատեգորիայի զոհերին տրամադրվող աջակցությանը, այնպես էլ հավանական զոհերին տրամադրվող աջակցությանը: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Միևնույն ժամանակ, պետք է նշել նաև, որ Օրենքի մի շարք դրույթների բովանդակությունից բխում է, որ աջակցություն տրամադրվում է նաև մարդկանց թրաֆիքինգի և շահագործման հավանական զոհերին:</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Այս առումով անհրաժեշտություն է առաջանում համապատասխան փոփոխություններ իրականացնել նաև Օրենքում՝ ամրագրելով Կառավարության՝ հավանական զոհերին տրամադրվող աջակցության չափորոշիչների սահմանման պարտականությունը: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Բ. Նշվածից բացի, Նախագիծը պարունակում է մի շարք կարգավորումներ, որոնք դուրս են Նախագծի կարգավորման առարկայից: Մասնավորապես՝</w:t>
            </w:r>
            <w:r>
              <w:rPr>
                <w:rFonts w:ascii="GHEA Grapalat" w:hAnsi="GHEA Grapalat"/>
                <w:sz w:val="24"/>
                <w:szCs w:val="24"/>
                <w:lang w:val="hy-AM"/>
              </w:rPr>
              <w:tab/>
              <w:t>Նախագծով պետք է նախատեսվեն միայն աջակցության տրամադրմանը վերաբերող չափորոշիչները, մինչդեռ, Նախագծում տեղ են գտել այնպիսի կարգավորումներ, որոնք վերաբերում են, օրինակ, նույն աջակցության տրամադրման և ստացման կարգին:</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Սյսպես, օրինակ՝ Նախագծի հավելվածի 14-րդ կետով նախատեսվում է, որ կացարանում մարդկանց թրաֆիքինգի և շահագործման հավանական զոհին, զոհին կամ հատուկ կատեգորիայի զոհին ընդունում են անձնագրով կամ անձը </w:t>
            </w:r>
            <w:r>
              <w:rPr>
                <w:rFonts w:ascii="GHEA Grapalat" w:hAnsi="GHEA Grapalat"/>
                <w:sz w:val="24"/>
                <w:szCs w:val="24"/>
                <w:lang w:val="hy-AM"/>
              </w:rPr>
              <w:lastRenderedPageBreak/>
              <w:t>հաստատող այլ փաստաթղթով, իսկ դրանց բացակայության դեպքում՝ առանց դրա՝ նշում կատարելով այլ փաստաթղթերից մարդկանց թրաֆիքինգի և շահագործման հավանական զոհի, զոհի կամ հատուկ կատեգորիայի զոհի անունը, ազգանունը, ծննդյան տարեթիվը և այլ տվյալներ, որոնք հայտնի են:</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Վերոնշյալ կարգավորումը վերաբերում է կացարանում հավանական զոհին, զոհին կամ հատուկ կատեգորիայի զոհի ընդունելության կարգին. նույն կարգավորման նախատեսումը բնորոշ չէ Նախագծի կարգավորման առարկային:</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Գ. Ավելին, հաշվի առնելով, որ Նախագծով նախատեսվում են այնպիսի նորմեր, որոնք Նախագծի կարգավորման առարկայից և Օրենքի համապատասխան լիազորող նորմով (Օրենքի 22-րդ հոդվածի 2.2-րդ մաս) սահմանված Կառավարության լիազորությունների շրջանակից դուրս են՝ առաջանում է մեկ այլ խնդիր աջակցության տրամադրման շրջանակներում համապատասխան կազմակերպությունների կողմից դրսևորվող հայեցողականության տեսանկյունից:</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Խնդիրն այն է, որ Նախագծի հավելվածի 1-ին մասի համաձայն՝ նույն հավելվածով սահմանված՝ մարդկանց թրաֆիքինգի և շահագործման հավանական զոհերին,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հաստատությունում, որակի չափորոշիչները հանդիսանում են նվազագույն, ու մարդկանց թրաֆիքինգի և շահագործման հավանական զոհերին, զոհերին և հատուկ կատեգորիայի </w:t>
            </w:r>
            <w:r>
              <w:rPr>
                <w:rFonts w:ascii="GHEA Grapalat" w:hAnsi="GHEA Grapalat"/>
                <w:sz w:val="24"/>
                <w:szCs w:val="24"/>
                <w:lang w:val="hy-AM"/>
              </w:rPr>
              <w:lastRenderedPageBreak/>
              <w:t>զոհերին կացարան տրամադրող, բնաիրային, հոգեբանական, խորհրդատվական, իրավաբանական օգնություն և խնամք տրամադրող հաստատությունները և կազմակերպությունները կարող են ընդլայնել այն չափորոշիչները և պահանջները, որոնցով տրամադրելու են համապատասխան ծառայությունները կամ ներկայացնել առավել բարելավված պայմաններ:</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Վերոշարադրյալը թույլ է տալիս եզրակացնել, որ Նախագծի մի շարք հոդվածներով նախատեսված չափորոշիչներ, որոնք իրենց բնույթով չափորոշիչ չեն, կարող են ընդլայնվել և մեկնաբանվել՝ ի վնաս մարդկանց թրաֆիքինգի և շահագործման հավանական զոհերին, զոհերին և հատուկ կատեգորիայի զոհերին: Այսպես, օրինակ՝ նման պարագայում հնարավոր է մի իրավիճակ, երբ որևէ կազմակերպություն կացարանի տրամադրման գործընթացում ներկայացնի ընդունելության առավել խիստ պահանջներ:</w:t>
            </w:r>
          </w:p>
          <w:p>
            <w:pPr>
              <w:shd w:val="clear" w:color="auto" w:fill="FFFFFF"/>
              <w:tabs>
                <w:tab w:val="left" w:pos="709"/>
                <w:tab w:val="left" w:pos="851"/>
                <w:tab w:val="left" w:pos="993"/>
              </w:tabs>
              <w:spacing w:after="0" w:line="240" w:lineRule="auto"/>
              <w:ind w:firstLine="567"/>
              <w:jc w:val="both"/>
              <w:rPr>
                <w:rFonts w:ascii="GHEA Grapalat" w:eastAsia="Arial Unicode" w:hAnsi="GHEA Grapalat" w:cs="Arial Unicode"/>
                <w:color w:val="000000"/>
                <w:sz w:val="24"/>
                <w:szCs w:val="24"/>
                <w:lang w:val="hy-AM"/>
              </w:rPr>
            </w:pPr>
            <w:r>
              <w:rPr>
                <w:rFonts w:ascii="GHEA Grapalat" w:hAnsi="GHEA Grapalat"/>
                <w:sz w:val="24"/>
                <w:szCs w:val="24"/>
                <w:lang w:val="hy-AM"/>
              </w:rPr>
              <w:t xml:space="preserve">Դ. Նախագծի հավելվածի </w:t>
            </w:r>
            <w:r>
              <w:rPr>
                <w:rFonts w:ascii="GHEA Grapalat" w:eastAsia="Arial Unicode" w:hAnsi="GHEA Grapalat" w:cs="Arial Unicode"/>
                <w:color w:val="000000"/>
                <w:sz w:val="24"/>
                <w:szCs w:val="24"/>
                <w:lang w:val="hy-AM"/>
              </w:rPr>
              <w:t xml:space="preserve">11-րդ կետով նախատեսված կարգավորումը ևս դուրս է Նախագծի կարգավորման առարկայից. նույն կետի համաձայն՝ կացարանը տրամադրվում է </w:t>
            </w:r>
            <w:r>
              <w:rPr>
                <w:rFonts w:ascii="GHEA Grapalat" w:hAnsi="GHEA Grapalat"/>
                <w:sz w:val="24"/>
                <w:szCs w:val="24"/>
                <w:shd w:val="clear" w:color="auto" w:fill="FFFFFF"/>
                <w:lang w:val="hy-AM"/>
              </w:rPr>
              <w:t xml:space="preserve">մարդկանց թրաֆիքինգի և շահագործման հավանական զոհերին՝ մինչև 1 ամիս տևողությամբ, իսկ </w:t>
            </w:r>
            <w:r>
              <w:rPr>
                <w:rFonts w:ascii="GHEA Grapalat" w:eastAsia="Arial Unicode" w:hAnsi="GHEA Grapalat" w:cs="Arial Unicode"/>
                <w:color w:val="000000"/>
                <w:sz w:val="24"/>
                <w:szCs w:val="24"/>
                <w:lang w:val="hy-AM"/>
              </w:rPr>
              <w:t>զոհերին և հատուկ կատեգորիայի զոհերին նույնացման գործընթացի ավարտից հետո` մինչև 12 ամիս ժամկետով, նույնացման հանձնաժողովի՝ անձին զոհ ճանաչելու մասին որոշման հիման վրա:</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Նույն հավելվածի 12-րդ կետով նախատեսվում է, որ անհրաժեշտության դեպքում նույն հավելվածի 11-րդ կետում նշված ժամկետները կարող են երկարաձգվել նույն ժամկետով:</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lastRenderedPageBreak/>
              <w:t>Նշվածի հետ Նախագծով հստակեցված չեն կացարանի տրամադրման ժամկետի ընտրման հետ կապված չափանիշներ. Նախագիծը չի պարունակում կարգավորումներ առ այն, թե, օրինակ, որ պարագայում ի՞նչ ժամկետով է տրամադրվում կացարանը կամ ո՞ր դեպքում է երկարաձգվում կացարանի տրամադրման ժամկետը:</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Միևնույն ժամանակ, նշվածի շրջանակներում հարկ է նաև նշել, որ Օրենքի 22-րդ հոդվածի 3-րդ մասում ևս հստակեցված չէ, թե որ պարագայում է համարվում կացարանի տրամադրման անհրաժեշտության առկայության պայմանը բավարարված:</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Ասվածի առնչությամբ պետք է արձանագրել, որ օրինակ «Ընտանիքում բռնության կանխարգելման, ընտանիքում բռնության ենթարկված անձանց պաշտպանության և ընտանիքում համերաշխության վերականգնման մասին» ՀՀ օրենքի 20-րդ հոդվածի 7-րդ մասի համաձայն՝ ապաստարանում գտնվելու ժամկետը որոշում է ապաստարանը՝ շահառուներին համապատասխան օգնություն ցույց տվող մասնագետների առաջարկությամբ` հաշվի առնելով նրանց անվտանգության համար սպառնալիքների առկայությունը կամ բացակայությունը, նրանց` ինքնուրույն կամ այլ անձի հետ համատեղ բնակվելու հնարավորությունը և այլ վերաբերելի հանգամանքներ՝ որպես պարտադիր պայման դիտելով ապաստարանում մնալու՝ շահառուների համաձայնությունը:</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Ի տարբերություն Նախագծի վերը թվարկված կարգավորումների՝ «Ընտանիքում բռնության կանխարգելման, ընտանիքում բռնության ենթարկված անձանց </w:t>
            </w:r>
            <w:r>
              <w:rPr>
                <w:rFonts w:ascii="GHEA Grapalat" w:eastAsia="Arial Unicode" w:hAnsi="GHEA Grapalat" w:cs="Arial Unicode"/>
                <w:color w:val="000000"/>
                <w:sz w:val="24"/>
                <w:szCs w:val="24"/>
                <w:lang w:val="hy-AM"/>
              </w:rPr>
              <w:lastRenderedPageBreak/>
              <w:t>պաշտպանության և ընտանիքում համերաշխության վերականգնման մասին» ՀՀ օրենքի վերոնշյալ կարգավորումը ընտանիքում բռնության առկայության դեպքում ապաստարաններում գտնվելու ժամկետի հետ կապված ամրագրում է որոշակի չափանիշներ ու հիմքեր:</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Նախագծային լուծումների պարագայում հստակեցման կարիք ունի այն հարցը, թե արդյոք ի՞նչ ընթացակարգով ու հիմքերով է առաջնորդվելու Մարդկանց թրաֆիքինգի և շահագործման զոհերի նույնացման</w:t>
            </w:r>
            <w:r>
              <w:rPr>
                <w:rFonts w:ascii="Calibri" w:eastAsia="Arial Unicode" w:hAnsi="Calibri" w:cs="Calibri"/>
                <w:color w:val="000000"/>
                <w:sz w:val="24"/>
                <w:szCs w:val="24"/>
                <w:lang w:val="hy-AM"/>
              </w:rPr>
              <w:t> </w:t>
            </w:r>
            <w:r>
              <w:rPr>
                <w:rFonts w:ascii="GHEA Grapalat" w:eastAsia="Arial Unicode" w:hAnsi="GHEA Grapalat" w:cs="Arial Unicode"/>
                <w:color w:val="000000"/>
                <w:sz w:val="24"/>
                <w:szCs w:val="24"/>
                <w:lang w:val="hy-AM"/>
              </w:rPr>
              <w:t>հանձնաժողովը կացարանում գտնվելու անհրաժեշտությունը գնահատելիս:</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Այս առումով, կարծում ենք, որ Նախագծային լուծումները խնդրահարույց են և՛ Նախագծում առկա կարգավորումների՝ Նախագծի կարգավորման առարկային համապատասխանության, և՛ Օրենքի հստակ կարգավորումների ու կարգավորման անհրաժեշտություն ունեցող հարցերի կարգավորման նպատակով ամրագրման անհրաժեշտություն ունեցող լիազորող նորմերի բացակայության տեսանկյունից:  </w:t>
            </w:r>
          </w:p>
          <w:p>
            <w:pPr>
              <w:shd w:val="clear" w:color="auto" w:fill="FFFFFF"/>
              <w:tabs>
                <w:tab w:val="left" w:pos="709"/>
                <w:tab w:val="left" w:pos="851"/>
              </w:tabs>
              <w:spacing w:after="0" w:line="240" w:lineRule="auto"/>
              <w:ind w:firstLine="567"/>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Հիմք ընդունելով վերոգրյալը՝ անհրաժեշտ է, ներկայացված նկատառումներին համապատասխան, նախևառաջ վերանայել ոլորտը կարգավորող օրենսդրությունը՝ ամրագրելով հստակ կարգավորումներ ու լիազորող նորմեր, այնուհետև նշվածից ելնելով՝ համապատասխան փոփոխություններ կատարել նաև Նախագծում:</w:t>
            </w: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2. Ա. Նախագծի հավելվածի 7-րդ կետի 1-ին ենթակետով և 9-րդ կետով նախատեսվում են այնպիսի կարգավորումներ, </w:t>
            </w:r>
            <w:r>
              <w:rPr>
                <w:rFonts w:ascii="GHEA Grapalat" w:hAnsi="GHEA Grapalat"/>
                <w:sz w:val="24"/>
                <w:szCs w:val="24"/>
                <w:lang w:val="hy-AM"/>
              </w:rPr>
              <w:lastRenderedPageBreak/>
              <w:t>որոնք առավելապես կացարանի ներքին կարգապահական կանոններին են վերաբերելի:</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Կարծում ենք, որ անհրաժեշտ է ՀՀ կառավարության 2015 թվականի սեպտեմբերի 10-ի «Բնակելի տարածություն ստանալու իրավունք ունեցող՝ սոցիալապես անապահով և հատուկ խմբերին դասված անձանց ցանկը, կացարանով ապահովելու կարգը և պայմանները սահմանելու, Հայաստանի Հանրապետության կառավարության 2006 թվականի ապրիլի 13-ի N 614-Ն ու 2013 թվականի օգոստոսի 1-ի N 894-Ն որոշումներն ուժը կորցրած ճանաչելու և Հայաստանի Հանրապետության կառավարության 2011 թվականի փետրվարի 17-ի N 304-Ն որոշման մեջ լրացում ու փոփոխություն և 2014 թվականի դեկտեմբերի 25-ի N 1516-ն որոշման մեջ փոփոխություն կատարելու մասին» 1069-Ն որոշման Հավելված N 4-ի 9-րդ կետով սահմանված դրույթի օրինակով Նախագծով նախատեսել, որ վերը նշված կարգավորումներն ու վերաբերելի այլ կարգավորումներ սահմանվում են ներքին կարգապահական կանոններով: </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Բ. Ավելին, Նախագծի հավելվածի 7-րդ կետով նախատեսվում են մարդկանց թրաֆիքինգի և շահագործման հավանական զոհերին, զոհերին և հատուկ կատեգորիայի զոհերին կացարան տրամադրելու նախապայմանները, որոնք հետևյալն են.</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t xml:space="preserve">անվտանգության ապահովումը, ներառյալ՝ կացարանն անվտանգության համակարգով կահավորելը, տեսախցիկները և կացարանում անհատական պաշտպանության միջոցների (աերոզոլային սարքեր, ազդարարման համակարգ և այլն) </w:t>
            </w:r>
            <w:r>
              <w:rPr>
                <w:rFonts w:ascii="GHEA Grapalat" w:hAnsi="GHEA Grapalat"/>
                <w:sz w:val="24"/>
                <w:szCs w:val="24"/>
                <w:lang w:val="hy-AM"/>
              </w:rPr>
              <w:lastRenderedPageBreak/>
              <w:t>առկայությունը: Արգելվում է տեսախցիկներ տեղադրել բնակելի սենյակում և սանհանգույցում,</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ab/>
              <w:t>գաղտնիությունը, ներառյալ՝ կացարանի գտնվելու վայրի մասին տեղեկատվությունը չհրապարակելը: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Վերը նշված կարգավորման ձևակերպումը, կարծում ենք, տեղին չէ. Նախագծի հավելվածի 7-րդ կետով ամրագրված պայմանները ոչ թե կացարան տրամադրելու նախապայմաններն են, այլ՝ կացարանի համար սահմանվող պահանջները: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Հիմք ընդունելով վերոգրյալը՝ առաջարկում ենք Նախագծի հավելվածի 7-րդ կետով նախատեսված ձևակերպել այլ կերպ՝ ամրագրելով նույն կետում նշված պայմանները որպես կացարանի համար սահմանվող պահանջ:</w:t>
            </w: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3. Նախագծի հավելվածի 10-րդ կետի համաձայն՝ կացարանում համակեցության կանոնների չպահպանելը կամ կացարանում գտնվող այլ անձանց իրավունքները և ազատությունները չհարգելը կամ ոտնահարելը կարող է հանգեցնել մարդկանց թրաֆիքինգի և շահագործման կոնկրետ հավանական զոհին, զոհին և հատուկ կատեգորիայի զոհին կացարանի տրամադրման դադարեցմանը, որն իրականացվում է Հայաստանի Հանրապետության աշխատանքի և սոցիալական հարցերի նախարարության կողմից՝ կացարանի համապատասխան միջնորդությունն ուսումնասիրելուց հետո:</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Վերոշարադրյալի կապակցությամբ հարկ է նշել, որ Նախագծի վերը նշված դրույթը չի համապատասխանում Օրենքի վերաբերելի կարգավորումներին: Մասնավորապես՝ </w:t>
            </w:r>
            <w:r>
              <w:rPr>
                <w:rFonts w:ascii="GHEA Grapalat" w:hAnsi="GHEA Grapalat"/>
                <w:sz w:val="24"/>
                <w:szCs w:val="24"/>
                <w:lang w:val="hy-AM"/>
              </w:rPr>
              <w:lastRenderedPageBreak/>
              <w:t>ըստ Օրենքի 23-րդ հոդվածի՝  զոհերի և հատուկ կատեգորիայի զոհերի աջակցությունը դադարեցվում է այդ աջակցության տրամադրումն իրականացնող իրավասու մարմնի հիմնավոր միջնորդության հիման վրա՝ նույնացման հանձնաժողովի կայացրած որոշմամբ հետևյալ դեպքերում.</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1) ավարտվել է աջակցության գործընթացը.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2) զոհը կամ հատուկ կատեգորիայի զոհի օրինական ներկայացուցիչը կայացրել է ինքնուրույն և կշռադատված որոշում՝ հրաժարվելու աջակցության հնարավորությունից.</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3) վերացել են աջակցության տրամադրման հիմքերը.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4) առաջացել են անհաղթահարելի խոչընդոտներ՝ աջակցությունը զոհին կամ հատուկ կատեգորիայի զոհին հասանելի դարձնելու համար:</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Նույն հոդվածի 2-րդ մասի համաձայն՝ աջակցության գործընթացը համարվում է ավարտված, եթե սպառվել են զոհի համար նույն օրենքի 22-րդ հոդվածով նախատեսված աջակցության միջոցառումները: Նշված հանգամանքից շուտ աջակցության գործընթացը կարող է համարվել ավարտված, եթե աջակցությունն իրականացնող իրավասու մարմինը համարում է, որ զոհը լիարժեք վերականգնվել է, և զոհի համար ստեղծվել են հասարակությանը սոցիալական վերաինտեգրման համար անհրաժեշտ պայմաններ: Տվյալ դեպքում, անբավարար հիմքերի պարագայում, հանձնաժողովը կարող է իր որոշմամբ մերժել իրավասու մարմնի միջնորդությունը և երկարաձգել աջակցությունը մինչև անհրաժեշտ ամբողջական փաթեթի տրամադրումը:</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Նույն հոդվածի 3-րդ մասով սահմանվում է, որ նույն հոդվածի 1-ին մասի 3-րդ կետով նախատեսված դեպքերում </w:t>
            </w:r>
            <w:r>
              <w:rPr>
                <w:rFonts w:ascii="GHEA Grapalat" w:hAnsi="GHEA Grapalat"/>
                <w:sz w:val="24"/>
                <w:szCs w:val="24"/>
                <w:lang w:val="hy-AM"/>
              </w:rPr>
              <w:lastRenderedPageBreak/>
              <w:t>աջակցությունը կարող է դադարեցվել նաև իրավասու որևէ մարմնի միջնորդության հիման վրա, եթե առկա են հիմնավոր ապացույցներ, որ նույնացման համար հիմք հանդիսացած տեղեկությունները չեն համապատասխանում իրականությանը, և զոհ կամ հատուկ կատեգորիայի զոհ ճանաչված անձն իրականում չի ենթարկվել թրաֆիքինգի կամ շահագործման:</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Նախագծային լուծումներով կացարանի տրամադրման եղանակով աջակցության տրամադրման դադարեցման հիմք է նախատեսվում, ավելին, ըստ Նախագծի քննարկվող դրույթի ստացվում է, որ այդ հիմքով դադարեցման հարցը Աշխատանքի և սոցիալական հարցերի նախարարության իրավասության շրջանակներում է:</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Մինչդեռ, Օրենքի վերը նշված դրույթի բովանդակությունից ստացվում է, որ աջակցության տրամադրման դադարեցման հիմքերը արդեն իսկ հստակ նշված են Օրենքով, իսկ դադարեցման վերաբերյալ որոշում կայացնելու իրավասությունը </w:t>
            </w:r>
            <w:r>
              <w:rPr>
                <w:rFonts w:ascii="GHEA Grapalat" w:eastAsia="Arial Unicode" w:hAnsi="GHEA Grapalat" w:cs="Arial Unicode"/>
                <w:color w:val="000000"/>
                <w:sz w:val="24"/>
                <w:szCs w:val="24"/>
                <w:lang w:val="hy-AM"/>
              </w:rPr>
              <w:t>Մարդկանց թրաֆիքինգի և շահագործման զոհերի նույնացման</w:t>
            </w:r>
            <w:r>
              <w:rPr>
                <w:rFonts w:ascii="Calibri" w:eastAsia="Arial Unicode" w:hAnsi="Calibri" w:cs="Calibri"/>
                <w:color w:val="000000"/>
                <w:sz w:val="24"/>
                <w:szCs w:val="24"/>
                <w:lang w:val="hy-AM"/>
              </w:rPr>
              <w:t> </w:t>
            </w:r>
            <w:r>
              <w:rPr>
                <w:rFonts w:ascii="GHEA Grapalat" w:eastAsia="Arial Unicode" w:hAnsi="GHEA Grapalat" w:cs="Arial Unicode"/>
                <w:color w:val="000000"/>
                <w:sz w:val="24"/>
                <w:szCs w:val="24"/>
                <w:lang w:val="hy-AM"/>
              </w:rPr>
              <w:t xml:space="preserve">հանձնաժողովինն է: </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Հիմք ընդունելով վերոգրյալը՝ անհրաժեշտ է վերանայել Նախագծի խնդրո առարկա կարգավորումը՝ համապատասխանեցնելով այն Օրենքի վերաբերելի դրույթներին:</w:t>
            </w: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eastAsia="Times New Roman" w:hAnsi="GHEA Grapalat"/>
                <w:sz w:val="24"/>
                <w:szCs w:val="24"/>
                <w:lang w:val="hy-AM"/>
              </w:rPr>
            </w:pPr>
            <w:r>
              <w:rPr>
                <w:rFonts w:ascii="GHEA Grapalat" w:hAnsi="GHEA Grapalat"/>
                <w:sz w:val="24"/>
                <w:szCs w:val="24"/>
                <w:lang w:val="hy-AM"/>
              </w:rPr>
              <w:t xml:space="preserve">4. Մարդկանց թրաֆիքինգի և շահագործման հավանական զոհերին, զոհերին և հատուկ կատեգորիայի զոհերին կացարանի տրամադրման, բնաիրային, հոգեբանական, խորհրդատվական, իրավաբանական օգնության և խնամքի տրամադրման, այդ թվում՝ </w:t>
            </w:r>
            <w:r>
              <w:rPr>
                <w:rFonts w:ascii="GHEA Grapalat" w:hAnsi="GHEA Grapalat"/>
                <w:sz w:val="24"/>
                <w:szCs w:val="24"/>
                <w:lang w:val="hy-AM"/>
              </w:rPr>
              <w:lastRenderedPageBreak/>
              <w:t>համապատասխան հաստատություններում, որակի նվազագույն չափորոշիչների շրջանակներում կարծում ենք, որ կարևոր է ամրագրել նաև աջակցության տարբեր տեսակների տրամադրման հնարավորությունը՝ ինչպես միևնույն սեռի անձի կողմից, այնպես էլ աջակցություն ստացող անձի առողջական վիճակով պայմանավորված՝ վերջինիս կարիքներին համապատասխան և նրա համար մատչելի եղանակով՝ հաշվի առնելով աջակցություն ստացող անձի ցանկությունը:</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Calibri"/>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p>
            <w:pPr>
              <w:spacing w:after="0" w:line="240" w:lineRule="auto"/>
              <w:rPr>
                <w:rFonts w:ascii="GHEA Grapalat" w:eastAsia="Times New Roman" w:hAnsi="GHEA Grapalat" w:cs="Calibri"/>
                <w:color w:val="000000"/>
                <w:sz w:val="24"/>
                <w:szCs w:val="24"/>
                <w:lang w:val="hy-AM"/>
              </w:rPr>
            </w:pPr>
          </w:p>
          <w:p>
            <w:pPr>
              <w:spacing w:after="0" w:line="240" w:lineRule="auto"/>
              <w:rPr>
                <w:rFonts w:ascii="GHEA Grapalat" w:eastAsia="Times New Roman" w:hAnsi="GHEA Grapalat" w:cs="Calibri"/>
                <w:color w:val="000000"/>
                <w:sz w:val="24"/>
                <w:szCs w:val="24"/>
                <w:lang w:val="hy-AM"/>
              </w:rPr>
            </w:pPr>
          </w:p>
          <w:p>
            <w:pPr>
              <w:spacing w:after="0" w:line="240" w:lineRule="auto"/>
              <w:rPr>
                <w:rFonts w:ascii="GHEA Grapalat" w:eastAsia="Times New Roman" w:hAnsi="GHEA Grapalat" w:cs="Calibri"/>
                <w:color w:val="000000"/>
                <w:sz w:val="24"/>
                <w:szCs w:val="24"/>
                <w:lang w:val="hy-AM"/>
              </w:rPr>
            </w:pPr>
          </w:p>
          <w:p>
            <w:pPr>
              <w:spacing w:after="0" w:line="240" w:lineRule="auto"/>
              <w:rPr>
                <w:rFonts w:ascii="GHEA Grapalat" w:eastAsia="Times New Roman" w:hAnsi="GHEA Grapalat" w:cs="Calibri"/>
                <w:color w:val="000000"/>
                <w:sz w:val="24"/>
                <w:szCs w:val="24"/>
                <w:lang w:val="hy-AM"/>
              </w:rPr>
            </w:pPr>
          </w:p>
          <w:p>
            <w:pPr>
              <w:spacing w:after="0" w:line="240" w:lineRule="auto"/>
              <w:rPr>
                <w:rFonts w:ascii="GHEA Grapalat" w:eastAsia="Times New Roman" w:hAnsi="GHEA Grapalat" w:cs="Calibri"/>
                <w:color w:val="000000"/>
                <w:sz w:val="24"/>
                <w:szCs w:val="24"/>
                <w:lang w:val="hy-AM"/>
              </w:rPr>
            </w:pPr>
          </w:p>
          <w:p>
            <w:pPr>
              <w:spacing w:after="0" w:line="240" w:lineRule="auto"/>
              <w:rPr>
                <w:rFonts w:ascii="GHEA Grapalat" w:eastAsia="Times New Roman" w:hAnsi="GHEA Grapalat" w:cs="Calibri"/>
                <w:color w:val="000000"/>
                <w:sz w:val="24"/>
                <w:szCs w:val="24"/>
                <w:lang w:val="hy-AM"/>
              </w:rPr>
            </w:pPr>
          </w:p>
          <w:p>
            <w:pPr>
              <w:spacing w:after="0" w:line="240" w:lineRule="auto"/>
              <w:rPr>
                <w:rFonts w:ascii="GHEA Grapalat" w:eastAsia="Times New Roman" w:hAnsi="GHEA Grapalat" w:cs="Times New Roman"/>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Ա.  Չի ընդունվել, տես ՀՀ առողջապահության նախարարության 1-ին դիտարկման պատասխանը:</w:t>
            </w: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279"/>
              <w:jc w:val="both"/>
              <w:rPr>
                <w:rFonts w:ascii="GHEA Grapalat" w:eastAsia="Times New Roman" w:hAnsi="GHEA Grapalat" w:cs="Calibri"/>
                <w:color w:val="000000"/>
                <w:sz w:val="24"/>
                <w:szCs w:val="24"/>
                <w:lang w:val="hy-AM"/>
              </w:rPr>
            </w:pPr>
          </w:p>
          <w:p>
            <w:pPr>
              <w:spacing w:after="0" w:line="240" w:lineRule="auto"/>
              <w:ind w:firstLine="540"/>
              <w:jc w:val="both"/>
              <w:rPr>
                <w:rFonts w:ascii="GHEA Grapalat" w:hAnsi="GHEA Grapalat"/>
                <w:sz w:val="24"/>
                <w:szCs w:val="24"/>
                <w:lang w:val="hy-AM"/>
              </w:rPr>
            </w:pPr>
            <w:r>
              <w:rPr>
                <w:rFonts w:ascii="GHEA Grapalat" w:eastAsia="Times New Roman" w:hAnsi="GHEA Grapalat" w:cs="Calibri"/>
                <w:color w:val="000000"/>
                <w:sz w:val="24"/>
                <w:szCs w:val="24"/>
                <w:lang w:val="hy-AM"/>
              </w:rPr>
              <w:t xml:space="preserve">Բ. Ընդունվել է մասնակի: </w:t>
            </w:r>
            <w:r>
              <w:rPr>
                <w:rFonts w:ascii="GHEA Grapalat" w:hAnsi="GHEA Grapalat"/>
                <w:sz w:val="24"/>
                <w:szCs w:val="24"/>
                <w:lang w:val="hy-AM"/>
              </w:rPr>
              <w:t xml:space="preserve">Նախագծի հավելվածի 14-րդ կետով նախատեսվում է, որ կացարանում մարդկանց թրաֆիքինգի և շահագործման հավանական զոհին, զոհին կամ հատուկ կատեգորիայի զոհին ընդունում են անձնագրով կամ անձը հաստատող այլ փաստաթղթով, իսկ դրանց բացակայության դեպքում՝ առանց դրա՝ նշում կատարելով այլ փաստաթղթերից մարդկանց թրաֆիքինգի և շահագործման հավանական զոհի, զոհի կամ հատուկ կատեգորիայի զոհի անունը, ազգանունը, ծննդյան տարեթիվը և այլ տվյալներ, </w:t>
            </w:r>
            <w:r>
              <w:rPr>
                <w:rFonts w:ascii="GHEA Grapalat" w:hAnsi="GHEA Grapalat"/>
                <w:sz w:val="24"/>
                <w:szCs w:val="24"/>
                <w:lang w:val="hy-AM"/>
              </w:rPr>
              <w:lastRenderedPageBreak/>
              <w:t>որոնք հայտնի են: Սա ընդունման չափանիշն է՝ իր մեկնաբանմամբ:</w:t>
            </w: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Վիճելի այլ կետեր, օրինակ՝ 10-րդ, 11-րդ և այլն, հանվել են:</w:t>
            </w: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Գ. Ընդունվել է, վիճելի ձևակերպումը փոխարինվել է հետևյալ բառերով՝ «</w:t>
            </w:r>
            <w:r>
              <w:rPr>
                <w:rFonts w:ascii="GHEA Grapalat" w:eastAsia="Times New Roman" w:hAnsi="GHEA Grapalat" w:cs="Times New Roman"/>
                <w:color w:val="000000"/>
                <w:sz w:val="24"/>
                <w:szCs w:val="24"/>
                <w:lang w:val="hy-AM"/>
              </w:rPr>
              <w:t>կարող են լավարկել այն չափորոշիչները</w:t>
            </w:r>
            <w:r>
              <w:rPr>
                <w:rFonts w:ascii="GHEA Grapalat" w:hAnsi="GHEA Grapalat"/>
                <w:sz w:val="24"/>
                <w:szCs w:val="24"/>
                <w:lang w:val="hy-AM"/>
              </w:rPr>
              <w:t>»:</w:t>
            </w: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r>
              <w:rPr>
                <w:rFonts w:ascii="GHEA Grapalat" w:hAnsi="GHEA Grapalat"/>
                <w:sz w:val="24"/>
                <w:szCs w:val="24"/>
                <w:lang w:val="hy-AM"/>
              </w:rPr>
              <w:t xml:space="preserve">Դ. Չի ընդունվել, կացարանում գտնվելու ժամկետի երկարաձգումը կամ այնտեղ պահելն իրականացվելու է անհատական գնահատման արդյունքում և կոնկրետ զոհի, հատուկ կատեգորիայի կամ հավանական զոհի կարիքներից ելնելով, իսկ ժամկետը նույնպես չափորոշիչ է համարվում, ինչից ելնելով հանդիսանում է քննարկվող Նախագծի կարգավորման առկա: Չափորոշիչը ելակետ, հղման կետ, չափման ուղղություն կամ ոլորտ է, որը կարող է վերաբերել տարբեր </w:t>
            </w:r>
            <w:r>
              <w:rPr>
                <w:rFonts w:ascii="GHEA Grapalat" w:hAnsi="GHEA Grapalat"/>
                <w:sz w:val="24"/>
                <w:szCs w:val="24"/>
                <w:lang w:val="hy-AM"/>
              </w:rPr>
              <w:lastRenderedPageBreak/>
              <w:t>երևույթներին, արժեքներին և միավորներին, ներառյալ՝ տևողությունը:</w:t>
            </w: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 xml:space="preserve">2. Ա. Չի ընդունվել, քանի որ </w:t>
            </w:r>
            <w:r>
              <w:rPr>
                <w:rFonts w:ascii="GHEA Grapalat" w:eastAsia="Times New Roman" w:hAnsi="GHEA Grapalat" w:cs="Times New Roman"/>
                <w:color w:val="000000"/>
                <w:sz w:val="24"/>
                <w:szCs w:val="24"/>
                <w:lang w:val="hy-AM"/>
              </w:rPr>
              <w:t>անվտանգության ապահովումը և համակեցության կանոնների պահպանումը նույնպես չափորոշիչ են</w:t>
            </w:r>
            <w:r>
              <w:rPr>
                <w:rFonts w:ascii="GHEA Grapalat" w:hAnsi="GHEA Grapalat"/>
                <w:sz w:val="24"/>
                <w:szCs w:val="24"/>
                <w:lang w:val="hy-AM"/>
              </w:rPr>
              <w:t xml:space="preserve">: </w:t>
            </w: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jc w:val="both"/>
              <w:rPr>
                <w:rFonts w:ascii="GHEA Grapalat" w:hAnsi="GHEA Grapalat"/>
                <w:sz w:val="24"/>
                <w:szCs w:val="24"/>
                <w:lang w:val="hy-AM"/>
              </w:rPr>
            </w:pPr>
            <w:r>
              <w:rPr>
                <w:rFonts w:ascii="GHEA Grapalat" w:hAnsi="GHEA Grapalat"/>
                <w:sz w:val="24"/>
                <w:szCs w:val="24"/>
                <w:lang w:val="hy-AM"/>
              </w:rPr>
              <w:t>Բ. Չի ընդունվել, նախորդ կետում նշված հիմնավորմամբ: Ավելին, նույն կետի առնչությամբ դիտարկումների տարբեր մեկնաբանությունն անհասկանալի է, իսկ կացարանի համար սահմանվող պահանջը չափորոշիչ է: Միգուցե առկա է չափորոշիչի տարընթերցում կամ տարընկալում:</w:t>
            </w: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r>
              <w:rPr>
                <w:rFonts w:ascii="GHEA Grapalat" w:hAnsi="GHEA Grapalat"/>
                <w:sz w:val="24"/>
                <w:szCs w:val="24"/>
                <w:lang w:val="hy-AM"/>
              </w:rPr>
              <w:t>3. Ընդունվել է, դրույթը հանվել է:</w:t>
            </w: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4. Չի ընդունվել, բացի աջակցության այն տեսակներից, որոնք թվարկվել են, այլ տեսակների առնչությամբ չափորոշիչներ չեն կարող սահմանվել: Բացի այդ, </w:t>
            </w:r>
            <w:r>
              <w:rPr>
                <w:rFonts w:ascii="GHEA Grapalat" w:hAnsi="GHEA Grapalat"/>
                <w:sz w:val="24"/>
                <w:szCs w:val="24"/>
                <w:lang w:val="hy-AM"/>
              </w:rPr>
              <w:lastRenderedPageBreak/>
              <w:t>աջակցության նշված տեսակները տրամադրվում են բոլոր զոհերին, հատուկ կատեգորիայի զոհերին կամ հավանական զոհերին:</w:t>
            </w:r>
          </w:p>
          <w:p>
            <w:pPr>
              <w:spacing w:after="0" w:line="240" w:lineRule="auto"/>
              <w:rPr>
                <w:rFonts w:ascii="GHEA Grapalat" w:hAnsi="GHEA Grapalat"/>
                <w:sz w:val="24"/>
                <w:szCs w:val="24"/>
                <w:lang w:val="hy-AM"/>
              </w:rPr>
            </w:pPr>
          </w:p>
          <w:p>
            <w:pPr>
              <w:spacing w:after="0" w:line="240" w:lineRule="auto"/>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540"/>
              <w:jc w:val="both"/>
              <w:rPr>
                <w:rFonts w:ascii="GHEA Grapalat" w:hAnsi="GHEA Grapalat"/>
                <w:sz w:val="24"/>
                <w:szCs w:val="24"/>
                <w:lang w:val="hy-AM"/>
              </w:rPr>
            </w:pPr>
          </w:p>
          <w:p>
            <w:pPr>
              <w:spacing w:after="0" w:line="240" w:lineRule="auto"/>
              <w:ind w:firstLine="279"/>
              <w:jc w:val="both"/>
              <w:rPr>
                <w:rFonts w:ascii="GHEA Grapalat" w:eastAsia="Times New Roman" w:hAnsi="GHEA Grapalat" w:cs="Times New Roman"/>
                <w:b/>
                <w:color w:val="000000"/>
                <w:sz w:val="24"/>
                <w:szCs w:val="24"/>
                <w:lang w:val="hy-AM"/>
              </w:rPr>
            </w:pPr>
          </w:p>
        </w:tc>
      </w:tr>
      <w:tr>
        <w:trPr>
          <w:trHeight w:val="165"/>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12. ՀՀ Սփյուռքի գործերի գլխավոր հանձնակատարի գրասենյակ</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29</w:t>
            </w:r>
            <w:r>
              <w:rPr>
                <w:rFonts w:ascii="GHEA Grapalat" w:eastAsia="Times New Roman" w:hAnsi="GHEA Grapalat" w:cs="Times New Roman"/>
                <w:b/>
                <w:sz w:val="24"/>
                <w:szCs w:val="24"/>
                <w:lang w:val="hy-AM"/>
              </w:rPr>
              <w:t>.06.2022թ.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color w:val="000000"/>
                <w:sz w:val="24"/>
                <w:szCs w:val="24"/>
                <w:lang w:val="hy-AM"/>
              </w:rPr>
              <w:t>N /43/2091</w:t>
            </w:r>
            <w:r>
              <w:rPr>
                <w:rFonts w:ascii="GHEA Grapalat" w:eastAsia="Times New Roman" w:hAnsi="GHEA Grapalat" w:cs="Times New Roman"/>
                <w:b/>
                <w:color w:val="000000"/>
                <w:sz w:val="24"/>
                <w:szCs w:val="24"/>
              </w:rPr>
              <w:t>4</w:t>
            </w:r>
            <w:r>
              <w:rPr>
                <w:rFonts w:ascii="GHEA Grapalat" w:eastAsia="Times New Roman" w:hAnsi="GHEA Grapalat" w:cs="Times New Roman"/>
                <w:b/>
                <w:color w:val="000000"/>
                <w:sz w:val="24"/>
                <w:szCs w:val="24"/>
                <w:lang w:val="hy-AM"/>
              </w:rPr>
              <w:t>-2022</w:t>
            </w:r>
          </w:p>
        </w:tc>
      </w:tr>
      <w:tr>
        <w:trPr>
          <w:trHeight w:val="512"/>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tabs>
                <w:tab w:val="left" w:pos="630"/>
              </w:tabs>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FFFFFF"/>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trPr>
          <w:trHeight w:val="165"/>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13. ՀՀ Առողջապահական և աշխատանքի տեսչական մարմին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color w:val="000000"/>
                <w:sz w:val="24"/>
                <w:szCs w:val="24"/>
                <w:lang w:val="hy-AM"/>
              </w:rPr>
              <w:t>04.</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color w:val="000000"/>
                <w:sz w:val="24"/>
                <w:szCs w:val="24"/>
                <w:lang w:val="hy-AM"/>
              </w:rPr>
              <w:t>N 01/11696-2022</w:t>
            </w:r>
          </w:p>
        </w:tc>
      </w:tr>
      <w:tr>
        <w:trPr>
          <w:trHeight w:val="512"/>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tabs>
                <w:tab w:val="left" w:pos="630"/>
              </w:tabs>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FFFFFF"/>
          </w:tcPr>
          <w:p>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trPr>
          <w:trHeight w:val="165"/>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t>14. ՀՀ Միգրացիոն ծառայություն</w:t>
            </w: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16.06.2022թ.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 01/02/2145-2022</w:t>
            </w:r>
          </w:p>
        </w:tc>
      </w:tr>
      <w:tr>
        <w:trPr>
          <w:trHeight w:val="36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2"/>
              </w:numPr>
              <w:spacing w:after="0" w:line="240" w:lineRule="auto"/>
              <w:ind w:left="142" w:firstLine="218"/>
              <w:jc w:val="both"/>
              <w:rPr>
                <w:rFonts w:ascii="GHEA Grapalat" w:hAnsi="GHEA Grapalat"/>
                <w:sz w:val="24"/>
                <w:szCs w:val="24"/>
                <w:shd w:val="clear" w:color="auto" w:fill="FFFFFF"/>
                <w:lang w:val="hy-AM"/>
              </w:rPr>
            </w:pPr>
            <w:r>
              <w:rPr>
                <w:rFonts w:ascii="GHEA Grapalat" w:hAnsi="GHEA Grapalat"/>
                <w:sz w:val="24"/>
                <w:szCs w:val="24"/>
                <w:lang w:val="hy-AM"/>
              </w:rPr>
              <w:t xml:space="preserve">նախագծի  հավելվածի  12-րդ  կետն  անդրադառնում  է  կացարանի տրամադրման ժամկետների երկարաձգմանը՝ որպես հիմք  դիտարկելով դրա անհրաժեշտությունը։ </w:t>
            </w:r>
            <w:r>
              <w:rPr>
                <w:rFonts w:ascii="GHEA Grapalat" w:hAnsi="GHEA Grapalat"/>
                <w:sz w:val="24"/>
                <w:szCs w:val="24"/>
                <w:shd w:val="clear" w:color="auto" w:fill="FFFFFF"/>
                <w:lang w:val="hy-AM"/>
              </w:rPr>
              <w:t>Թյուրըմբռնումներից խուսափելու նպատակով  առաջարկում  ենք  թվարկել,  թե  ինչպիսի  պայմանների  առկայության դեպքում է  կացարանի  տրամադրման  ժամկետի  երկարաձգումը  համարվում անհրաժեշտ,</w:t>
            </w:r>
          </w:p>
          <w:p>
            <w:pPr>
              <w:pStyle w:val="ListParagraph"/>
              <w:numPr>
                <w:ilvl w:val="0"/>
                <w:numId w:val="42"/>
              </w:numPr>
              <w:spacing w:after="0" w:line="240" w:lineRule="auto"/>
              <w:ind w:left="142" w:firstLine="218"/>
              <w:jc w:val="both"/>
              <w:rPr>
                <w:rFonts w:ascii="GHEA Grapalat" w:hAnsi="GHEA Grapalat"/>
                <w:sz w:val="24"/>
                <w:szCs w:val="24"/>
                <w:lang w:val="hy-AM"/>
              </w:rPr>
            </w:pPr>
            <w:r>
              <w:rPr>
                <w:rFonts w:ascii="GHEA Grapalat" w:hAnsi="GHEA Grapalat"/>
                <w:sz w:val="24"/>
                <w:szCs w:val="24"/>
                <w:shd w:val="clear" w:color="auto" w:fill="FFFFFF"/>
                <w:lang w:val="hy-AM"/>
              </w:rPr>
              <w:t xml:space="preserve">նախագծի  հավելվածի  16-րդ  կետում   «կազմակերպությունը»  բառից  հետո  անհրաժեշտ  է  </w:t>
            </w:r>
            <w:r>
              <w:rPr>
                <w:rFonts w:ascii="GHEA Grapalat" w:hAnsi="GHEA Grapalat"/>
                <w:sz w:val="24"/>
                <w:szCs w:val="24"/>
                <w:shd w:val="clear" w:color="auto" w:fill="FFFFFF"/>
                <w:lang w:val="hy-AM"/>
              </w:rPr>
              <w:lastRenderedPageBreak/>
              <w:t xml:space="preserve">ավելացնել  «հաստատությունը»  բառը,  </w:t>
            </w:r>
            <w:r>
              <w:rPr>
                <w:rFonts w:ascii="GHEA Grapalat" w:hAnsi="GHEA Grapalat"/>
                <w:sz w:val="24"/>
                <w:szCs w:val="24"/>
                <w:lang w:val="hy-AM"/>
              </w:rPr>
              <w:t>քանի  որ  «Մարդկանց թրաֆիքինգի և շահագործման ենթարկված անձանց նույնացման և աջակցության մասին» ՀՀ  օրենքի 22-րդ հոդվածի 3-րդ մասի համաձայն,  կացարան կարող են հանդիսանալ  ոչ  միայն  գործընկեր հասարակական կազմակերպությունների ապաստարանները,  այլև խնամք և պաշտպանություն իրականացնող կամ օթևան տրամադրելու հնարավորությամբ այլ հաստատությունները ևս,</w:t>
            </w:r>
          </w:p>
          <w:p>
            <w:pPr>
              <w:pStyle w:val="ListParagraph"/>
              <w:numPr>
                <w:ilvl w:val="0"/>
                <w:numId w:val="42"/>
              </w:numPr>
              <w:spacing w:after="0" w:line="240" w:lineRule="auto"/>
              <w:ind w:left="142" w:firstLine="218"/>
              <w:jc w:val="both"/>
              <w:rPr>
                <w:rFonts w:ascii="GHEA Grapalat" w:hAnsi="GHEA Grapalat"/>
                <w:sz w:val="24"/>
                <w:szCs w:val="24"/>
                <w:lang w:val="hy-AM"/>
              </w:rPr>
            </w:pPr>
            <w:r>
              <w:rPr>
                <w:rFonts w:ascii="GHEA Grapalat" w:hAnsi="GHEA Grapalat"/>
                <w:sz w:val="24"/>
                <w:szCs w:val="24"/>
                <w:lang w:val="hy-AM"/>
              </w:rPr>
              <w:t>նախագծի  հավելվածի  19-րդ  կետում  հասկանալի  չէ  թե  ինչ  է  նկատի առնված «.....կ</w:t>
            </w:r>
            <w:r>
              <w:rPr>
                <w:rFonts w:ascii="GHEA Grapalat" w:eastAsia="Arial Unicode" w:hAnsi="GHEA Grapalat" w:cs="Arial Unicode"/>
                <w:color w:val="000000"/>
                <w:sz w:val="24"/>
                <w:szCs w:val="24"/>
                <w:lang w:val="hy-AM"/>
              </w:rPr>
              <w:t xml:space="preserve">ացարանը </w:t>
            </w:r>
            <w:r>
              <w:rPr>
                <w:rFonts w:ascii="GHEA Grapalat" w:eastAsia="Arial Unicode" w:hAnsi="GHEA Grapalat" w:cs="Arial Unicode"/>
                <w:bCs/>
                <w:color w:val="000000"/>
                <w:sz w:val="24"/>
                <w:szCs w:val="24"/>
                <w:lang w:val="hy-AM"/>
              </w:rPr>
              <w:t xml:space="preserve">պետք է </w:t>
            </w:r>
            <w:r>
              <w:rPr>
                <w:rFonts w:ascii="GHEA Grapalat" w:hAnsi="GHEA Grapalat"/>
                <w:bCs/>
                <w:color w:val="000000"/>
                <w:sz w:val="24"/>
                <w:szCs w:val="24"/>
                <w:shd w:val="clear" w:color="auto" w:fill="FFFFFF"/>
                <w:lang w:val="hy-AM"/>
              </w:rPr>
              <w:t xml:space="preserve"> լինի մատչելի</w:t>
            </w:r>
            <w:r>
              <w:rPr>
                <w:rFonts w:ascii="GHEA Grapalat" w:hAnsi="GHEA Grapalat"/>
                <w:color w:val="000000"/>
                <w:sz w:val="24"/>
                <w:szCs w:val="24"/>
                <w:shd w:val="clear" w:color="auto" w:fill="FFFFFF"/>
                <w:lang w:val="hy-AM"/>
              </w:rPr>
              <w:t xml:space="preserve"> </w:t>
            </w:r>
            <w:r>
              <w:rPr>
                <w:rFonts w:ascii="GHEA Grapalat" w:hAnsi="GHEA Grapalat"/>
                <w:sz w:val="24"/>
                <w:szCs w:val="24"/>
                <w:shd w:val="clear" w:color="auto" w:fill="FFFFFF"/>
                <w:lang w:val="hy-AM"/>
              </w:rPr>
              <w:t xml:space="preserve">մարդկանց </w:t>
            </w:r>
            <w:r>
              <w:rPr>
                <w:rFonts w:ascii="GHEA Grapalat" w:hAnsi="GHEA Grapalat"/>
                <w:sz w:val="24"/>
                <w:szCs w:val="24"/>
                <w:lang w:val="hy-AM"/>
              </w:rPr>
              <w:t xml:space="preserve">թրաֆիքինգի և շահագործման հավանական զոհի, զոհի կամ հատուկ </w:t>
            </w:r>
            <w:r>
              <w:rPr>
                <w:rFonts w:ascii="GHEA Grapalat" w:eastAsia="Times New Roman" w:hAnsi="GHEA Grapalat"/>
                <w:bCs/>
                <w:color w:val="000000"/>
                <w:sz w:val="24"/>
                <w:szCs w:val="24"/>
                <w:lang w:val="hy-AM"/>
              </w:rPr>
              <w:t>կատեգորիայի զոհի համար, ինչպես նաև բացառի ավելորդ ֆիզիկական անհարմարությունը»  արտահայտությունների  ներքո,</w:t>
            </w:r>
          </w:p>
          <w:p>
            <w:pPr>
              <w:pStyle w:val="ListParagraph"/>
              <w:numPr>
                <w:ilvl w:val="0"/>
                <w:numId w:val="42"/>
              </w:numPr>
              <w:spacing w:after="0" w:line="240" w:lineRule="auto"/>
              <w:ind w:left="142" w:firstLine="218"/>
              <w:jc w:val="both"/>
              <w:rPr>
                <w:rFonts w:ascii="GHEA Grapalat" w:eastAsia="Times New Roman" w:hAnsi="GHEA Grapalat"/>
                <w:bCs/>
                <w:color w:val="000000"/>
                <w:sz w:val="24"/>
                <w:szCs w:val="24"/>
                <w:lang w:val="hy-AM"/>
              </w:rPr>
            </w:pPr>
            <w:r>
              <w:rPr>
                <w:rFonts w:ascii="GHEA Grapalat" w:hAnsi="GHEA Grapalat"/>
                <w:color w:val="000000"/>
                <w:sz w:val="24"/>
                <w:szCs w:val="24"/>
                <w:shd w:val="clear" w:color="auto" w:fill="FFFFFF"/>
                <w:lang w:val="hy-AM"/>
              </w:rPr>
              <w:t xml:space="preserve">նախագծի  հավելվածի  4-րդ  գլուխը վերաբերում է  </w:t>
            </w:r>
            <w:r>
              <w:rPr>
                <w:rFonts w:ascii="GHEA Grapalat" w:eastAsia="Times New Roman" w:hAnsi="GHEA Grapalat"/>
                <w:bCs/>
                <w:color w:val="000000"/>
                <w:sz w:val="24"/>
                <w:szCs w:val="24"/>
                <w:lang w:val="hy-AM"/>
              </w:rPr>
              <w:t>խորհրդատվական օգնության տրամադրման որակի նվազագույն չափորոշիչներին։ Գլխում  նկարագրված  խորհրդատվական օգնության բնույթը  բնորոշ  է սոցիալական աշխատողների  կողմից  շահառուներին ցուցաբերվող  օգնությանը,  մինչդեռ  43-րդ  կետում նշված  է,   որ  խ</w:t>
            </w:r>
            <w:r>
              <w:rPr>
                <w:rFonts w:ascii="GHEA Grapalat" w:eastAsia="Times New Roman" w:hAnsi="GHEA Grapalat"/>
                <w:color w:val="000000"/>
                <w:sz w:val="24"/>
                <w:szCs w:val="24"/>
                <w:lang w:val="hy-AM"/>
              </w:rPr>
              <w:t xml:space="preserve">որհրդատվական օգնությունը տրամադրվում է տարբեր ոլորտների մասնագետների կողմից։ </w:t>
            </w:r>
            <w:r>
              <w:rPr>
                <w:rFonts w:ascii="GHEA Grapalat" w:eastAsia="Times New Roman" w:hAnsi="GHEA Grapalat"/>
                <w:bCs/>
                <w:color w:val="000000"/>
                <w:sz w:val="24"/>
                <w:szCs w:val="24"/>
                <w:lang w:val="hy-AM"/>
              </w:rPr>
              <w:t xml:space="preserve">Հաշվի առնելով այն  հանգամանքը,  որ  հոգեբանական և  իրավաբանական օգնության  տրամադրման դեպքում  նախագծով սահմանվում  են հստակ  պահանջներ այդ  օգնությունը  տրամադրող  մասնագետների համար, առաջարկում  ենք  խորհրդատվական  օգնության  տրամադրումն  էլ  </w:t>
            </w:r>
            <w:r>
              <w:rPr>
                <w:rFonts w:ascii="GHEA Grapalat" w:eastAsia="Times New Roman" w:hAnsi="GHEA Grapalat"/>
                <w:bCs/>
                <w:color w:val="000000"/>
                <w:sz w:val="24"/>
                <w:szCs w:val="24"/>
                <w:lang w:val="hy-AM"/>
              </w:rPr>
              <w:lastRenderedPageBreak/>
              <w:t>վերապահել  սոցիալական  աշխատողներին՝  նրանց  համար  ևս  սահմանելով  մասնագիտական հստակ  չափանիշներ,</w:t>
            </w:r>
          </w:p>
          <w:p>
            <w:pPr>
              <w:pStyle w:val="ListParagraph"/>
              <w:numPr>
                <w:ilvl w:val="0"/>
                <w:numId w:val="42"/>
              </w:numPr>
              <w:spacing w:after="0" w:line="240" w:lineRule="auto"/>
              <w:ind w:left="142" w:firstLine="218"/>
              <w:jc w:val="both"/>
              <w:rPr>
                <w:rFonts w:ascii="GHEA Grapalat" w:hAnsi="GHEA Grapalat"/>
                <w:sz w:val="24"/>
                <w:szCs w:val="24"/>
                <w:lang w:val="hy-AM"/>
              </w:rPr>
            </w:pPr>
            <w:r>
              <w:rPr>
                <w:rFonts w:ascii="GHEA Grapalat" w:eastAsia="Times New Roman" w:hAnsi="GHEA Grapalat"/>
                <w:bCs/>
                <w:color w:val="000000"/>
                <w:sz w:val="24"/>
                <w:szCs w:val="24"/>
                <w:lang w:val="hy-AM"/>
              </w:rPr>
              <w:t>նախագծի  հավելվածի  59-րդ  կետում   «զոհի  անհատական աշխատանքի մշտադիտարկումը»  արտահայտությունն   անհրաժեշտ  է  ձևակերպել  հետևյալ կերպ՝  «զոհի  հետ տարվող  անհատական աշխատանքի մշտադիտարկումը»։  Նույն  փոփոխությունն  անհրաժեշտ  է կատարել  նախագծի  հավելվածի  Ձև 1-ի վերնագրում։</w:t>
            </w:r>
          </w:p>
        </w:tc>
        <w:tc>
          <w:tcPr>
            <w:tcW w:w="6237" w:type="dxa"/>
            <w:gridSpan w:val="2"/>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5"/>
              </w:numPr>
              <w:spacing w:after="0" w:line="240" w:lineRule="auto"/>
              <w:ind w:left="142" w:firstLine="218"/>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Չի ընդունվել, անհրաժեշտությունը որոշվելու է անհատական գնահատման հիման վրա՝ ելնելով կոնկրետ զոհի, հատուկ կատեգորիայի զոհի կամ հավանական զոհի կարիքներից:</w:t>
            </w: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pStyle w:val="ListParagraph"/>
              <w:numPr>
                <w:ilvl w:val="0"/>
                <w:numId w:val="45"/>
              </w:numPr>
              <w:spacing w:after="0" w:line="240" w:lineRule="auto"/>
              <w:ind w:left="142" w:firstLine="218"/>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է համապատասխան լրացում:</w:t>
            </w:r>
          </w:p>
          <w:p>
            <w:pPr>
              <w:pStyle w:val="ListParagraph"/>
              <w:spacing w:after="0" w:line="240" w:lineRule="auto"/>
              <w:ind w:left="142" w:firstLine="218"/>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spacing w:after="0" w:line="240" w:lineRule="auto"/>
              <w:ind w:left="142" w:firstLine="218"/>
              <w:jc w:val="both"/>
              <w:rPr>
                <w:rFonts w:ascii="GHEA Grapalat" w:eastAsia="Times New Roman" w:hAnsi="GHEA Grapalat"/>
                <w:sz w:val="24"/>
                <w:szCs w:val="24"/>
                <w:lang w:val="hy-AM"/>
              </w:rPr>
            </w:pPr>
          </w:p>
          <w:p>
            <w:pPr>
              <w:pStyle w:val="ListParagraph"/>
              <w:numPr>
                <w:ilvl w:val="0"/>
                <w:numId w:val="45"/>
              </w:numPr>
              <w:spacing w:after="0" w:line="240" w:lineRule="auto"/>
              <w:ind w:left="142" w:firstLine="218"/>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Չի ընդունվել, քանի որ այն առաջարկ չէ: Մատչելիությունը վերաբերում է կացարանի պայմանների հասանելի լինելուն բոլոր զոհերին՝ ներառյալ հաշմանդամություն ունեցող և այն չպետք է ֆիզիկական անհարմարություն պատճառի իր կառուցվածքով, կահավորանքով և այլ պայմաններով: </w:t>
            </w:r>
          </w:p>
          <w:p>
            <w:pPr>
              <w:pStyle w:val="ListParagraph"/>
              <w:numPr>
                <w:ilvl w:val="0"/>
                <w:numId w:val="45"/>
              </w:numPr>
              <w:spacing w:after="0" w:line="240" w:lineRule="auto"/>
              <w:ind w:left="142" w:firstLine="218"/>
              <w:jc w:val="both"/>
              <w:rPr>
                <w:rFonts w:ascii="GHEA Grapalat" w:eastAsia="Times New Roman" w:hAnsi="GHEA Grapalat"/>
                <w:sz w:val="24"/>
                <w:szCs w:val="24"/>
                <w:lang w:val="hy-AM"/>
              </w:rPr>
            </w:pPr>
            <w:r>
              <w:rPr>
                <w:rFonts w:ascii="GHEA Grapalat" w:eastAsia="Times New Roman" w:hAnsi="GHEA Grapalat"/>
                <w:sz w:val="24"/>
                <w:szCs w:val="24"/>
                <w:lang w:val="hy-AM"/>
              </w:rPr>
              <w:t>Չի ընդունվել, այն, որ գ</w:t>
            </w:r>
            <w:r>
              <w:rPr>
                <w:rFonts w:ascii="GHEA Grapalat" w:eastAsia="Times New Roman" w:hAnsi="GHEA Grapalat"/>
                <w:bCs/>
                <w:color w:val="000000"/>
                <w:sz w:val="24"/>
                <w:szCs w:val="24"/>
                <w:lang w:val="hy-AM"/>
              </w:rPr>
              <w:t xml:space="preserve">լխում  նկարագրված  խորհրդատվական օգնության բնույթը  բնորոշ  է սոցիալական աշխատողների  կողմից  շահառուներին ցուցաբերվող  օգնությանը կարծիքի հեղինակի ենթադրությունն է և որևէ իրավական հիմանվորում չունի, առավել ևս, որ 45-րդ կետը նշում է խրհրդատվուն հստակ բաղադրիչներ, իսկ ընդհանուր կարգավորումը, ինչպես նաև նշել է կարծիքի հեղինակը, վերաբերում է տարբեր ոլորտի մասնագետների: </w:t>
            </w:r>
          </w:p>
          <w:p>
            <w:pPr>
              <w:spacing w:after="0" w:line="240" w:lineRule="auto"/>
              <w:jc w:val="both"/>
              <w:rPr>
                <w:rFonts w:ascii="GHEA Grapalat" w:eastAsia="Times New Roman" w:hAnsi="GHEA Grapalat"/>
                <w:sz w:val="24"/>
                <w:szCs w:val="24"/>
                <w:lang w:val="hy-AM"/>
              </w:rPr>
            </w:pPr>
          </w:p>
          <w:p>
            <w:pPr>
              <w:spacing w:after="0" w:line="240" w:lineRule="auto"/>
              <w:jc w:val="both"/>
              <w:rPr>
                <w:rFonts w:ascii="GHEA Grapalat" w:eastAsia="Times New Roman" w:hAnsi="GHEA Grapalat"/>
                <w:sz w:val="24"/>
                <w:szCs w:val="24"/>
                <w:lang w:val="hy-AM"/>
              </w:rPr>
            </w:pPr>
          </w:p>
          <w:p>
            <w:pPr>
              <w:spacing w:after="0" w:line="240" w:lineRule="auto"/>
              <w:jc w:val="both"/>
              <w:rPr>
                <w:rFonts w:ascii="GHEA Grapalat" w:eastAsia="Times New Roman" w:hAnsi="GHEA Grapalat"/>
                <w:sz w:val="24"/>
                <w:szCs w:val="24"/>
                <w:lang w:val="hy-AM"/>
              </w:rPr>
            </w:pPr>
          </w:p>
          <w:p>
            <w:pPr>
              <w:spacing w:after="0" w:line="240" w:lineRule="auto"/>
              <w:jc w:val="both"/>
              <w:rPr>
                <w:rFonts w:ascii="GHEA Grapalat" w:eastAsia="Times New Roman" w:hAnsi="GHEA Grapalat"/>
                <w:sz w:val="24"/>
                <w:szCs w:val="24"/>
                <w:lang w:val="hy-AM"/>
              </w:rPr>
            </w:pPr>
          </w:p>
          <w:p>
            <w:pPr>
              <w:spacing w:after="0" w:line="240" w:lineRule="auto"/>
              <w:jc w:val="both"/>
              <w:rPr>
                <w:rFonts w:ascii="GHEA Grapalat" w:eastAsia="Times New Roman" w:hAnsi="GHEA Grapalat"/>
                <w:sz w:val="24"/>
                <w:szCs w:val="24"/>
                <w:lang w:val="hy-AM"/>
              </w:rPr>
            </w:pPr>
          </w:p>
          <w:p>
            <w:pPr>
              <w:spacing w:after="0" w:line="240" w:lineRule="auto"/>
              <w:jc w:val="both"/>
              <w:rPr>
                <w:rFonts w:ascii="GHEA Grapalat" w:eastAsia="Times New Roman" w:hAnsi="GHEA Grapalat"/>
                <w:sz w:val="24"/>
                <w:szCs w:val="24"/>
                <w:lang w:val="hy-AM"/>
              </w:rPr>
            </w:pPr>
          </w:p>
          <w:p>
            <w:pPr>
              <w:pStyle w:val="ListParagraph"/>
              <w:numPr>
                <w:ilvl w:val="0"/>
                <w:numId w:val="45"/>
              </w:num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է համապատասխան լրացում:</w:t>
            </w:r>
          </w:p>
        </w:tc>
      </w:tr>
      <w:tr>
        <w:trPr>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rPr>
              <w:lastRenderedPageBreak/>
              <w:t>15</w:t>
            </w:r>
            <w:r>
              <w:rPr>
                <w:rFonts w:ascii="GHEA Grapalat" w:eastAsia="Times New Roman" w:hAnsi="GHEA Grapalat" w:cs="Times New Roman"/>
                <w:b/>
                <w:color w:val="000000"/>
                <w:sz w:val="24"/>
                <w:szCs w:val="24"/>
                <w:lang w:val="hy-AM"/>
              </w:rPr>
              <w:t xml:space="preserve">. </w:t>
            </w:r>
            <w:r>
              <w:rPr>
                <w:rFonts w:ascii="GHEA Grapalat" w:hAnsi="GHEA Grapalat"/>
                <w:b/>
                <w:sz w:val="24"/>
                <w:szCs w:val="24"/>
                <w:lang w:val="hy-AM"/>
              </w:rPr>
              <w:t>ՀՀ Արդարադատության նախարարություն</w:t>
            </w:r>
          </w:p>
          <w:p>
            <w:pPr>
              <w:spacing w:after="0" w:line="240" w:lineRule="auto"/>
              <w:jc w:val="center"/>
              <w:rPr>
                <w:rFonts w:ascii="GHEA Grapalat" w:hAnsi="GHEA Grapalat"/>
                <w:b/>
                <w:sz w:val="24"/>
                <w:szCs w:val="24"/>
                <w:lang w:val="hy-AM"/>
              </w:rPr>
            </w:pPr>
            <w:r>
              <w:rPr>
                <w:rFonts w:ascii="GHEA Grapalat" w:hAnsi="GHEA Grapalat"/>
                <w:b/>
                <w:sz w:val="24"/>
                <w:szCs w:val="24"/>
                <w:lang w:val="hy-AM"/>
              </w:rPr>
              <w:t>Փորձագիտական եզրակացություն</w:t>
            </w:r>
          </w:p>
          <w:p>
            <w:pPr>
              <w:spacing w:after="0" w:line="240" w:lineRule="auto"/>
              <w:jc w:val="center"/>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24.</w:t>
            </w:r>
            <w:r>
              <w:rPr>
                <w:rFonts w:ascii="GHEA Grapalat" w:eastAsia="Times New Roman" w:hAnsi="GHEA Grapalat" w:cs="Times New Roman"/>
                <w:b/>
                <w:color w:val="000000"/>
                <w:sz w:val="24"/>
                <w:szCs w:val="24"/>
              </w:rPr>
              <w:t>08</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//37275-2022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pPr>
              <w:shd w:val="clear" w:color="auto" w:fill="FFFFFF"/>
              <w:spacing w:after="0" w:line="240" w:lineRule="auto"/>
              <w:ind w:firstLine="54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ab/>
            </w:r>
            <w:r>
              <w:rPr>
                <w:rFonts w:ascii="GHEA Grapalat" w:hAnsi="GHEA Grapalat"/>
                <w:sz w:val="24"/>
                <w:szCs w:val="24"/>
                <w:lang w:val="hy-AM"/>
              </w:rPr>
              <w:t xml:space="preserve">           </w:t>
            </w:r>
            <w:r>
              <w:rPr>
                <w:rFonts w:ascii="GHEA Grapalat" w:eastAsia="Times New Roman" w:hAnsi="GHEA Grapalat" w:cs="Times New Roman"/>
                <w:bCs/>
                <w:color w:val="000000"/>
                <w:sz w:val="24"/>
                <w:szCs w:val="24"/>
                <w:lang w:val="hy-AM"/>
              </w:rPr>
              <w:t>«Մարդկանց թրաֆիքինգի և շահագործման ենթարկված անձանց նույնացման և աջակցության մասին» օրենքի 22-րդ հոդվածի 2.2-րդ մասի համաձայն՝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հաստատությունում, որակի նվազագույն չափորոշիչները սահմանվում են Հայաստանի Հանրապետության կառավարության որոշմամբ, իսկ նույն հոդվածի 2.3-րդ մասի համաձայն՝ նույն հոդվածի 2.1-ին և 2.2-րդ մասերով նախատեսված՝ Հայաստանի Հանրապետության կառավարության որոշումներով սահմանվող կարգավորումները վերաբերելի և կիրառելի են նաև սույն օրենքի 21-րդ հոդվածով նախատեսված՝ նախանույնացման փուլում աջակցության կարիք ունեցող անձանց նկատմամբ:</w:t>
            </w:r>
          </w:p>
          <w:p>
            <w:pPr>
              <w:shd w:val="clear" w:color="auto" w:fill="FFFFFF"/>
              <w:spacing w:after="0" w:line="240" w:lineRule="auto"/>
              <w:ind w:firstLine="54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«Մարդկանց թրաֆիքինգի և շահագործման ենթարկված անձանց նույնացման և աջակցության մասին» օրենքի 4-րդ </w:t>
            </w:r>
            <w:r>
              <w:rPr>
                <w:rFonts w:ascii="GHEA Grapalat" w:eastAsia="Times New Roman" w:hAnsi="GHEA Grapalat" w:cs="Times New Roman"/>
                <w:bCs/>
                <w:color w:val="000000"/>
                <w:sz w:val="24"/>
                <w:szCs w:val="24"/>
                <w:lang w:val="hy-AM"/>
              </w:rPr>
              <w:lastRenderedPageBreak/>
              <w:t>հոդվածի 1-ին մասի 3-րդ կետի համաձայն՝  հավանական զոհը նախանույնացման փուլում գտնվող անձն է, որի վերաբերյալ դեռ չի կայացվել զոհ կամ հատուկ կատեգորիայի զոհ ճանաչելու մասին որոշում, և դեռևս պարզ չէ տվյալ անձի զոհ հանդիսանալու կամ չհանդիսանալու հանգամանքը:</w:t>
            </w:r>
          </w:p>
          <w:p>
            <w:pPr>
              <w:shd w:val="clear" w:color="auto" w:fill="FFFFFF"/>
              <w:spacing w:after="0" w:line="240" w:lineRule="auto"/>
              <w:ind w:firstLine="540"/>
              <w:jc w:val="both"/>
              <w:rPr>
                <w:rFonts w:ascii="GHEA Grapalat" w:hAnsi="GHEA Grapalat"/>
                <w:b/>
                <w:bCs/>
                <w:sz w:val="24"/>
                <w:szCs w:val="24"/>
                <w:shd w:val="clear" w:color="auto" w:fill="FFFFFF"/>
                <w:lang w:val="hy-AM"/>
              </w:rPr>
            </w:pPr>
            <w:r>
              <w:rPr>
                <w:rFonts w:ascii="GHEA Grapalat" w:eastAsia="Times New Roman" w:hAnsi="GHEA Grapalat" w:cs="Times New Roman"/>
                <w:bCs/>
                <w:color w:val="000000"/>
                <w:sz w:val="24"/>
                <w:szCs w:val="24"/>
                <w:lang w:val="hy-AM"/>
              </w:rPr>
              <w:t>Հաշվի առնելով այն հանգամանքը, որ «Մարդկանց թրաֆիքինգի և շահագործման ենթարկված անձանց նույնացման և աջակցության մասին» օրենքի 22-րդ հոդվածի 2.3-րդ մասի ուժով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հաստատությունում, որակի նվազագույն չափորոշիչները տարածվում են նաև հավանական զոհերի վրա՝ անհրաժեշտ է Նախագծի վերնագրից և բովանդակությունից հանել հավանական զոհերին վերաբերելի կարգավորումները։ Հիշյալ դիտողությունը բխում է նաև ՀՀ Սահմանադրության 6-րդ հոդվածի 2-րդ մասի դրույթներից, որոնց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Pr>
                <w:rFonts w:ascii="GHEA Grapalat" w:hAnsi="GHEA Grapalat"/>
                <w:bCs/>
                <w:sz w:val="24"/>
                <w:szCs w:val="24"/>
                <w:shd w:val="clear" w:color="auto" w:fill="FFFFFF"/>
                <w:lang w:val="hy-AM"/>
              </w:rPr>
              <w:t>:</w:t>
            </w:r>
          </w:p>
        </w:tc>
        <w:tc>
          <w:tcPr>
            <w:tcW w:w="142" w:type="dxa"/>
            <w:tcBorders>
              <w:top w:val="outset" w:sz="6" w:space="0" w:color="auto"/>
              <w:left w:val="outset" w:sz="6" w:space="0" w:color="auto"/>
              <w:bottom w:val="outset" w:sz="6" w:space="0" w:color="auto"/>
              <w:right w:val="nil"/>
            </w:tcBorders>
            <w:shd w:val="clear" w:color="auto" w:fill="FFFFFF"/>
            <w:hideMark/>
          </w:tcPr>
          <w:p>
            <w:pPr>
              <w:spacing w:after="0" w:line="24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6095" w:type="dxa"/>
            <w:tcBorders>
              <w:top w:val="outset" w:sz="6" w:space="0" w:color="auto"/>
              <w:left w:val="nil"/>
              <w:bottom w:val="outset" w:sz="6" w:space="0" w:color="auto"/>
              <w:right w:val="outset" w:sz="6" w:space="0" w:color="auto"/>
            </w:tcBorders>
            <w:shd w:val="clear" w:color="auto" w:fill="FFFFFF"/>
            <w:hideMark/>
          </w:tcPr>
          <w:p>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կատարվել է համապատասխան փոփոխություն։</w:t>
            </w:r>
          </w:p>
        </w:tc>
      </w:tr>
      <w:tr>
        <w:trPr>
          <w:trHeight w:val="435"/>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lastRenderedPageBreak/>
              <w:t xml:space="preserve">16. </w:t>
            </w:r>
            <w:r>
              <w:rPr>
                <w:rFonts w:ascii="GHEA Grapalat" w:hAnsi="GHEA Grapalat"/>
                <w:b/>
                <w:sz w:val="24"/>
                <w:szCs w:val="24"/>
                <w:lang w:val="hy-AM"/>
              </w:rPr>
              <w:t>ՀՀ Վարչապետի աշխատակազմի իրավաբանական վարչություն</w:t>
            </w:r>
          </w:p>
          <w:p>
            <w:pPr>
              <w:spacing w:after="0" w:line="24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pPr>
              <w:spacing w:after="0" w:line="240" w:lineRule="auto"/>
              <w:jc w:val="center"/>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09.</w:t>
            </w:r>
            <w:r>
              <w:rPr>
                <w:rFonts w:ascii="GHEA Grapalat" w:eastAsia="Times New Roman" w:hAnsi="GHEA Grapalat" w:cs="Times New Roman"/>
                <w:b/>
                <w:color w:val="000000"/>
                <w:sz w:val="24"/>
                <w:szCs w:val="24"/>
              </w:rPr>
              <w:t>09</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01/11.4/29607-2022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spacing w:after="0" w:line="240" w:lineRule="auto"/>
              <w:ind w:left="-90" w:right="-31"/>
              <w:jc w:val="both"/>
              <w:rPr>
                <w:rFonts w:ascii="GHEA Grapalat" w:eastAsia="Times New Roman" w:hAnsi="GHEA Grapalat" w:cs="Times New Roman"/>
                <w:bCs/>
                <w:color w:val="000000"/>
                <w:sz w:val="24"/>
                <w:szCs w:val="24"/>
                <w:lang w:val="hy-AM"/>
              </w:rPr>
            </w:pPr>
            <w:r>
              <w:rPr>
                <w:rFonts w:ascii="GHEA Grapalat" w:hAnsi="GHEA Grapalat" w:cs="IRTEK Courier"/>
                <w:sz w:val="24"/>
                <w:szCs w:val="24"/>
                <w:lang w:val="hy-AM"/>
              </w:rPr>
              <w:lastRenderedPageBreak/>
              <w:t>«</w:t>
            </w:r>
            <w:r>
              <w:rPr>
                <w:rFonts w:ascii="GHEA Grapalat" w:eastAsia="Times New Roman" w:hAnsi="GHEA Grapalat" w:cs="Times New Roman"/>
                <w:bCs/>
                <w:color w:val="000000"/>
                <w:sz w:val="24"/>
                <w:szCs w:val="24"/>
                <w:lang w:val="hy-AM"/>
              </w:rPr>
              <w:t>Մարդկանց թրաֆիքինգի և շահագործման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հաստատություններում, որակի նվազագույն չափորոշիչները սահմանելու մասին» ՀՀ կառավարության  որոշման նախագծի վերաբերյալ առաջարկվում է</w:t>
            </w:r>
          </w:p>
          <w:p>
            <w:pPr>
              <w:spacing w:after="0" w:line="240" w:lineRule="auto"/>
              <w:ind w:right="-31"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1. «Մարդկանց թրաֆիքինգի և շահագործման ենթարկված անձանց նույնացման և աջակցության մասին» օրենքից բխում է, որ ենթաօրենսդրական իրավական ակտով պետք է սահմանվեն (…) որակի նվազագույն չափորոշիչներ, սակայն նախագծի հավելվածում առկա են դրույթներ, որոնցով սահմանված են ոչ թե չափորոշիչներ, այլ ընթացակարգեր (օրինակ՝ 1-5-րդ, 10-15-րդ, 27-29-րդ, 42-46-րդ, 54-60-րդ կետեր և այլն):</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b/>
                <w:sz w:val="24"/>
                <w:szCs w:val="24"/>
                <w:lang w:val="hy-AM"/>
              </w:rPr>
            </w:pPr>
          </w:p>
          <w:p>
            <w:pPr>
              <w:spacing w:after="0" w:line="240" w:lineRule="auto"/>
              <w:rPr>
                <w:rFonts w:ascii="GHEA Grapalat" w:eastAsia="Times New Roman" w:hAnsi="GHEA Grapalat"/>
                <w:b/>
                <w:sz w:val="24"/>
                <w:szCs w:val="24"/>
                <w:lang w:val="hy-AM"/>
              </w:rPr>
            </w:pPr>
          </w:p>
          <w:p>
            <w:pPr>
              <w:spacing w:after="0" w:line="240" w:lineRule="auto"/>
              <w:rPr>
                <w:rFonts w:ascii="GHEA Grapalat" w:eastAsia="Times New Roman" w:hAnsi="GHEA Grapalat"/>
                <w:b/>
                <w:sz w:val="24"/>
                <w:szCs w:val="24"/>
                <w:lang w:val="hy-AM"/>
              </w:rPr>
            </w:pPr>
          </w:p>
          <w:p>
            <w:pPr>
              <w:spacing w:after="0" w:line="240" w:lineRule="auto"/>
              <w:rPr>
                <w:rFonts w:ascii="GHEA Grapalat" w:eastAsia="Times New Roman" w:hAnsi="GHEA Grapalat"/>
                <w:b/>
                <w:sz w:val="24"/>
                <w:szCs w:val="24"/>
                <w:lang w:val="hy-AM"/>
              </w:rPr>
            </w:pPr>
          </w:p>
          <w:p>
            <w:pPr>
              <w:spacing w:after="0" w:line="240" w:lineRule="auto"/>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pStyle w:val="ListParagraph"/>
              <w:numPr>
                <w:ilvl w:val="0"/>
                <w:numId w:val="48"/>
              </w:numPr>
              <w:spacing w:after="0" w:line="240" w:lineRule="auto"/>
              <w:rPr>
                <w:rFonts w:ascii="GHEA Grapalat" w:eastAsiaTheme="minorHAnsi" w:hAnsi="GHEA Grapalat" w:cstheme="minorBidi"/>
                <w:color w:val="000000"/>
                <w:sz w:val="24"/>
                <w:szCs w:val="24"/>
                <w:shd w:val="clear" w:color="auto" w:fill="FFFFFF"/>
                <w:lang w:val="hy-AM"/>
              </w:rPr>
            </w:pPr>
            <w:r>
              <w:rPr>
                <w:rFonts w:ascii="GHEA Grapalat" w:eastAsiaTheme="minorHAnsi" w:hAnsi="GHEA Grapalat" w:cstheme="minorBidi"/>
                <w:color w:val="000000"/>
                <w:sz w:val="24"/>
                <w:szCs w:val="24"/>
                <w:shd w:val="clear" w:color="auto" w:fill="FFFFFF"/>
                <w:lang w:val="hy-AM"/>
              </w:rPr>
              <w:t>Ընդունվել է ի գիտություն:</w:t>
            </w:r>
          </w:p>
          <w:p>
            <w:pPr>
              <w:pStyle w:val="ListParagraph"/>
              <w:spacing w:after="0" w:line="240" w:lineRule="auto"/>
              <w:ind w:left="0"/>
              <w:jc w:val="both"/>
              <w:rPr>
                <w:rFonts w:ascii="GHEA Grapalat" w:eastAsiaTheme="minorHAnsi" w:hAnsi="GHEA Grapalat" w:cstheme="minorBidi"/>
                <w:color w:val="000000"/>
                <w:sz w:val="24"/>
                <w:szCs w:val="24"/>
                <w:shd w:val="clear" w:color="auto" w:fill="FFFFFF"/>
                <w:lang w:val="hy-AM"/>
              </w:rPr>
            </w:pPr>
            <w:r>
              <w:rPr>
                <w:rFonts w:ascii="GHEA Grapalat" w:eastAsiaTheme="minorHAnsi" w:hAnsi="GHEA Grapalat" w:cstheme="minorBidi"/>
                <w:color w:val="000000"/>
                <w:sz w:val="24"/>
                <w:szCs w:val="24"/>
                <w:shd w:val="clear" w:color="auto" w:fill="FFFFFF"/>
                <w:lang w:val="hy-AM"/>
              </w:rPr>
              <w:t>Հավելվածի 1-2 կետերն ընդհանուր բնույթի դրույթներ են և ներածական բնույթ ունեն չափորոշիչների համեմատ, այլ ոչ թե ընթացակարգային: Հավելվածի 3-րդ կետը նախատեսում է չափորոշիչների ապահովման համար նախատեսված նախապայմաններ՝ առանց որոնց որակի ապահովումն անհնարին է, ինչից ելնելով հավելվածի 4-րդ կետը նշում է այդ փաստը: Հավելվածի 5-րդ կետը նույնպես նախապայման է: Հավելվածի 10-րդ և 11-րդ կետերը հանվել են Նախագծից: Հավելվածի 12-15-րդ կետերը վերաբերում են որակի ապահովման համար իրականացվելիք միջոցառումներին, առանց որոնց չափորոշիչներն ապահովելը հնարավոր չէ:</w:t>
            </w:r>
          </w:p>
          <w:p>
            <w:pPr>
              <w:pStyle w:val="ListParagraph"/>
              <w:spacing w:after="0" w:line="240" w:lineRule="auto"/>
              <w:ind w:left="0"/>
              <w:jc w:val="both"/>
              <w:rPr>
                <w:rFonts w:ascii="GHEA Grapalat" w:eastAsia="Times New Roman" w:hAnsi="GHEA Grapalat"/>
                <w:b/>
                <w:sz w:val="24"/>
                <w:szCs w:val="24"/>
              </w:rPr>
            </w:pPr>
            <w:r>
              <w:rPr>
                <w:rFonts w:ascii="GHEA Grapalat" w:eastAsiaTheme="minorHAnsi" w:hAnsi="GHEA Grapalat" w:cstheme="minorBidi"/>
                <w:color w:val="000000"/>
                <w:sz w:val="24"/>
                <w:szCs w:val="24"/>
                <w:shd w:val="clear" w:color="auto" w:fill="FFFFFF"/>
                <w:lang w:val="hy-AM"/>
              </w:rPr>
              <w:t>Վերը նշված մեկնաբանություններին համապատասխան մեկնաբանություն ունեն նաև թվարկված այլ կետերը:</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2. «</w:t>
            </w:r>
            <w:r>
              <w:rPr>
                <w:rFonts w:ascii="GHEA Grapalat" w:hAnsi="GHEA Grapalat" w:cs="Arial"/>
                <w:color w:val="000000"/>
                <w:sz w:val="24"/>
                <w:szCs w:val="24"/>
                <w:shd w:val="clear" w:color="auto" w:fill="FFFFFF"/>
                <w:lang w:val="hy-AM"/>
              </w:rPr>
              <w:t>Մարդկանց</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թրաֆիքինգի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շահագործման</w:t>
            </w:r>
            <w:r>
              <w:rPr>
                <w:rFonts w:ascii="GHEA Grapalat" w:hAnsi="GHEA Grapalat"/>
                <w:color w:val="000000"/>
                <w:sz w:val="24"/>
                <w:szCs w:val="24"/>
                <w:shd w:val="clear" w:color="auto" w:fill="FFFFFF"/>
                <w:lang w:val="hy-AM"/>
              </w:rPr>
              <w:t xml:space="preserve"> </w:t>
            </w:r>
            <w:r>
              <w:rPr>
                <w:rFonts w:ascii="GHEA Grapalat" w:eastAsia="Times New Roman" w:hAnsi="GHEA Grapalat" w:cs="Times New Roman"/>
                <w:bCs/>
                <w:color w:val="000000"/>
                <w:sz w:val="24"/>
                <w:szCs w:val="24"/>
                <w:lang w:val="hy-AM"/>
              </w:rPr>
              <w:t xml:space="preserve">ենթարկված անձանց նույնացման և աջակցության մասին» օրենքում փոփոխություններ և լրացումներ կատարելու մասին» ՀՕ-110-Ն օրենքի 9-րդ հոդվածի 2-րդ մասի համաձայն՝ նշված օրենքի ընդունմամբ պայմանավորված՝ համապատասխան ենթաօրենսդրական ակտերն ընդունվում են սույն օրենքն ուժի </w:t>
            </w:r>
            <w:r>
              <w:rPr>
                <w:rFonts w:ascii="GHEA Grapalat" w:eastAsia="Times New Roman" w:hAnsi="GHEA Grapalat" w:cs="Times New Roman"/>
                <w:bCs/>
                <w:color w:val="000000"/>
                <w:sz w:val="24"/>
                <w:szCs w:val="24"/>
                <w:lang w:val="hy-AM"/>
              </w:rPr>
              <w:lastRenderedPageBreak/>
              <w:t>մեջ մտնելուց հետո (ուժի մեջ է մտել 19.05.2022 թվականին)՝ երեք ամսվա ընթացքում (մինչև 19.08.2022 թվականը), ինչը նշանակում է, որ համապատասխան որոշումները (այդ թվում՝ դիտարկվող նախագիծը) պետք է ընդունված լինեին 19.08.2022 թվականի դրությամբ: Հետևաբար, ժամկետի վերոնշյալ խախտումները նույնպես հիմնավորման կարիք ունեն:</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pStyle w:val="ListParagraph"/>
              <w:numPr>
                <w:ilvl w:val="0"/>
                <w:numId w:val="48"/>
              </w:numPr>
              <w:spacing w:after="0" w:line="240" w:lineRule="auto"/>
              <w:rPr>
                <w:rFonts w:ascii="GHEA Grapalat" w:eastAsia="Times New Roman" w:hAnsi="GHEA Grapalat"/>
                <w:sz w:val="24"/>
                <w:szCs w:val="24"/>
              </w:rPr>
            </w:pPr>
            <w:r>
              <w:rPr>
                <w:rFonts w:ascii="GHEA Grapalat" w:eastAsia="Times New Roman" w:hAnsi="GHEA Grapalat"/>
                <w:sz w:val="24"/>
                <w:szCs w:val="24"/>
              </w:rPr>
              <w:t>Ընդունվել է ի գիտություն</w:t>
            </w:r>
          </w:p>
          <w:p>
            <w:pPr>
              <w:pStyle w:val="ListParagraph"/>
              <w:spacing w:after="0" w:line="240" w:lineRule="auto"/>
              <w:ind w:left="138" w:firstLine="141"/>
              <w:jc w:val="both"/>
              <w:rPr>
                <w:rFonts w:ascii="GHEA Grapalat" w:eastAsia="Times New Roman" w:hAnsi="GHEA Grapalat"/>
                <w:bCs/>
                <w:color w:val="000000"/>
                <w:sz w:val="24"/>
                <w:szCs w:val="24"/>
                <w:lang w:val="hy-AM"/>
              </w:rPr>
            </w:pPr>
            <w:r>
              <w:rPr>
                <w:rFonts w:ascii="GHEA Grapalat" w:hAnsi="GHEA Grapalat"/>
                <w:color w:val="000000"/>
                <w:sz w:val="24"/>
                <w:szCs w:val="24"/>
                <w:shd w:val="clear" w:color="auto" w:fill="FFFFFF"/>
                <w:lang w:val="hy-AM"/>
              </w:rPr>
              <w:t>«</w:t>
            </w:r>
            <w:r>
              <w:rPr>
                <w:rFonts w:ascii="GHEA Grapalat" w:eastAsia="Times New Roman" w:hAnsi="GHEA Grapalat"/>
                <w:bCs/>
                <w:color w:val="000000"/>
                <w:sz w:val="24"/>
                <w:szCs w:val="24"/>
                <w:lang w:val="hy-AM"/>
              </w:rPr>
              <w:t xml:space="preserve">Մարդկանց թրաֆիքինգի և շահագործման ենթարկված անձանց նույնացման և աջակցության մասին» օրենքում փոփոխություններ և լրացումներ կատարելու մասին» ՀՕ-110-Ն օրենքի 9-րդ հոդվածի 2-րդ մասի համաձայն՝ նշված օրենքի ընդունմամբ </w:t>
            </w:r>
            <w:r>
              <w:rPr>
                <w:rFonts w:ascii="GHEA Grapalat" w:eastAsia="Times New Roman" w:hAnsi="GHEA Grapalat"/>
                <w:bCs/>
                <w:color w:val="000000"/>
                <w:sz w:val="24"/>
                <w:szCs w:val="24"/>
                <w:lang w:val="hy-AM"/>
              </w:rPr>
              <w:lastRenderedPageBreak/>
              <w:t xml:space="preserve">պայմանավորված՝ համապատասխան ենթաօրենսդրական ակտերն ընդունվում են սույն օրենքն ուժի մեջ մտնելուց հետո (ուժի մեջ է մտել ոչ թե 19.05.2022, այլ 29.05.2022 թվականին)՝ երեք ամսվա ընթացքում (մինչև ոչ թե 19.08.2022, այլ 29.08.2022 թվականը), ինչը նշանակում է, որ համապատասխան որոշումները (այդ թվում՝ դիտարկվող նախագիծը) պետք է ընդունված լինեին 29.08.2022 թվականի դրությամբ: </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cs="Times New Roman"/>
                <w:bCs/>
                <w:color w:val="000000"/>
                <w:sz w:val="24"/>
                <w:szCs w:val="24"/>
                <w:lang w:val="hy-AM"/>
              </w:rPr>
              <w:t>Ընդհանուր առմամբ մոտ մեկ ամիս ուշացնելը պայմանավորված է տեխնիկական պատճառներով՝ մասնավորապես նախագծերի շրջանառության ժամկետի ձգձգմամբ, արձակուրդային ժամանակահատվածի հետ համընկնմամբ և այլ տեխնիկական հարցերով:</w:t>
            </w:r>
            <w:r>
              <w:rPr>
                <w:rFonts w:ascii="GHEA Grapalat" w:eastAsia="Times New Roman" w:hAnsi="GHEA Grapalat"/>
                <w:bCs/>
                <w:sz w:val="24"/>
                <w:szCs w:val="24"/>
                <w:lang w:val="hy-AM"/>
              </w:rPr>
              <w:t xml:space="preserve"> </w:t>
            </w:r>
          </w:p>
        </w:tc>
      </w:tr>
      <w:tr>
        <w:trPr>
          <w:trHeight w:val="435"/>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lastRenderedPageBreak/>
              <w:t xml:space="preserve">17. </w:t>
            </w:r>
            <w:r>
              <w:rPr>
                <w:rFonts w:ascii="GHEA Grapalat" w:hAnsi="GHEA Grapalat"/>
                <w:b/>
                <w:sz w:val="24"/>
                <w:szCs w:val="24"/>
                <w:lang w:val="hy-AM"/>
              </w:rPr>
              <w:t>ՀՀ Վարչապետի աշխատակազմի սոցիալական վարչություն</w:t>
            </w:r>
          </w:p>
          <w:p>
            <w:pPr>
              <w:spacing w:after="0" w:line="24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pPr>
              <w:spacing w:after="0" w:line="240" w:lineRule="auto"/>
              <w:jc w:val="center"/>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09.</w:t>
            </w:r>
            <w:r>
              <w:rPr>
                <w:rFonts w:ascii="GHEA Grapalat" w:eastAsia="Times New Roman" w:hAnsi="GHEA Grapalat" w:cs="Times New Roman"/>
                <w:b/>
                <w:color w:val="000000"/>
                <w:sz w:val="24"/>
                <w:szCs w:val="24"/>
              </w:rPr>
              <w:t>09</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01/11.4/29607-2022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spacing w:after="0" w:line="240" w:lineRule="auto"/>
              <w:jc w:val="center"/>
              <w:rPr>
                <w:rFonts w:ascii="GHEA Grapalat" w:hAnsi="GHEA Grapalat"/>
                <w:b/>
                <w:sz w:val="24"/>
                <w:szCs w:val="24"/>
                <w:lang w:val="hy-AM"/>
              </w:rPr>
            </w:pPr>
          </w:p>
          <w:p>
            <w:pPr>
              <w:spacing w:after="0" w:line="240" w:lineRule="auto"/>
              <w:jc w:val="both"/>
              <w:rPr>
                <w:rFonts w:ascii="GHEA Grapalat" w:hAnsi="GHEA Grapalat"/>
                <w:bCs/>
                <w:color w:val="000000"/>
                <w:sz w:val="24"/>
                <w:szCs w:val="24"/>
                <w:lang w:val="hy-AM"/>
              </w:rPr>
            </w:pPr>
            <w:r>
              <w:rPr>
                <w:rFonts w:ascii="GHEA Grapalat" w:hAnsi="GHEA Grapalat" w:cs="Arial"/>
                <w:b/>
                <w:spacing w:val="-8"/>
                <w:sz w:val="24"/>
                <w:szCs w:val="24"/>
                <w:shd w:val="clear" w:color="auto" w:fill="FFFFFF"/>
                <w:lang w:val="hy-AM"/>
              </w:rPr>
              <w:t>«</w:t>
            </w:r>
            <w:r>
              <w:rPr>
                <w:rFonts w:ascii="GHEA Grapalat" w:hAnsi="GHEA Grapalat"/>
                <w:bCs/>
                <w:color w:val="000000"/>
                <w:sz w:val="24"/>
                <w:szCs w:val="24"/>
                <w:lang w:val="hy-AM"/>
              </w:rPr>
              <w:t>Մարդկանց թրաֆիքինգի և շահագործման զոհերին</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և հատուկ կատեգորիայի զոհերին կացարանի տրամադրման</w:t>
            </w:r>
            <w:r>
              <w:rPr>
                <w:rFonts w:ascii="GHEA Grapalat" w:hAnsi="GHEA Grapalat"/>
                <w:bCs/>
                <w:color w:val="000000"/>
                <w:sz w:val="24"/>
                <w:szCs w:val="24"/>
                <w:lang w:val="hy-AM"/>
              </w:rPr>
              <w:t>, բնաիրային, հոգեբանական, խորհրդատվական, իրավաբանական օգնության և խնամքի տրամադրման, այդ թվում՝ համապատասխան հաստատություններում, որակի նվազագույն չափորոշիչները սահմանելու մասին» ՀՀ կառավարության որոշման նախագծի վերաբերյալ առաջարկվում է.</w:t>
            </w:r>
          </w:p>
          <w:p>
            <w:pPr>
              <w:spacing w:after="0" w:line="240" w:lineRule="auto"/>
              <w:ind w:firstLine="720"/>
              <w:rPr>
                <w:rFonts w:ascii="GHEA Grapalat" w:hAnsi="GHEA Grapalat"/>
                <w:color w:val="000000"/>
                <w:sz w:val="24"/>
                <w:szCs w:val="24"/>
                <w:shd w:val="clear" w:color="auto" w:fill="FFFFFF"/>
                <w:lang w:val="hy-AM"/>
              </w:rPr>
            </w:pPr>
          </w:p>
          <w:p>
            <w:pPr>
              <w:pStyle w:val="ListParagraph"/>
              <w:numPr>
                <w:ilvl w:val="0"/>
                <w:numId w:val="46"/>
              </w:numPr>
              <w:tabs>
                <w:tab w:val="left" w:pos="1134"/>
              </w:tabs>
              <w:spacing w:after="0" w:line="240" w:lineRule="auto"/>
              <w:ind w:left="0" w:firstLine="567"/>
              <w:jc w:val="both"/>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t>Իմաստային առումով խմբագրման կարիք ունի հավելվածի 1-ին կետը: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 Չի ընդունվել, առաջարկի վերացական լինելու պատճառով:</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6"/>
              </w:numPr>
              <w:tabs>
                <w:tab w:val="left" w:pos="1134"/>
              </w:tabs>
              <w:spacing w:after="0" w:line="240" w:lineRule="auto"/>
              <w:ind w:left="0" w:firstLine="567"/>
              <w:jc w:val="both"/>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lastRenderedPageBreak/>
              <w:t>Պարզաբանման կարիք ունի հավելվածի 1-ին կետի 2-րդ պարբերությունն այն առումով, թե կազմակերպությունների կողմից Կառավարության որոշմամբ սահմանված նվազագույն չափորոշիչների լավարկման պարագայում ինչպես են դրանք հաստատվելու կամ վերահսկվելու:</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Calibri" w:hAnsi="GHEA Grapalat" w:cs="Times New Roman"/>
                <w:color w:val="000000"/>
                <w:sz w:val="24"/>
                <w:szCs w:val="24"/>
                <w:shd w:val="clear" w:color="auto" w:fill="FFFFFF"/>
                <w:lang w:val="hy-AM"/>
              </w:rPr>
            </w:pPr>
            <w:r>
              <w:rPr>
                <w:rFonts w:ascii="GHEA Grapalat" w:eastAsia="Times New Roman" w:hAnsi="GHEA Grapalat"/>
                <w:sz w:val="24"/>
                <w:szCs w:val="24"/>
                <w:lang w:val="hy-AM"/>
              </w:rPr>
              <w:t xml:space="preserve">2. </w:t>
            </w:r>
            <w:r>
              <w:rPr>
                <w:rFonts w:ascii="GHEA Grapalat" w:eastAsia="Calibri" w:hAnsi="GHEA Grapalat" w:cs="Times New Roman"/>
                <w:color w:val="000000"/>
                <w:sz w:val="24"/>
                <w:szCs w:val="24"/>
                <w:shd w:val="clear" w:color="auto" w:fill="FFFFFF"/>
                <w:lang w:val="hy-AM"/>
              </w:rPr>
              <w:t>Ընդունվել է ի գիտություն:</w:t>
            </w:r>
          </w:p>
          <w:p>
            <w:pPr>
              <w:spacing w:after="0" w:line="240" w:lineRule="auto"/>
              <w:jc w:val="both"/>
              <w:rPr>
                <w:rFonts w:ascii="GHEA Grapalat" w:eastAsia="Times New Roman" w:hAnsi="GHEA Grapalat"/>
                <w:bCs/>
                <w:sz w:val="24"/>
                <w:szCs w:val="24"/>
                <w:lang w:val="hy-AM"/>
              </w:rPr>
            </w:pPr>
            <w:r>
              <w:rPr>
                <w:rFonts w:ascii="GHEA Grapalat" w:eastAsia="Calibri" w:hAnsi="GHEA Grapalat" w:cs="Times New Roman"/>
                <w:color w:val="000000"/>
                <w:sz w:val="24"/>
                <w:szCs w:val="24"/>
                <w:shd w:val="clear" w:color="auto" w:fill="FFFFFF"/>
                <w:lang w:val="hy-AM"/>
              </w:rPr>
              <w:t>Քանի որ Նախագծով ներկայացվել են նվազագույն չափորոշիչներ, դա նշանակում է, որ ծառայություն մատուցող կազմակերպությունը կարող է ավելին տրամադրել, քան նախատեսված է նախագծով: Տվյալ դեպքում այդ չափորոշիչները հավելյալ չեն հաստատվելու, այլ ուղղակի դրանց համապատասխան ծառայություններ են տրամադրվելու: Օրինակ՝ կացարանում ինը քառակուսի մետրի փոխարեն տրամադրվում է 15 քառակուսի մետր բնակելի տարածք, կամ տրամադրվում են հավելվածով նախատեսվածից ավելի շատ քանակով</w:t>
            </w:r>
            <w:r>
              <w:rPr>
                <w:rFonts w:ascii="GHEA Grapalat" w:hAnsi="GHEA Grapalat"/>
                <w:color w:val="000000"/>
                <w:sz w:val="24"/>
                <w:szCs w:val="24"/>
                <w:shd w:val="clear" w:color="auto" w:fill="FFFFFF"/>
                <w:lang w:val="hy-AM"/>
              </w:rPr>
              <w:t xml:space="preserve"> սնունդ, հագուստ կամ այլ պարագաներ:</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8"/>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Հավելվածի 3-րդ կետի 7-րդ ենթակետով սահմանվում է, որ ծառայություններ տրամադրելիս հաշվի է առնվում մարդկանց թրաֆիքինգի և շահագործման զոհի (այսուհետ՝ զոհ) և հատուկ կատեգորիայի զոհի կարծիքը: Համաձայն «Մարդկանց թրաֆիքինգի և շահագործման ենթարկված անձանց նույնացման և աջակցության մասին» օրենքի (այսուհետ՝ օրենք) 4-րդ հոդվածի 5-րդ մասի՝ հատուկ կատեգորիայի զոհը մարդկանց թրաֆիքինգի և (կամ) շահագործման ենթարկված անձն է, որը հայտնաբերման պահին եղել է երեխա կամ անօգնական վիճակում գտնվող և այդպիսին է ճանաչվել Մարդկանց թրաֆիքինգի և </w:t>
            </w:r>
            <w:r>
              <w:rPr>
                <w:rFonts w:ascii="GHEA Grapalat" w:hAnsi="GHEA Grapalat"/>
                <w:color w:val="000000"/>
                <w:sz w:val="24"/>
                <w:szCs w:val="24"/>
                <w:shd w:val="clear" w:color="auto" w:fill="FFFFFF"/>
                <w:lang w:val="hy-AM"/>
              </w:rPr>
              <w:lastRenderedPageBreak/>
              <w:t>շահագործման զոհերի նույնացման հանձնաժողովի որոշմամբ: Հետևաբար, անհրաժեշտ է նախատեսել այն պայմանը, որ երեխաների պարագայում հաշվի է առնվում նաև նրա ծնողի կամ օրինական ներկայացուցչի կարծիքը:</w:t>
            </w:r>
          </w:p>
          <w:p>
            <w:pPr>
              <w:pStyle w:val="ListParagraph"/>
              <w:tabs>
                <w:tab w:val="left" w:pos="1134"/>
              </w:tabs>
              <w:spacing w:after="0" w:line="240" w:lineRule="auto"/>
              <w:ind w:left="567"/>
              <w:jc w:val="both"/>
              <w:rPr>
                <w:rFonts w:ascii="GHEA Grapalat" w:eastAsia="Times New Roman" w:hAnsi="GHEA Grapalat"/>
                <w:color w:val="000000"/>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3. Չի ընդունվել:</w:t>
            </w:r>
          </w:p>
          <w:p>
            <w:pPr>
              <w:spacing w:after="0" w:line="240" w:lineRule="auto"/>
              <w:jc w:val="both"/>
              <w:rPr>
                <w:rFonts w:ascii="GHEA Grapalat" w:eastAsia="Times New Roman" w:hAnsi="GHEA Grapalat"/>
                <w:b/>
                <w:sz w:val="24"/>
                <w:szCs w:val="24"/>
                <w:lang w:val="hy-AM"/>
              </w:rPr>
            </w:pPr>
            <w:r>
              <w:rPr>
                <w:rFonts w:ascii="GHEA Grapalat" w:hAnsi="GHEA Grapalat"/>
                <w:sz w:val="24"/>
                <w:szCs w:val="24"/>
                <w:shd w:val="clear" w:color="auto" w:fill="FFFFFF"/>
                <w:lang w:val="hy-AM"/>
              </w:rPr>
              <w:t xml:space="preserve">Ծնողի </w:t>
            </w:r>
            <w:r>
              <w:rPr>
                <w:rFonts w:ascii="GHEA Grapalat" w:hAnsi="GHEA Grapalat"/>
                <w:color w:val="000000"/>
                <w:sz w:val="24"/>
                <w:szCs w:val="24"/>
                <w:shd w:val="clear" w:color="auto" w:fill="FFFFFF"/>
                <w:lang w:val="hy-AM"/>
              </w:rPr>
              <w:t xml:space="preserve">կամ օրինական ներկայացուցչի </w:t>
            </w:r>
            <w:r>
              <w:rPr>
                <w:rFonts w:ascii="GHEA Grapalat" w:hAnsi="GHEA Grapalat"/>
                <w:sz w:val="24"/>
                <w:szCs w:val="24"/>
                <w:shd w:val="clear" w:color="auto" w:fill="FFFFFF"/>
                <w:lang w:val="hy-AM"/>
              </w:rPr>
              <w:t xml:space="preserve">կարծիքը հաշվի առնելը նախատեսված է Հավելվածի 53-րդ կետով, իսկ քննարկվող կետն ամրագրում է մարդկանց թրաֆիքինգի և շահագործման </w:t>
            </w:r>
            <w:r>
              <w:rPr>
                <w:rFonts w:ascii="GHEA Grapalat" w:hAnsi="GHEA Grapalat"/>
                <w:sz w:val="24"/>
                <w:szCs w:val="24"/>
                <w:lang w:val="hy-AM"/>
              </w:rPr>
              <w:t>զոհի և հատուկ կատեգորիայի զոհի կարծիքը հաշվի առնելը (հատուկ կատգորիայի զոհերի կարծիքը հաշվի է առնվում նրանց</w:t>
            </w:r>
            <w:r>
              <w:rPr>
                <w:rFonts w:ascii="GHEA Grapalat" w:eastAsia="Arial Unicode" w:hAnsi="GHEA Grapalat" w:cs="Arial Unicode"/>
                <w:color w:val="000000"/>
                <w:sz w:val="24"/>
                <w:szCs w:val="24"/>
                <w:shd w:val="clear" w:color="auto" w:fill="FFFFFF"/>
                <w:lang w:val="hy-AM"/>
              </w:rPr>
              <w:t xml:space="preserve"> տարիքին և հասունության մակարդակին համապատասխան</w:t>
            </w:r>
            <w:r>
              <w:rPr>
                <w:rFonts w:ascii="GHEA Grapalat" w:hAnsi="GHEA Grapalat"/>
                <w:sz w:val="24"/>
                <w:szCs w:val="24"/>
                <w:lang w:val="hy-AM"/>
              </w:rPr>
              <w:t>): Ինչպես երևում է ձևակերպումից՝ հատուկ կատեգորիայի զոհերի կարծիքը հաշվի է առնվում նրանց</w:t>
            </w:r>
            <w:r>
              <w:rPr>
                <w:rFonts w:ascii="GHEA Grapalat" w:eastAsia="Arial Unicode" w:hAnsi="GHEA Grapalat" w:cs="Arial Unicode"/>
                <w:color w:val="000000"/>
                <w:sz w:val="24"/>
                <w:szCs w:val="24"/>
                <w:shd w:val="clear" w:color="auto" w:fill="FFFFFF"/>
                <w:lang w:val="hy-AM"/>
              </w:rPr>
              <w:t xml:space="preserve"> տարիքին և հասունության </w:t>
            </w:r>
            <w:r>
              <w:rPr>
                <w:rFonts w:ascii="GHEA Grapalat" w:eastAsia="Arial Unicode" w:hAnsi="GHEA Grapalat" w:cs="Arial Unicode"/>
                <w:color w:val="000000"/>
                <w:sz w:val="24"/>
                <w:szCs w:val="24"/>
                <w:shd w:val="clear" w:color="auto" w:fill="FFFFFF"/>
                <w:lang w:val="hy-AM"/>
              </w:rPr>
              <w:lastRenderedPageBreak/>
              <w:t>մակարդակին համապատասխան: Նման մոտեցումը բխում է Երեխայի իրավունքների ՄԱԿ-ի կոնվենցիայից, ՀՀ ընտանեկան օրենսգրքից և այլ իրավական ակտերից, որտեղ դա ուղղակիորեն ամրագրված է: Ավելին, դա բխում է նաև երեխայի լավագույն շահից, որն ունի նախապատվություն անգամ ծնողների իրավունքի համեմատ (ՀՀ ընտանեկան օրենսգրքի 1-ին հոդված):</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8"/>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Համաձայն օրենքի 22-րդ հոդվածի 2-րդ մասի 1-ին կետի՝ որպես զոհերի և հատուկ կատեգորիայի զոհերի աջակցություն նախատեսվում է կացարանի տրամադրումը, իսկ ներկայացված որոշմամբ սահմանվում է դրա տրամադրման նվազագույն պայմանները: Հստակեցման կարիք ունի այն հարցը, թե արդյոք ներկայումս կան նմանատիպ կացարաններ, ում ենթակայությամբ են գործում և ում կողմից է իրականացվում ֆինանսավորումը: </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4. Ընդունվել է ի գիտություն:</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Կացարանի տրամադրումն իրականացվում է դրամաշնորհային մրցութային կարգով հաղթող ճանաչված հասարակական կազմակերպության կողմից, պատվիրակված ծառայության տեսքով՝ պետության կողմից տրամադրվող ֆինանսավորմամբ: </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8"/>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Հավելվածի 5-րդ կետով սահմանվում է, որ կացարանը տրամադրվում է միայն դրա անհրաժեշտության դեպքում՝ զոհի գրավոր համաձայնության պարագայում: Նշված ձևակերպումն անհասկանալի է այն առումով, որ համաձայն օրենքի 4-րդ հոդվածի 4-րդ և 5-րդ մասերի՝ անձը զոհի կամ հատուկ կատեգորիայի զոհի կարգավիճակ ձեռք է բերում նույնացման հանձնաժողովի որոշմամբ, հետևաբար վերջինիս կողմից պետք է գնահատվի անձի աջակցության տրամադրման հնարավոր տարբերակները: Միաժամանակ անհրաժեշտ է հստակեցնել, թե ինչի հիման վրա է որոշվելու «նման համաձայնություն տալու իրավունք ունեցող այլ անձ» լինելու հանգամանքը: </w:t>
            </w:r>
          </w:p>
          <w:p>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5</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Այն, որ անձը զոհի կամ հատուկ կատեգորիայի զոհի կարգավիճակ ձեռք է բերում նույնացման հանձնաժողովի որոշմամբ, դեռ չի նշանակում, որ այդ անձը պարտադիր պետք է ստանա օրենքով նախատեսված սոցիալական աջակցության ամբողջ փաթեթը: Հանձնաժողովի որոշումը հիմք է սոցիալական աջակցություն ստանալու համար, սակայն նրանում չի մատնանշվում ծառայությունների կոնկրետ տեսակները: Սոցիալական աջակցության տրամադրումն իրականացվում է կարիքների գնահատման հիման վրա և եթե անձը չունի կացարանի </w:t>
            </w:r>
            <w:r>
              <w:rPr>
                <w:rFonts w:ascii="GHEA Grapalat" w:hAnsi="GHEA Grapalat"/>
                <w:color w:val="000000"/>
                <w:sz w:val="24"/>
                <w:szCs w:val="24"/>
                <w:shd w:val="clear" w:color="auto" w:fill="FFFFFF"/>
                <w:lang w:val="hy-AM"/>
              </w:rPr>
              <w:lastRenderedPageBreak/>
              <w:t>կարիք, օրինակ՝ ունի բնակարան, որտեղ բնակվում է, նրա ընտանիքն ընդունում է նրան և պատրաստ է աջակցել և այլն, ապա այդ դեպքում զոհի կամքն անտեսելով, ավելի վնասելով նրա ինտեգրմանն ու այդ պայմաններով կացարանում տրամադրելը ոչ միայն չի բխի զոհերին տրամադրվող աջակցության տրամաբանությունից ու հասարակությունում վերաինտեգրելու նպատակից, այլ նաև կոպտորեն կխախտի նրանց իրավունքները:</w:t>
            </w:r>
          </w:p>
          <w:p>
            <w:pPr>
              <w:spacing w:after="0" w:line="240" w:lineRule="auto"/>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Ինչ վերաբերում է «նման համաձայնություն տալու իրավունք ունեցող այլ անձ» ձևակերպմանը, ապա այն վերաբերում է միայն </w:t>
            </w:r>
            <w:r>
              <w:rPr>
                <w:rFonts w:ascii="GHEA Grapalat" w:hAnsi="GHEA Grapalat"/>
                <w:sz w:val="24"/>
                <w:szCs w:val="24"/>
                <w:shd w:val="clear" w:color="auto" w:fill="FFFFFF"/>
                <w:lang w:val="hy-AM"/>
              </w:rPr>
              <w:t>թրաֆիքինգի և շահագործման հ</w:t>
            </w:r>
            <w:r>
              <w:rPr>
                <w:rFonts w:ascii="GHEA Grapalat" w:eastAsia="Times New Roman" w:hAnsi="GHEA Grapalat" w:cs="Times New Roman"/>
                <w:color w:val="000000"/>
                <w:sz w:val="24"/>
                <w:szCs w:val="24"/>
                <w:lang w:val="hy-AM"/>
              </w:rPr>
              <w:t>ատուկ կատեգորիայի զոհի փոխարեն համաձայնությանը, որը տրվում է նրա ծնողի, օրինական ներկայացուցչի, խնամակալի կամ նման համաձայանություն տալու իրավունք ունեցող այլ անձի կողմից: Վերջիններս կարող են լինել այն հաստատության ներկայացուցիչները, որտեղ գտնվում է հատուկ կատեգորիայի զոհը, խնամատար ծնողը և այլ անձինք, ովքեր օրենքով կամ լիազորագրով ունեն նման պարտականություն:</w:t>
            </w:r>
          </w:p>
          <w:p>
            <w:pPr>
              <w:tabs>
                <w:tab w:val="left" w:pos="993"/>
              </w:tabs>
              <w:spacing w:after="0" w:line="240" w:lineRule="auto"/>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Ավելին, նման մոտեցումը չի նշանակում, որ ծնողի կամ այլ օրինական ներկայացուցչի կարծիքը հաշվի չի առնվում: Մասնավորապես, Հավելվածի 53-րդ կետի համաձայն՝ խնամքի տրամադրումն, այդ թվում՝ համապատասխան հաստատությունում, կարող է իրականացվել միայն </w:t>
            </w:r>
            <w:r>
              <w:rPr>
                <w:rFonts w:ascii="GHEA Grapalat" w:eastAsia="Arial Unicode" w:hAnsi="GHEA Grapalat" w:cs="Arial Unicode"/>
                <w:sz w:val="24"/>
                <w:szCs w:val="24"/>
                <w:shd w:val="clear" w:color="auto" w:fill="FFFFFF"/>
                <w:lang w:val="hy-AM"/>
              </w:rPr>
              <w:t>մ</w:t>
            </w:r>
            <w:r>
              <w:rPr>
                <w:rFonts w:ascii="GHEA Grapalat" w:hAnsi="GHEA Grapalat"/>
                <w:sz w:val="24"/>
                <w:szCs w:val="24"/>
                <w:shd w:val="clear" w:color="auto" w:fill="FFFFFF"/>
                <w:lang w:val="hy-AM"/>
              </w:rPr>
              <w:t>արդկանց թրաֆիքինգի և շահագործման զ</w:t>
            </w:r>
            <w:r>
              <w:rPr>
                <w:rFonts w:ascii="GHEA Grapalat" w:eastAsia="Times New Roman" w:hAnsi="GHEA Grapalat" w:cs="Times New Roman"/>
                <w:color w:val="000000"/>
                <w:sz w:val="24"/>
                <w:szCs w:val="24"/>
                <w:lang w:val="hy-AM"/>
              </w:rPr>
              <w:t xml:space="preserve">ոհի կամ հատուկ կատեգորիայի զոհի </w:t>
            </w:r>
            <w:r>
              <w:rPr>
                <w:rFonts w:ascii="GHEA Grapalat" w:eastAsia="Times New Roman" w:hAnsi="GHEA Grapalat" w:cs="Times New Roman"/>
                <w:color w:val="000000"/>
                <w:sz w:val="24"/>
                <w:szCs w:val="24"/>
                <w:lang w:val="hy-AM"/>
              </w:rPr>
              <w:lastRenderedPageBreak/>
              <w:t>օրինական ներկայացուցչի գրավոր համաձայնության դեպքում: Խնամքը տրամադրվում է նաև հաստատությունում:</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Հետևաբար, քննարկվող հարցի լուծման դեպքում կիրառվում է նորմերի համակարգային վերլուծություն՝ Հավելվածի 5-րդ և 53-րդ հոդվածները համատեղ քննարկելով:</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8"/>
              </w:numPr>
              <w:tabs>
                <w:tab w:val="left" w:pos="1134"/>
              </w:tabs>
              <w:spacing w:after="0" w:line="240" w:lineRule="auto"/>
              <w:ind w:left="0" w:firstLine="567"/>
              <w:jc w:val="both"/>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lastRenderedPageBreak/>
              <w:t>Հավելվածի 11-րդ կետով նախատեսվում է, որ կացարանը տրամադրվում է 12 ամիս ժամկետով, սակայն այն կարող է երկարաձգվել նույն ժամկետով՝ ըստ անհրաժեշտության: Նախագծով հստակեցված չէ ժամկետի երկարաձգման հնարավոր դեպքերը: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6. Ընդունվել է ի գիտություն:</w:t>
            </w:r>
          </w:p>
          <w:p>
            <w:pPr>
              <w:spacing w:after="0" w:line="240" w:lineRule="auto"/>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Հավելվածի 10-րդ և 11-րդ կետերն առհասարակ հանվել են: </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8"/>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Հիմնավորման կարիք ունի հավելվածի 12-րդ կետում 12 տարեկանից բարձր երեխաների շփումը այլ զոհերի և հատուկ կատեգորիայի հետ շփման բացառման պայմանը:</w:t>
            </w:r>
          </w:p>
          <w:p>
            <w:pPr>
              <w:pStyle w:val="ListParagraph"/>
              <w:tabs>
                <w:tab w:val="left" w:pos="1134"/>
              </w:tabs>
              <w:spacing w:after="0" w:line="240" w:lineRule="auto"/>
              <w:ind w:left="567"/>
              <w:jc w:val="both"/>
              <w:rPr>
                <w:rFonts w:ascii="GHEA Grapalat" w:eastAsia="Times New Roman" w:hAnsi="GHEA Grapalat"/>
                <w:color w:val="000000"/>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7. Ընդունվել է ի գիտություն:</w:t>
            </w:r>
          </w:p>
          <w:p>
            <w:pPr>
              <w:shd w:val="clear" w:color="auto" w:fill="FFFFFF"/>
              <w:tabs>
                <w:tab w:val="left" w:pos="709"/>
                <w:tab w:val="left" w:pos="851"/>
              </w:tabs>
              <w:spacing w:after="0" w:line="240" w:lineRule="auto"/>
              <w:jc w:val="both"/>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Հավելվածի 12-րդ կետում սահմանվում է, որ եթե </w:t>
            </w:r>
            <w:r>
              <w:rPr>
                <w:rFonts w:ascii="GHEA Grapalat" w:hAnsi="GHEA Grapalat"/>
                <w:sz w:val="24"/>
                <w:szCs w:val="24"/>
                <w:shd w:val="clear" w:color="auto" w:fill="FFFFFF"/>
                <w:lang w:val="hy-AM"/>
              </w:rPr>
              <w:t xml:space="preserve">մարդկանց թրաֆիքինգի և շահագործման </w:t>
            </w:r>
            <w:r>
              <w:rPr>
                <w:rFonts w:ascii="GHEA Grapalat" w:eastAsia="Arial Unicode" w:hAnsi="GHEA Grapalat" w:cs="Arial Unicode"/>
                <w:color w:val="000000"/>
                <w:sz w:val="24"/>
                <w:szCs w:val="24"/>
                <w:lang w:val="hy-AM"/>
              </w:rPr>
              <w:t xml:space="preserve">զոհի </w:t>
            </w:r>
            <w:r>
              <w:rPr>
                <w:rFonts w:ascii="GHEA Grapalat" w:hAnsi="GHEA Grapalat"/>
                <w:sz w:val="24"/>
                <w:szCs w:val="24"/>
                <w:lang w:val="hy-AM"/>
              </w:rPr>
              <w:t xml:space="preserve">խնամքի տակ գտնվող </w:t>
            </w:r>
            <w:r>
              <w:rPr>
                <w:rFonts w:ascii="GHEA Grapalat" w:eastAsia="Arial Unicode" w:hAnsi="GHEA Grapalat" w:cs="Arial Unicode"/>
                <w:color w:val="000000"/>
                <w:sz w:val="24"/>
                <w:szCs w:val="24"/>
                <w:lang w:val="hy-AM"/>
              </w:rPr>
              <w:t xml:space="preserve">երեխան 12 տարեկանից բարձր է, ապա զոհն իր երեխայի հետ համատեղ կացարանում տեղավորվում է այնպես, որպեսզի բացառվի </w:t>
            </w:r>
            <w:r>
              <w:rPr>
                <w:rFonts w:ascii="GHEA Grapalat" w:hAnsi="GHEA Grapalat"/>
                <w:sz w:val="24"/>
                <w:szCs w:val="24"/>
                <w:shd w:val="clear" w:color="auto" w:fill="FFFFFF"/>
                <w:lang w:val="hy-AM"/>
              </w:rPr>
              <w:t xml:space="preserve">մարդկանց թրաֆիքինգի և շահագործման այլ </w:t>
            </w:r>
            <w:r>
              <w:rPr>
                <w:rFonts w:ascii="GHEA Grapalat" w:eastAsia="Arial Unicode" w:hAnsi="GHEA Grapalat" w:cs="Arial Unicode"/>
                <w:color w:val="000000"/>
                <w:sz w:val="24"/>
                <w:szCs w:val="24"/>
                <w:lang w:val="hy-AM"/>
              </w:rPr>
              <w:t>զոհերի կամ հատուկ կատեգորիայի զոհերի հետ շփումը, բացառությամբ այն դեպքերի, եթե այդ շփումը բխում է երեխայի լավագույն շահից:</w:t>
            </w:r>
          </w:p>
          <w:p>
            <w:pPr>
              <w:spacing w:after="0" w:line="240" w:lineRule="auto"/>
              <w:rPr>
                <w:rFonts w:ascii="GHEA Grapalat" w:eastAsia="Times New Roman" w:hAnsi="GHEA Grapalat"/>
                <w:b/>
                <w:sz w:val="24"/>
                <w:szCs w:val="24"/>
                <w:lang w:val="hy-AM"/>
              </w:rPr>
            </w:pPr>
            <w:r>
              <w:rPr>
                <w:rFonts w:ascii="GHEA Grapalat" w:eastAsia="Times New Roman" w:hAnsi="GHEA Grapalat"/>
                <w:sz w:val="24"/>
                <w:szCs w:val="24"/>
                <w:lang w:val="hy-AM"/>
              </w:rPr>
              <w:t xml:space="preserve">Այսինքն, ներկայացված է ոչ թե բացարձակ արգելք, այլ միայն երեխայի լավագույն շահին հակասելու դեպքում է առկա արգելք: Այսինքն, եթե այդ շփումը բացասաբար չի ազդի երեխայի </w:t>
            </w:r>
            <w:r>
              <w:rPr>
                <w:rFonts w:ascii="GHEA Grapalat" w:hAnsi="GHEA Grapalat"/>
                <w:color w:val="000000"/>
                <w:sz w:val="24"/>
                <w:szCs w:val="24"/>
                <w:shd w:val="clear" w:color="auto" w:fill="FFFFFF"/>
                <w:lang w:val="hy-AM"/>
              </w:rPr>
              <w:t xml:space="preserve">իրավունքների արդյունավետ և ամբողջական իրականացմանը, ինչպես նաև երեխայի զարգացմանը՝ հաշվի առնելով </w:t>
            </w:r>
            <w:r>
              <w:rPr>
                <w:rFonts w:ascii="GHEA Grapalat" w:hAnsi="GHEA Grapalat"/>
                <w:color w:val="000000"/>
                <w:sz w:val="24"/>
                <w:szCs w:val="24"/>
                <w:shd w:val="clear" w:color="auto" w:fill="FFFFFF"/>
                <w:lang w:val="hy-AM"/>
              </w:rPr>
              <w:lastRenderedPageBreak/>
              <w:t>երեխայի մտավոր և ֆիզիկական կարիքները, այդ կարիքների բավարարման համար համապատասխան խնամքի և դաստիարակության հնարավորությունը, ընտանիք վերադառնալու կամ ընտանիքի հետ ապրելու կարևորությունը, և այլ հանգամանքերին, ապա շփումն արգելված չէ: Քննարկվող կետում առկա ձևակերպումը բխում է երեխայի լավագույն շահի առաջնահերթությունից:</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8"/>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Հավելվածի 16-րդ կետով սահմանվում է, որ զոհի կամ հատուկ կատեգորիայի զոհի խնդրանքով նա կարող է միևնույն սենյակում բնակվել այլ զոհի հետ, եթե նրանք հանդիսանում են մերձավոր ազգականներ կամ դա բխում է նրանց անվտանգությունից կամ այլ ցուցումներից: Կարգավորումը լրացուցիչ քննարկման և հիմնավորման կարիք ունի, քանի որ դա կարող է նաև բացասական հետևանքներ ունենալ՝ անկախ նրանից ազգական է, թե ոչ:</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jc w:val="both"/>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pStyle w:val="ListParagraph"/>
              <w:numPr>
                <w:ilvl w:val="0"/>
                <w:numId w:val="49"/>
              </w:numPr>
              <w:spacing w:after="0" w:line="240" w:lineRule="auto"/>
              <w:jc w:val="both"/>
              <w:rPr>
                <w:rFonts w:ascii="GHEA Grapalat" w:eastAsia="Times New Roman" w:hAnsi="GHEA Grapalat"/>
                <w:sz w:val="24"/>
                <w:szCs w:val="24"/>
              </w:rPr>
            </w:pPr>
            <w:r>
              <w:rPr>
                <w:rFonts w:ascii="GHEA Grapalat" w:eastAsia="Times New Roman" w:hAnsi="GHEA Grapalat"/>
                <w:sz w:val="24"/>
                <w:szCs w:val="24"/>
              </w:rPr>
              <w:t>Ընդունվել է ի գիտություն:</w:t>
            </w:r>
          </w:p>
          <w:p>
            <w:pPr>
              <w:spacing w:after="0" w:line="240" w:lineRule="auto"/>
              <w:jc w:val="both"/>
              <w:rPr>
                <w:rFonts w:ascii="GHEA Grapalat" w:eastAsia="Times New Roman" w:hAnsi="GHEA Grapalat"/>
                <w:bCs/>
                <w:sz w:val="24"/>
                <w:szCs w:val="24"/>
              </w:rPr>
            </w:pPr>
            <w:r>
              <w:rPr>
                <w:rFonts w:ascii="GHEA Grapalat" w:eastAsia="Times New Roman" w:hAnsi="GHEA Grapalat"/>
                <w:bCs/>
                <w:sz w:val="24"/>
                <w:szCs w:val="24"/>
              </w:rPr>
              <w:t>Հաշվի առնելով, որ նման համակեցության հետևանքները կանխորոշել հնարավոր չէ, այդ իսկ պատճառով նշվել է «այլ ցուցումներից» ձևակերպումը, որը գնահատվելու է կացարանի սոցիալական աշխատողի, հոգեբանի կամ այլ մասնագետների կողմից ևգնահատման արդյունքում կձևավորվեն անհրաժեշտ պայմանները:</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Անհրաժեշտ է հիմնավորել հավելվածի 17-րդ կետի, ինչպես նաև նախագծով սահմանված բոլոր նվազագույն պահանջների սահմանման համար հիմքը (օրինակ՝ միջազգային փորձի ուսումնասիրություն), քանի որ անհասկանալի է, օրինակ՝ 1 հատ անդրավարտիքի տրամադրումը:</w:t>
            </w:r>
          </w:p>
          <w:p>
            <w:pPr>
              <w:pStyle w:val="ListParagraph"/>
              <w:tabs>
                <w:tab w:val="left" w:pos="1134"/>
              </w:tabs>
              <w:spacing w:after="0" w:line="240" w:lineRule="auto"/>
              <w:ind w:left="567"/>
              <w:jc w:val="both"/>
              <w:rPr>
                <w:rFonts w:ascii="GHEA Grapalat" w:hAnsi="GHEA Grapalat"/>
                <w:color w:val="000000"/>
                <w:sz w:val="24"/>
                <w:szCs w:val="24"/>
                <w:shd w:val="clear" w:color="auto" w:fill="FFFFFF"/>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9. Ընդունվել է ի գիտություն: </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Տրամադրվող բնակելի տարածքի և առարկաների համար հիմք են հանդիսացել ՀՀ-ում գործող փակ, կիսափակ և բաց հաստատություններում գտնվող անձանց համար նախատեսված չափաբաժինները, օրինակ՝ մանկատուն, խնամքի հաստատություն, քրեակատարողական հիմնարկ և այլ: Ավելին, համեմատած այլ անձանց նշված չափաբաժիններն արդեն իսկ բարելավված են, օրինակ՝ դատապարտյալին տրամադրվում է 4մ</w:t>
            </w:r>
            <w:r>
              <w:rPr>
                <w:rFonts w:ascii="GHEA Grapalat" w:eastAsia="Times New Roman" w:hAnsi="GHEA Grapalat"/>
                <w:bCs/>
                <w:sz w:val="24"/>
                <w:szCs w:val="24"/>
                <w:vertAlign w:val="superscript"/>
                <w:lang w:val="hy-AM"/>
              </w:rPr>
              <w:t>2</w:t>
            </w:r>
            <w:r>
              <w:rPr>
                <w:rFonts w:ascii="GHEA Grapalat" w:eastAsia="Times New Roman" w:hAnsi="GHEA Grapalat"/>
                <w:bCs/>
                <w:sz w:val="24"/>
                <w:szCs w:val="24"/>
                <w:lang w:val="hy-AM"/>
              </w:rPr>
              <w:t xml:space="preserve"> բնակելի տարածք: Սակայն ՀՀ վարչապետի աշխատակազմից եզրակացությունները ստանալուց հետո այդ </w:t>
            </w:r>
            <w:r>
              <w:rPr>
                <w:rFonts w:ascii="GHEA Grapalat" w:eastAsia="Times New Roman" w:hAnsi="GHEA Grapalat"/>
                <w:bCs/>
                <w:sz w:val="24"/>
                <w:szCs w:val="24"/>
                <w:lang w:val="hy-AM"/>
              </w:rPr>
              <w:lastRenderedPageBreak/>
              <w:t>քանակական չափորոշիչները վերանայվել են ավելացման ուղղությամբ:</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Լրացուցիչ հիմնավորման կարիք ունի հավելվածի 36-րդ և 47-րդ կետերով հոգեբանի և իրավաբանի համար առնվազն 5 տարվա մասնագիտական ստաժ ունենալու պահանջի ամրագրումը: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b/>
                <w:sz w:val="24"/>
                <w:szCs w:val="24"/>
                <w:lang w:val="hy-AM"/>
              </w:rPr>
            </w:pPr>
            <w:r>
              <w:rPr>
                <w:rFonts w:ascii="GHEA Grapalat" w:eastAsia="Times New Roman" w:hAnsi="GHEA Grapalat"/>
                <w:sz w:val="24"/>
                <w:szCs w:val="24"/>
                <w:lang w:val="hy-AM"/>
              </w:rPr>
              <w:t>10</w:t>
            </w:r>
            <w:r>
              <w:rPr>
                <w:rFonts w:ascii="GHEA Grapalat" w:eastAsia="Times New Roman" w:hAnsi="GHEA Grapalat"/>
                <w:b/>
                <w:sz w:val="24"/>
                <w:szCs w:val="24"/>
                <w:lang w:val="hy-AM"/>
              </w:rPr>
              <w:t>.</w:t>
            </w:r>
            <w:r>
              <w:rPr>
                <w:rFonts w:ascii="GHEA Grapalat" w:eastAsia="Times New Roman" w:hAnsi="GHEA Grapalat"/>
                <w:sz w:val="24"/>
                <w:szCs w:val="24"/>
                <w:lang w:val="hy-AM"/>
              </w:rPr>
              <w:t>Ընդունվել է ի գիտություն:</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Այն, որ փորձ չունեցող մասնագետը չի կարող նման բարդ իրավիճակում հայտնված անձին ցուցաբերի արդյունավետ օգնություն ու աջակցություն՝ ակնհայտ է: Տարբեր պետություններ տարբեր մոտեցումներ են դրսևորում այս առումով, սակայն միասնական չափանիշ չկա, ինչից ելնելով որոշվել է, որ առնվազն 5 տարվա փորձառության առկայությունը բավարար նախապայման է, և չեն կիրառվել առավել խիստ մոտեցումներ:</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Հավելվածի 40-րդ կետով սահմանվող հոգեբանական օգնության տրամադրման եղանակներից յուրաքանչյուրը որոշմամբ մեկնաբանման կարիք ունի:</w:t>
            </w:r>
          </w:p>
          <w:p>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11. Չի ընդունվել:</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Հավելվածը չի հետապնդում նպատակ ներկայացնել հոգեբանական օգնության տրամադրման եղանակները կամ մանրամասնել դրանց կիրառումը կամ մեթոդաբանությունը, այն ուղղակի նշվում է որպես չափորոշիչ, իսկ կոնկրետ եղանակի ընտրությունը, մեթոդաբանությունը, եղանակների համադրումը և կիրառական այլ հարցեր որոշելու է ծառայություն մատուցող հոգեբանը՝ կարիքների գնահատման արդյունքում ստացված տվյալների հիման վրա և ելնելով իր մասնագիտական հմտություններից ու էթիկայից:</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Հավելվածի 45-րդ կետում անհրաժեշտ է հստակեցնել «խորհրդատվական թերթոն» հասկացությունը:</w:t>
            </w:r>
          </w:p>
          <w:p>
            <w:pPr>
              <w:pStyle w:val="ListParagraph"/>
              <w:tabs>
                <w:tab w:val="left" w:pos="1134"/>
              </w:tabs>
              <w:spacing w:after="0" w:line="240" w:lineRule="auto"/>
              <w:ind w:left="567"/>
              <w:jc w:val="both"/>
              <w:rPr>
                <w:rFonts w:ascii="GHEA Grapalat" w:hAnsi="GHEA Grapalat"/>
                <w:color w:val="000000"/>
                <w:sz w:val="24"/>
                <w:szCs w:val="24"/>
                <w:shd w:val="clear" w:color="auto" w:fill="FFFFFF"/>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12.Ընդունվել է:</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«Թերթոն» եզրույթը փոխարինվել է «բուկլետ» եզրույթով:</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Լրացուցիչ քննարկման կարիք ունի հավելվածի 53-րդ կետով զոհի կամ հատուկ կատեգորիայի զոհի օրինական ներկայացուցչի գրավոր համաձայնության պայմանի ամրագրումը խնամքի տրամադրման դեպքում՝ հաշվի առնելով եզրակացության 5-րդ կետը: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13.Ընդունվել է ի գիտություն՝ տես 5-րդ կետի պատասխանը:</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22-րդ հոդվածի 2.2-րդ մասով «............. որակի նվազագույն չափորոշիչները սահմանվում են Հայաստանի Հանրապետության կառավարության որոշմամբ»: Մինչդեռ նախագծով բացի նվազագույն չափորոշիչներից սահմանվում են նաև ընթացակարգային հարցեր: Օրինակ, հավելվածի 7-րդ, 10-րդ, 11-րդ կետերը և այլն:</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14. Ընդունվել է ի գիտություն:</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Հավելվածի 10-րդ և 11-րդ կետերը հանվել են, իսկ 7-րդ կետը նախատեսում է նախապայմաններ որակի ապահովման համար, որոնց բացակայության պայմաններում չափորոշիչների արդյունավետ իրականացումն անհնարին է:</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Նախագծին կից ներկայացված հիմնավորման 1-ին կետի 2-րդ պարբերությունը վերանայման կարիք ունի, քանի որ օրենքով սահմանված ժամկետում նախագիծը ոչ թե պետք է ներկայացվեր վարչապետի աշխատակազմ, այլ պետք է ընդունված լիներ:</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15.Ընդունվել է, կատարվել է համապատասխան փոփոխություն: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հիմնավորման մեջ պետք է ներառել տեղեկատվություն լրացուցիչ ֆինանսական միջոցների անհրաժեշտության և պետական բյուջեի եկամուտներում և ծախսերում սպասվելիք փոփոխությունների մասին՝ հիմք ընդունելով Կառավարության՝ 25.02.2021թ. N 252-Լ որոշմամբ հաստատված հավելվածի 20-րդ կետի 2-րդ ենթակետը: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16.Ընդունվել է, կատարվել է համապատասխան փոփոխություն: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Անհրաժեշտ է վերանայել նախագծի վերաբերյալ կից ամփոփաթերթը՝ հաշվի առնելով, որ դիտարկումներից որոշներն ընդունված են, սակայն ներկայացված են որպես չընդունված (օրինակ՝ առողջապահության նախարարության 1-</w:t>
            </w:r>
            <w:r>
              <w:rPr>
                <w:rFonts w:ascii="GHEA Grapalat" w:hAnsi="GHEA Grapalat"/>
                <w:color w:val="000000"/>
                <w:sz w:val="24"/>
                <w:szCs w:val="24"/>
                <w:shd w:val="clear" w:color="auto" w:fill="FFFFFF"/>
                <w:lang w:val="hy-AM"/>
              </w:rPr>
              <w:lastRenderedPageBreak/>
              <w:t>ին դիտարկում և այլն), իսկ որոշները լրացուցիչ քննարկման կարիք ունեն (օրինակ՝ ՄԻՊ-ի 1.բ. դիտարկում):</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17.Ընդունվել է, կատարվել է համապատասխան փոփոխություն: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9"/>
              </w:numPr>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Ընդունել ի գիտություն, որ, համաձայն «Կառավարության աշխատակարգը հաստատելու մասին» ՀՀ կառավարության 25.02.2021թ. N 252-Լ որոշմամբ հաստատված հավելվածի 106-րդ կետի, ՀՀ օրենքը հրապարակվելուց հետո 20-օրյա ժամկետում պետական կառավարման համակարգի մարմինը, որի ներկայացուցիչն Ազգային ժողովում օրենքի նախագծի քննարկման ժամանակ հանդես է եկել որպես Կառավարության պաշտոնական ներկայացուցիչ (հարակից զեկուցող) վարչապետի աշխատակազմ է ներկայացնում օրենքի կիրարկումն ապահովող միջոցառումների մասին վարչապետի որոշման նախագիծ կամ նման նախագիծ ներկայացնելու անհրաժեշտության բացակայության մասին հիմնավորում:</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rPr>
            </w:pPr>
            <w:r>
              <w:rPr>
                <w:rFonts w:ascii="GHEA Grapalat" w:eastAsia="Times New Roman" w:hAnsi="GHEA Grapalat"/>
                <w:sz w:val="24"/>
                <w:szCs w:val="24"/>
              </w:rPr>
              <w:t>18.Ընդունվել է ի գիտություն: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tabs>
                <w:tab w:val="left" w:pos="1134"/>
              </w:tabs>
              <w:spacing w:after="0" w:line="24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Համաձայն «Մարդկանց թրաֆիքինգի և շահագործման ենթարկված անձանց նույնացման և աջակցության մասին» օրենքում փոփոխություններ և լրացումներ կատարելու մասին» 04.05.2022թ. ՀՕ-110-Ն օրենքի 9-րդ հոդվածի 2-րդ մասի՝ օրենքի ընդունմամբ պայմանավորված՝ համապատասխան ենթաօրենսդրական ակտերն ընդունվում են օրենքն ուժի մեջ մտնելուց հետո՝ երեք ամսվա ընթացքում: Օրենքն ուժի մեջ է մտել 29.05.2022թ.-ին, հետևաբար ենթաօրենսդրական ակտերը պետք է ընդունված լինեին 29.08.2022թ.-ին:</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Ընդհանուր առմամբ ուշացնելը պայմանավորված է տեխնիկական պատճառներով՝ մասնավորապես նախագծերի շրջանառության ժամկետի ձգձգմամբ, արձակուրդային ժամանակահատվածի հետ համընկնմամբ և այլ տեխնիկական հարցերով:</w:t>
            </w:r>
          </w:p>
        </w:tc>
      </w:tr>
      <w:tr>
        <w:trPr>
          <w:trHeight w:val="435"/>
          <w:tblCellSpacing w:w="0" w:type="dxa"/>
          <w:jc w:val="center"/>
        </w:trPr>
        <w:tc>
          <w:tcPr>
            <w:tcW w:w="693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 xml:space="preserve">17. </w:t>
            </w:r>
            <w:r>
              <w:rPr>
                <w:rFonts w:ascii="GHEA Grapalat" w:hAnsi="GHEA Grapalat"/>
                <w:b/>
                <w:sz w:val="24"/>
                <w:szCs w:val="24"/>
                <w:lang w:val="hy-AM"/>
              </w:rPr>
              <w:t>ՀՀ Վարչապետի աշխատակազմի ֆինանսատնտեսագիտական վարչություն</w:t>
            </w:r>
          </w:p>
          <w:p>
            <w:pPr>
              <w:spacing w:after="0" w:line="24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pPr>
              <w:spacing w:after="0" w:line="240" w:lineRule="auto"/>
              <w:jc w:val="center"/>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09.</w:t>
            </w:r>
            <w:r>
              <w:rPr>
                <w:rFonts w:ascii="GHEA Grapalat" w:eastAsia="Times New Roman" w:hAnsi="GHEA Grapalat" w:cs="Times New Roman"/>
                <w:b/>
                <w:color w:val="000000"/>
                <w:sz w:val="24"/>
                <w:szCs w:val="24"/>
              </w:rPr>
              <w:t>09</w:t>
            </w:r>
            <w:r>
              <w:rPr>
                <w:rFonts w:ascii="GHEA Grapalat" w:eastAsia="Times New Roman" w:hAnsi="GHEA Grapalat" w:cs="Times New Roman"/>
                <w:b/>
                <w:color w:val="000000"/>
                <w:sz w:val="24"/>
                <w:szCs w:val="24"/>
                <w:lang w:val="hy-AM"/>
              </w:rPr>
              <w:t>.2022թ.</w:t>
            </w:r>
          </w:p>
        </w:tc>
      </w:tr>
      <w:tr>
        <w:trPr>
          <w:tblCellSpacing w:w="0" w:type="dxa"/>
          <w:jc w:val="center"/>
        </w:trPr>
        <w:tc>
          <w:tcPr>
            <w:tcW w:w="6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40" w:lineRule="auto"/>
              <w:rPr>
                <w:rFonts w:ascii="GHEA Grapalat" w:eastAsia="Times New Roman" w:hAnsi="GHEA Grapalat" w:cs="Times New Roman"/>
                <w:b/>
                <w:color w:val="000000"/>
                <w:sz w:val="24"/>
                <w:szCs w:val="24"/>
                <w:lang w:val="hy-AM"/>
              </w:rPr>
            </w:pPr>
          </w:p>
        </w:tc>
        <w:tc>
          <w:tcPr>
            <w:tcW w:w="6237"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01/11.4/29607-2022</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tabs>
                <w:tab w:val="left" w:pos="0"/>
              </w:tabs>
              <w:spacing w:after="0" w:line="240" w:lineRule="auto"/>
              <w:ind w:right="58"/>
              <w:jc w:val="center"/>
              <w:rPr>
                <w:rFonts w:ascii="GHEA Grapalat" w:eastAsia="Times New Roman" w:hAnsi="GHEA Grapalat" w:cs="Times New Roman"/>
                <w:color w:val="000000"/>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center"/>
              <w:rPr>
                <w:rFonts w:ascii="GHEA Grapalat" w:eastAsia="Times New Roman" w:hAnsi="GHEA Grapalat"/>
                <w:b/>
                <w:sz w:val="24"/>
                <w:szCs w:val="24"/>
                <w:lang w:val="hy-AM"/>
              </w:rPr>
            </w:pP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spacing w:after="0" w:line="240" w:lineRule="auto"/>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Մարդկանց թրաֆիքինգի և շահագործման զոհերին և հատուկ կատեգորիայի զոհերին կացարանի տրամադրման, բնաիրային, հոգեբանական, խորհրդատվական, իրավաբանական օգնության և խնամքի տրամադրման, այդ թվում՝ համապատասխան հաստատություններում, որակի նվազագույն չափորոշիչները սահմանելու մասին» ՀՀ կառավարության որոշման նախագծի (այսուհետ՝ նախագիծ) վերաբերյալ առաջարկվում է.</w:t>
            </w:r>
          </w:p>
          <w:p>
            <w:pPr>
              <w:pStyle w:val="ListParagraph"/>
              <w:numPr>
                <w:ilvl w:val="0"/>
                <w:numId w:val="47"/>
              </w:numPr>
              <w:spacing w:after="0" w:line="240" w:lineRule="auto"/>
              <w:jc w:val="both"/>
              <w:rPr>
                <w:rFonts w:ascii="GHEA Grapalat" w:eastAsia="Times New Roman" w:hAnsi="GHEA Grapalat"/>
                <w:color w:val="000000"/>
                <w:sz w:val="24"/>
                <w:szCs w:val="24"/>
                <w:lang w:val="hy-AM"/>
              </w:rPr>
            </w:pPr>
            <w:r>
              <w:rPr>
                <w:rFonts w:ascii="GHEA Grapalat" w:eastAsiaTheme="minorHAnsi" w:hAnsi="GHEA Grapalat" w:cstheme="minorBidi"/>
                <w:bCs/>
                <w:sz w:val="24"/>
                <w:szCs w:val="24"/>
                <w:shd w:val="clear" w:color="auto" w:fill="FFFFFF"/>
                <w:lang w:val="hy-AM"/>
              </w:rPr>
              <w:t>նախագծի վերնագրում, ինչպես նաև ամբողջ տեքստում «մարդկանց թրաֆիքինգի և շահագործման զոհեր» արտահայտությունը ձևակերպել  հետևյալ կերպ՝ «մարդկանց թրաֆիքինգի կամ շահագործման զոհեր», որը բխում է «Մարդկանց թրաֆիքինգի և շահագործման ենթարկված անձանց նույնացման և աջակցության մասին» Հայաստանի Հանրապետության օրենքում օգտագործվող հիմնական հասկացություններից:</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rPr>
                <w:rFonts w:ascii="GHEA Grapalat" w:eastAsia="Times New Roman" w:hAnsi="GHEA Grapalat"/>
                <w:b/>
                <w:sz w:val="24"/>
                <w:szCs w:val="24"/>
                <w:lang w:val="hy-AM"/>
              </w:rPr>
            </w:pPr>
          </w:p>
          <w:p>
            <w:pPr>
              <w:spacing w:after="0" w:line="240" w:lineRule="auto"/>
              <w:jc w:val="center"/>
              <w:rPr>
                <w:rFonts w:ascii="GHEA Grapalat" w:eastAsia="Times New Roman" w:hAnsi="GHEA Grapalat"/>
                <w:b/>
                <w:sz w:val="24"/>
                <w:szCs w:val="24"/>
                <w:lang w:val="hy-AM"/>
              </w:rPr>
            </w:pPr>
          </w:p>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1.Չի ընդունվել:</w:t>
            </w:r>
          </w:p>
          <w:p>
            <w:pPr>
              <w:pStyle w:val="ListParagraph"/>
              <w:spacing w:after="0" w:line="240" w:lineRule="auto"/>
              <w:ind w:left="138"/>
              <w:jc w:val="both"/>
              <w:rPr>
                <w:rFonts w:ascii="GHEA Grapalat" w:eastAsia="Times New Roman" w:hAnsi="GHEA Grapalat"/>
                <w:b/>
                <w:sz w:val="24"/>
                <w:szCs w:val="24"/>
                <w:lang w:val="hy-AM"/>
              </w:rPr>
            </w:pPr>
            <w:r>
              <w:rPr>
                <w:rFonts w:ascii="GHEA Grapalat" w:eastAsia="Times New Roman" w:hAnsi="GHEA Grapalat"/>
                <w:color w:val="000000"/>
                <w:sz w:val="24"/>
                <w:szCs w:val="24"/>
                <w:lang w:val="hy-AM"/>
              </w:rPr>
              <w:t>«</w:t>
            </w:r>
            <w:r>
              <w:rPr>
                <w:rFonts w:ascii="GHEA Grapalat" w:eastAsia="Times New Roman" w:hAnsi="GHEA Grapalat"/>
                <w:sz w:val="24"/>
                <w:szCs w:val="24"/>
                <w:lang w:val="hy-AM"/>
              </w:rPr>
              <w:t xml:space="preserve">Մարդկանց թրաֆիքինգի և շահագործման ենթարկված </w:t>
            </w:r>
            <w:r>
              <w:rPr>
                <w:rFonts w:ascii="GHEA Grapalat" w:hAnsi="GHEA Grapalat"/>
                <w:color w:val="000000" w:themeColor="text1"/>
                <w:sz w:val="24"/>
                <w:szCs w:val="24"/>
                <w:lang w:val="hy-AM"/>
              </w:rPr>
              <w:t>անձանց նույնացման և աջակցության մասին» ՀՀ օրենքում կիրառվում են ձևակերպման երկու տարբերակներն էլ, իսկ քննարկվող Նախագծի շրջանակներում նախընտրելի է կիրառել «և» շաղկապը, քանի որ Նախագծում ներկայացված կարգավորումները վերաբերում ու կիրառելի են և՛ զոհերի, և՛ հատուկ կատեգորիայի զոհերի նկատմամբ:</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eastAsia="Times New Roman" w:hAnsi="GHEA Grapalat"/>
                <w:color w:val="000000"/>
                <w:sz w:val="24"/>
                <w:szCs w:val="24"/>
                <w:lang w:val="hy-AM"/>
              </w:rPr>
            </w:pPr>
            <w:r>
              <w:rPr>
                <w:rFonts w:ascii="GHEA Grapalat" w:eastAsiaTheme="minorEastAsia" w:hAnsi="GHEA Grapalat"/>
                <w:color w:val="000000" w:themeColor="text1"/>
                <w:sz w:val="24"/>
                <w:szCs w:val="24"/>
                <w:lang w:val="hy-AM"/>
              </w:rPr>
              <w:t>Նախագծի հիմնավորումը ունի վերախմբագրման կարիք՝ մասնավորապես վերնագիրը անհրաժեշտ է համապատասխանեցնել նախագծի վերնագրին, իսկ տեքստային մասում խմբագրել հավանական զոհերին վերաբերվող տողերը: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2.Ընդունվել է, կատարվել են համապատասխան փոփոխություններ:</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eastAsia="Times New Roman" w:hAnsi="GHEA Grapalat"/>
                <w:color w:val="000000"/>
                <w:sz w:val="24"/>
                <w:szCs w:val="24"/>
                <w:lang w:val="hy-AM"/>
              </w:rPr>
            </w:pPr>
            <w:r>
              <w:rPr>
                <w:rFonts w:ascii="GHEA Grapalat" w:eastAsiaTheme="minorEastAsia" w:hAnsi="GHEA Grapalat"/>
                <w:color w:val="000000" w:themeColor="text1"/>
                <w:sz w:val="24"/>
                <w:szCs w:val="24"/>
                <w:lang w:val="hy-AM"/>
              </w:rPr>
              <w:t xml:space="preserve">Հիմնավորման մեջ բացակայում է </w:t>
            </w:r>
            <w:r>
              <w:rPr>
                <w:rFonts w:ascii="GHEA Grapalat" w:hAnsi="GHEA Grapalat"/>
                <w:color w:val="000000"/>
                <w:sz w:val="24"/>
                <w:szCs w:val="24"/>
                <w:shd w:val="clear" w:color="auto" w:fill="FFFFFF"/>
                <w:lang w:val="hy-AM"/>
              </w:rPr>
              <w:t xml:space="preserve">ֆինանսական միջոցների անհրաժեշտության և պետական բյուջեի եկամուտներում և ծախսերում սպասվելիք փոփոխությունների մասին տեղեկատվությունը: Անհրաժեշտ է ապահովել </w:t>
            </w:r>
            <w:r>
              <w:rPr>
                <w:rFonts w:ascii="GHEA Grapalat" w:eastAsiaTheme="minorEastAsia" w:hAnsi="GHEA Grapalat"/>
                <w:color w:val="000000" w:themeColor="text1"/>
                <w:sz w:val="24"/>
                <w:szCs w:val="24"/>
                <w:lang w:val="hy-AM"/>
              </w:rPr>
              <w:t>ՀՀ կառավարության 2021 թվականի փետրվարի 25-ի թիվ 252-</w:t>
            </w:r>
            <w:r>
              <w:rPr>
                <w:rFonts w:ascii="GHEA Grapalat" w:eastAsiaTheme="minorEastAsia" w:hAnsi="GHEA Grapalat"/>
                <w:color w:val="000000" w:themeColor="text1"/>
                <w:sz w:val="24"/>
                <w:szCs w:val="24"/>
                <w:lang w:val="hy-AM"/>
              </w:rPr>
              <w:lastRenderedPageBreak/>
              <w:t>Լ որոշմամբ հաստատված հավելվածի 20-րդ կետի 2-րդ ենթակետի պահանջների կատարումը: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3.Ընդունվել է, կատարվել են համապատասխան փոփոխություններ</w:t>
            </w:r>
            <w:r>
              <w:rPr>
                <w:rFonts w:ascii="GHEA Grapalat" w:eastAsia="Times New Roman" w:hAnsi="GHEA Grapalat"/>
                <w:b/>
                <w:sz w:val="24"/>
                <w:szCs w:val="24"/>
                <w:lang w:val="hy-AM"/>
              </w:rPr>
              <w:t>:</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eastAsia="Times New Roman" w:hAnsi="GHEA Grapalat"/>
                <w:color w:val="000000"/>
                <w:sz w:val="24"/>
                <w:szCs w:val="24"/>
                <w:lang w:val="hy-AM"/>
              </w:rPr>
            </w:pPr>
            <w:r>
              <w:rPr>
                <w:rFonts w:ascii="GHEA Grapalat" w:hAnsi="GHEA Grapalat"/>
                <w:color w:val="000000" w:themeColor="text1"/>
                <w:sz w:val="24"/>
                <w:szCs w:val="24"/>
                <w:lang w:val="hy-AM"/>
              </w:rPr>
              <w:lastRenderedPageBreak/>
              <w:t xml:space="preserve">Նախագծով </w:t>
            </w:r>
            <w:r>
              <w:rPr>
                <w:rFonts w:ascii="GHEA Grapalat" w:eastAsia="Arial Unicode" w:hAnsi="GHEA Grapalat" w:cs="Arial Unicode"/>
                <w:color w:val="000000"/>
                <w:sz w:val="24"/>
                <w:szCs w:val="24"/>
                <w:lang w:val="hy-AM"/>
              </w:rPr>
              <w:t>հաստատվող Հավելվածի 10-րդ կետում նշվել է, որ Կացարանը տրամադրվում է մարդկանց թրաֆիքինգի և շահագործման զոհերին և հատուկ կատեգորիայի զոհերին նույնացման գործընթացի ավարտից հետո` մինչև 12 ամիս ժամկետով, նույնացման հանձնաժողովի՝ անձին զոհ ճանաչելու մասին որոշման հիման վրա: Հարկ է նշել, որ «Մարդկանց թրաֆիքինգի և շահագործման ենթարկված անձանց նույնացման և աջակցության մասին» ՀՀ օրենքի 22-րդ հոդվածի 2.3-րդ մասը սահմանում է, որ «Հայաստանի Հանրապետության կառավարության որոշումներով սահմանվող կարգավորումները վերաբերելի և կիրառելի են նաև սույն օրենքի 21-րդ հոդվածով նախատեսված՝ նախանույնացման փուլում աջակցության կարիք ունեցող անձանց նկատմամբ»: Հետևաբար նախագծում նման ձևակերպումը դուրս է թողնում նախանույնացման փուլում գտնվող անձանց կարգավորման շրջանակից:</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4.Ընդունվել է ի գիտություն:</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Հավելվածի 10-րդ և 11-րդ կետերը հանվել են: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eastAsia="Times New Roman" w:hAnsi="GHEA Grapalat"/>
                <w:color w:val="000000"/>
                <w:sz w:val="24"/>
                <w:szCs w:val="24"/>
                <w:lang w:val="hy-AM"/>
              </w:rPr>
            </w:pPr>
            <w:r>
              <w:rPr>
                <w:rFonts w:ascii="GHEA Grapalat" w:hAnsi="GHEA Grapalat"/>
                <w:color w:val="000000" w:themeColor="text1"/>
                <w:sz w:val="24"/>
                <w:szCs w:val="24"/>
                <w:lang w:val="hy-AM"/>
              </w:rPr>
              <w:t>Նախագծով հաստատվող Հավելվածի</w:t>
            </w:r>
            <w:r>
              <w:rPr>
                <w:rFonts w:ascii="GHEA Grapalat" w:hAnsi="GHEA Grapalat"/>
                <w:b/>
                <w:color w:val="000000" w:themeColor="text1"/>
                <w:sz w:val="24"/>
                <w:szCs w:val="24"/>
                <w:lang w:val="hy-AM"/>
              </w:rPr>
              <w:t xml:space="preserve"> </w:t>
            </w:r>
            <w:r>
              <w:rPr>
                <w:rFonts w:ascii="GHEA Grapalat" w:hAnsi="GHEA Grapalat"/>
                <w:color w:val="000000" w:themeColor="text1"/>
                <w:sz w:val="24"/>
                <w:szCs w:val="24"/>
                <w:lang w:val="hy-AM"/>
              </w:rPr>
              <w:t xml:space="preserve">12-րդ կետում </w:t>
            </w:r>
            <w:r>
              <w:rPr>
                <w:rFonts w:ascii="GHEA Grapalat" w:hAnsi="GHEA Grapalat"/>
                <w:sz w:val="24"/>
                <w:szCs w:val="24"/>
                <w:lang w:val="hy-AM"/>
              </w:rPr>
              <w:t>սահմանվել է,</w:t>
            </w:r>
            <w:r>
              <w:rPr>
                <w:rFonts w:ascii="GHEA Grapalat" w:eastAsia="Arial Unicode" w:hAnsi="GHEA Grapalat" w:cs="Arial Unicode"/>
                <w:color w:val="000000"/>
                <w:sz w:val="24"/>
                <w:szCs w:val="24"/>
                <w:lang w:val="hy-AM"/>
              </w:rPr>
              <w:t xml:space="preserve"> որ «Կացարանում </w:t>
            </w:r>
            <w:r>
              <w:rPr>
                <w:rFonts w:ascii="GHEA Grapalat" w:hAnsi="GHEA Grapalat"/>
                <w:sz w:val="24"/>
                <w:szCs w:val="24"/>
                <w:shd w:val="clear" w:color="auto" w:fill="FFFFFF"/>
                <w:lang w:val="hy-AM"/>
              </w:rPr>
              <w:t xml:space="preserve">մարդկանց թրաֆիքինգի և շահագործման </w:t>
            </w:r>
            <w:r>
              <w:rPr>
                <w:rFonts w:ascii="GHEA Grapalat" w:eastAsia="Arial Unicode" w:hAnsi="GHEA Grapalat" w:cs="Arial Unicode"/>
                <w:color w:val="000000"/>
                <w:sz w:val="24"/>
                <w:szCs w:val="24"/>
                <w:lang w:val="hy-AM"/>
              </w:rPr>
              <w:t xml:space="preserve">զոհի կամ հատուկ կատեգորիայի զոհի ընդունելությունն իրականացվում է շուրջօրյա՝ կացարանի հերթապահի կողմից: </w:t>
            </w:r>
            <w:r>
              <w:rPr>
                <w:rFonts w:ascii="GHEA Grapalat" w:hAnsi="GHEA Grapalat"/>
                <w:sz w:val="24"/>
                <w:szCs w:val="24"/>
                <w:shd w:val="clear" w:color="auto" w:fill="FFFFFF"/>
                <w:lang w:val="hy-AM"/>
              </w:rPr>
              <w:t>Մարդկանց թրաֆիքինգի և շահագործման հ</w:t>
            </w:r>
            <w:r>
              <w:rPr>
                <w:rFonts w:ascii="GHEA Grapalat" w:eastAsia="Arial Unicode" w:hAnsi="GHEA Grapalat" w:cs="Arial Unicode"/>
                <w:color w:val="000000"/>
                <w:sz w:val="24"/>
                <w:szCs w:val="24"/>
                <w:lang w:val="hy-AM"/>
              </w:rPr>
              <w:t xml:space="preserve">ատուկ կատեգորիայի երեխա զոհերն ընդունվում են իրենց օրինական ներկայացուցչի հետ, եթե այդպիսիք կա, և եթե դա չի հակասում երեխայի լավագույն շահին, իսկ մարդկանց թրաֆիքինգի և շահագործման զոհերն ընդունվում են իրենց խնամքի տակ գտնվող </w:t>
            </w:r>
            <w:r>
              <w:rPr>
                <w:rFonts w:ascii="GHEA Grapalat" w:eastAsia="Arial Unicode" w:hAnsi="GHEA Grapalat" w:cs="Arial Unicode"/>
                <w:color w:val="000000"/>
                <w:sz w:val="24"/>
                <w:szCs w:val="24"/>
                <w:lang w:val="hy-AM"/>
              </w:rPr>
              <w:lastRenderedPageBreak/>
              <w:t>երեխաների հետ միասին: Եթե մարդկանց թրաֆիքինգի և շահագործման զոհի խնամքի տակ գտնվող երեխան 12 տարեկանից բարձր է, ապա զոհն իր երեխայի հետ համատեղ կացարանում տեղավորվում է այնպես, որպեսզի բացառվի մարդկանց թրաֆիքինգի և շահագործման այլ զոհերի կամ հատուկ կատեգորիայի զոհերի հետ շփումը, բացառությամբ այն դեպքերի, եթե այդ շփումը բխում է երեխայի լավագույն շահից»: Առաջարկում ենք դիտարկել նաև այնպիսի իրավիճակ, երբ մարդկանց թրաֆիքինգի կամ շահագործման զոհը գտնվում է ծանր հոգեբանական վիճակում և խնամքի տակ գտնվող երեխայի շահերից չի բխում տվյալ ժամանակահատվածում շփվել նրա հետ:</w:t>
            </w:r>
            <w:r>
              <w:rPr>
                <w:rFonts w:ascii="GHEA Grapalat" w:eastAsia="Arial Unicode" w:hAnsi="GHEA Grapalat" w:cs="Arial Unicode"/>
                <w:b/>
                <w:color w:val="000000"/>
                <w:sz w:val="24"/>
                <w:szCs w:val="24"/>
                <w:lang w:val="hy-AM"/>
              </w:rPr>
              <w:t xml:space="preserve"> </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5.Ընդունվել է, կատարվել է համապատասխան փոփոխություն: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eastAsia="Times New Roman" w:hAnsi="GHEA Grapalat"/>
                <w:color w:val="000000"/>
                <w:sz w:val="24"/>
                <w:szCs w:val="24"/>
                <w:lang w:val="hy-AM"/>
              </w:rPr>
            </w:pPr>
            <w:r>
              <w:rPr>
                <w:rFonts w:ascii="GHEA Grapalat" w:hAnsi="GHEA Grapalat"/>
                <w:color w:val="000000" w:themeColor="text1"/>
                <w:sz w:val="24"/>
                <w:szCs w:val="24"/>
                <w:lang w:val="hy-AM"/>
              </w:rPr>
              <w:lastRenderedPageBreak/>
              <w:t>Նախագծով հաստատվող Հավելվածի</w:t>
            </w:r>
            <w:r>
              <w:rPr>
                <w:rFonts w:ascii="GHEA Grapalat" w:hAnsi="GHEA Grapalat"/>
                <w:b/>
                <w:color w:val="000000" w:themeColor="text1"/>
                <w:sz w:val="24"/>
                <w:szCs w:val="24"/>
                <w:lang w:val="hy-AM"/>
              </w:rPr>
              <w:t xml:space="preserve"> </w:t>
            </w:r>
            <w:r>
              <w:rPr>
                <w:rFonts w:ascii="GHEA Grapalat" w:hAnsi="GHEA Grapalat"/>
                <w:color w:val="000000" w:themeColor="text1"/>
                <w:sz w:val="24"/>
                <w:szCs w:val="24"/>
                <w:lang w:val="hy-AM"/>
              </w:rPr>
              <w:t>13-րդ կետում նշվել է, որ «</w:t>
            </w:r>
            <w:r>
              <w:rPr>
                <w:rFonts w:ascii="GHEA Grapalat" w:eastAsia="Arial Unicode" w:hAnsi="GHEA Grapalat" w:cs="Arial Unicode"/>
                <w:color w:val="000000"/>
                <w:sz w:val="24"/>
                <w:szCs w:val="24"/>
                <w:lang w:val="hy-AM"/>
              </w:rPr>
              <w:t xml:space="preserve">Կացարանում </w:t>
            </w:r>
            <w:r>
              <w:rPr>
                <w:rFonts w:ascii="GHEA Grapalat" w:hAnsi="GHEA Grapalat"/>
                <w:sz w:val="24"/>
                <w:szCs w:val="24"/>
                <w:shd w:val="clear" w:color="auto" w:fill="FFFFFF"/>
                <w:lang w:val="hy-AM"/>
              </w:rPr>
              <w:t xml:space="preserve">մարդկանց թրաֆիքինգի և շահագործման զոհին կամ հատուկ կատեգորիայի զոհին ընդունում են անձնագրով կամ անձը հաստատող այլ փաստաթղթով, իսկ դրանց բացակայության դեպքում՝ առանց դրա՝ նշում կատարելով այլ փաստաթղթերից մարդկանց թրաֆիքինգի և շահագործման զոհի կամ հատուկ կատեգորիայի զոհի անունը, ազգանունը, ծննդյան տարեթիվը և այլ տվյալներ, որոնք հայտնի են»: Համաձայն </w:t>
            </w:r>
            <w:r>
              <w:rPr>
                <w:rFonts w:ascii="GHEA Grapalat" w:eastAsia="Times New Roman" w:hAnsi="GHEA Grapalat"/>
                <w:color w:val="000000"/>
                <w:sz w:val="24"/>
                <w:szCs w:val="24"/>
                <w:lang w:val="hy-AM"/>
              </w:rPr>
              <w:t>«</w:t>
            </w:r>
            <w:r>
              <w:rPr>
                <w:rFonts w:ascii="GHEA Grapalat" w:eastAsia="Times New Roman" w:hAnsi="GHEA Grapalat"/>
                <w:sz w:val="24"/>
                <w:szCs w:val="24"/>
                <w:lang w:val="hy-AM"/>
              </w:rPr>
              <w:t>Մարդկանց թրաֆիքինգի և շահագործման ենթարկված անձանց նույնացման և աջակցության մասին</w:t>
            </w:r>
            <w:r>
              <w:rPr>
                <w:rFonts w:ascii="GHEA Grapalat" w:eastAsia="Times New Roman" w:hAnsi="GHEA Grapalat"/>
                <w:color w:val="000000"/>
                <w:sz w:val="24"/>
                <w:szCs w:val="24"/>
                <w:lang w:val="hy-AM"/>
              </w:rPr>
              <w:t xml:space="preserve">» ՀՀ օրենքի 15-րդ հոդվածի 2-րդ կետի </w:t>
            </w:r>
            <w:r>
              <w:rPr>
                <w:rFonts w:ascii="GHEA Grapalat" w:hAnsi="GHEA Grapalat"/>
                <w:sz w:val="24"/>
                <w:szCs w:val="24"/>
                <w:shd w:val="clear" w:color="auto" w:fill="FFFFFF"/>
                <w:lang w:val="hy-AM"/>
              </w:rPr>
              <w:t xml:space="preserve">նախանույնացման փուլում իրավասու մարմինները ձեռնարկում են հնարավոր բոլոր միջոցները՝ պարզելու հավանական զոհի ինքնությունը, քաղաքացիությունը, տարիքը, անօգնական վիճակում գտնվելու հանգամանքը, հետևաբար նախանույնացման </w:t>
            </w:r>
            <w:r>
              <w:rPr>
                <w:rFonts w:ascii="GHEA Grapalat" w:hAnsi="GHEA Grapalat"/>
                <w:sz w:val="24"/>
                <w:szCs w:val="24"/>
                <w:shd w:val="clear" w:color="auto" w:fill="FFFFFF"/>
                <w:lang w:val="hy-AM"/>
              </w:rPr>
              <w:lastRenderedPageBreak/>
              <w:t>փուլում աջակցության ժամանակ հնարավոր է, որ դեռևս հայտնի չլինի վերոնշյալ տվյալներից որևէ մեկը: Առաջարկում ենք նախագծում անդրադառնալ նաև այս իրավիճակում կացարան ընդունելու հնարավորությանը:</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6.Ընդունվել է ի գիտություն:</w:t>
            </w:r>
          </w:p>
          <w:p>
            <w:pPr>
              <w:spacing w:after="0" w:line="240" w:lineRule="auto"/>
              <w:jc w:val="both"/>
              <w:rPr>
                <w:rFonts w:ascii="GHEA Grapalat" w:eastAsia="Times New Roman" w:hAnsi="GHEA Grapalat"/>
                <w:b/>
                <w:sz w:val="24"/>
                <w:szCs w:val="24"/>
                <w:lang w:val="hy-AM"/>
              </w:rPr>
            </w:pPr>
            <w:r>
              <w:rPr>
                <w:rFonts w:ascii="GHEA Grapalat" w:eastAsia="Times New Roman" w:hAnsi="GHEA Grapalat"/>
                <w:bCs/>
                <w:sz w:val="24"/>
                <w:szCs w:val="24"/>
                <w:lang w:val="hy-AM"/>
              </w:rPr>
              <w:t>Որևէ փոփոխություն չի կատարվել, քանի որ առնվազն անունը, ազգանունը,</w:t>
            </w:r>
            <w:r>
              <w:rPr>
                <w:rFonts w:ascii="GHEA Grapalat" w:eastAsia="Times New Roman" w:hAnsi="GHEA Grapalat"/>
                <w:b/>
                <w:sz w:val="24"/>
                <w:szCs w:val="24"/>
                <w:lang w:val="hy-AM"/>
              </w:rPr>
              <w:t xml:space="preserve"> </w:t>
            </w:r>
            <w:r>
              <w:rPr>
                <w:rFonts w:ascii="GHEA Grapalat" w:hAnsi="GHEA Grapalat"/>
                <w:sz w:val="24"/>
                <w:szCs w:val="24"/>
                <w:shd w:val="clear" w:color="auto" w:fill="FFFFFF"/>
                <w:lang w:val="hy-AM"/>
              </w:rPr>
              <w:t>ծննդյան տարեթիվը և այլ որևէ հայտնի տվյալ գրանցելը դժվարություն չի ներկայացնում, իսկ հետագա գործողությունները նույն են՝ որոնում:</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Կարծում ենք, որ Նախագծով հաստատվող Հավելվածի 32-րդ կետում նշված </w:t>
            </w:r>
            <w:r>
              <w:rPr>
                <w:rFonts w:ascii="GHEA Grapalat" w:eastAsia="Times New Roman" w:hAnsi="GHEA Grapalat"/>
                <w:color w:val="000000"/>
                <w:sz w:val="24"/>
                <w:szCs w:val="24"/>
                <w:lang w:val="hy-AM"/>
              </w:rPr>
              <w:t>հագուստի ու կոշիկի քանակները (օր.՝ անդրավարտիք՝ 1 հատ, 1 տարի շահագործման ժամկետով) ունեն վերանայման կարիք: Ու չնայած, որ վերջիններս նվազագույն չափորոշիչներ են, որոնք կազմակերպությունները կարող են լավարկել, պետք է դիտարկել նաև այն տարբերակը, երբ կազմակերպությունը առաջնորդվում է նվազագույն չափորոշիչներով: Միևնույն ժամանակ անհասկանալի է, ինչ պարբերականությամբ են տրամադրվելու հագուստները, (կացարան ընդունվելու ժամանակ միանգամից՝ մեկ փաթեթով թե պարբերաբար) քանի որ կացարանում անձանց ապրելու տևողությոունը կարող է տարբեր  լինել (մի քանի օրից մինչև 2 տարի). նկատառումը վերաբերվում է նաև 34-րդ կետով սահմանված անկողնային և հիգիենայի պարագաներին:</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7.Ընդունվել է, կատարվել են համապատասխան փոփոխություններ:</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Կոշիկի և հագուստի քանակներն ավելացվել են: Պարբերականությունը նշված է 1 տարի կտրվածքով, իսկ տրամադրումն իրականացվելու է այդ ժամանակահատվածում՝ ըստ անհրաժեշտության: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BodyText"/>
              <w:numPr>
                <w:ilvl w:val="0"/>
                <w:numId w:val="47"/>
              </w:numPr>
              <w:suppressAutoHyphens/>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Նախագծով հաստատվող Հավելվածի</w:t>
            </w:r>
            <w:r>
              <w:rPr>
                <w:rFonts w:ascii="GHEA Grapalat" w:hAnsi="GHEA Grapalat"/>
                <w:b/>
                <w:color w:val="000000" w:themeColor="text1"/>
                <w:sz w:val="24"/>
                <w:szCs w:val="24"/>
                <w:lang w:val="hy-AM"/>
              </w:rPr>
              <w:t xml:space="preserve"> </w:t>
            </w:r>
            <w:r>
              <w:rPr>
                <w:rFonts w:ascii="GHEA Grapalat" w:hAnsi="GHEA Grapalat"/>
                <w:color w:val="000000" w:themeColor="text1"/>
                <w:sz w:val="24"/>
                <w:szCs w:val="24"/>
                <w:lang w:val="hy-AM"/>
              </w:rPr>
              <w:t xml:space="preserve">54-րդ կետով սահմանված է, որ </w:t>
            </w:r>
            <w:r>
              <w:rPr>
                <w:rFonts w:ascii="GHEA Grapalat" w:eastAsia="Times New Roman" w:hAnsi="GHEA Grapalat"/>
                <w:color w:val="000000"/>
                <w:sz w:val="24"/>
                <w:szCs w:val="24"/>
                <w:lang w:val="hy-AM"/>
              </w:rPr>
              <w:t xml:space="preserve">մարդկանց թրաֆիքինգի և շահագործման </w:t>
            </w:r>
            <w:r>
              <w:rPr>
                <w:rFonts w:ascii="GHEA Grapalat" w:hAnsi="GHEA Grapalat"/>
                <w:sz w:val="24"/>
                <w:szCs w:val="24"/>
                <w:shd w:val="clear" w:color="auto" w:fill="FFFFFF"/>
                <w:lang w:val="hy-AM"/>
              </w:rPr>
              <w:t xml:space="preserve">զոհերին և հատուկ կատեգորիայի զոհերին </w:t>
            </w:r>
            <w:r>
              <w:rPr>
                <w:rFonts w:ascii="GHEA Grapalat" w:eastAsia="Times New Roman" w:hAnsi="GHEA Grapalat"/>
                <w:color w:val="000000"/>
                <w:sz w:val="24"/>
                <w:szCs w:val="24"/>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Pr>
                <w:rFonts w:ascii="GHEA Grapalat" w:hAnsi="GHEA Grapalat"/>
                <w:bCs/>
                <w:iCs/>
                <w:sz w:val="24"/>
                <w:szCs w:val="24"/>
                <w:lang w:val="hy-AM"/>
              </w:rPr>
              <w:t xml:space="preserve">որակի նվազագույն չափորոշիչների ապահովման նկատմամբ վերահսկողությունն իրականացվում է Հայաստանի Հանրապետության </w:t>
            </w:r>
            <w:r>
              <w:rPr>
                <w:rFonts w:ascii="GHEA Grapalat" w:hAnsi="GHEA Grapalat"/>
                <w:bCs/>
                <w:iCs/>
                <w:sz w:val="24"/>
                <w:szCs w:val="24"/>
                <w:lang w:val="hy-AM"/>
              </w:rPr>
              <w:lastRenderedPageBreak/>
              <w:t>աշխատանքի և սոցիալական հարցերի նախարարությունը</w:t>
            </w:r>
            <w:r>
              <w:rPr>
                <w:rFonts w:ascii="GHEA Grapalat" w:eastAsia="Times New Roman" w:hAnsi="GHEA Grapalat"/>
                <w:color w:val="000000"/>
                <w:sz w:val="24"/>
                <w:szCs w:val="24"/>
                <w:lang w:val="hy-AM"/>
              </w:rPr>
              <w:t>: Այստեղ կարիք կա նաև սահմանել վերահսկողության մեխանիզմները (նախարարության աշխատակիցների ստուգայցեր, կազմակերպության կողմից ներկայացվող հաշվետվություններ և այլն), հետագա խնդիրներից խուսափելու  համար:</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 xml:space="preserve">8.Չի </w:t>
            </w:r>
            <w:r>
              <w:rPr>
                <w:rFonts w:ascii="GHEA Grapalat" w:eastAsia="Times New Roman" w:hAnsi="GHEA Grapalat" w:cs="Times New Roman"/>
                <w:color w:val="000000"/>
                <w:sz w:val="24"/>
                <w:szCs w:val="24"/>
                <w:lang w:val="hy-AM"/>
              </w:rPr>
              <w:t>ընդունվել:</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cs="Times New Roman"/>
                <w:color w:val="000000"/>
                <w:sz w:val="24"/>
                <w:szCs w:val="24"/>
                <w:lang w:val="hy-AM"/>
              </w:rPr>
              <w:t>Վերահսկողական մեխանիզմները սույն նախագծի կարգավորման առա</w:t>
            </w:r>
            <w:bookmarkStart w:id="4" w:name="_GoBack"/>
            <w:bookmarkEnd w:id="4"/>
            <w:r>
              <w:rPr>
                <w:rFonts w:ascii="GHEA Grapalat" w:eastAsia="Times New Roman" w:hAnsi="GHEA Grapalat" w:cs="Times New Roman"/>
                <w:color w:val="000000"/>
                <w:sz w:val="24"/>
                <w:szCs w:val="24"/>
                <w:lang w:val="hy-AM"/>
              </w:rPr>
              <w:t>րկայից</w:t>
            </w:r>
            <w:r>
              <w:rPr>
                <w:rFonts w:ascii="GHEA Grapalat" w:eastAsia="Times New Roman" w:hAnsi="GHEA Grapalat"/>
                <w:bCs/>
                <w:sz w:val="24"/>
                <w:szCs w:val="24"/>
                <w:lang w:val="hy-AM"/>
              </w:rPr>
              <w:t xml:space="preserve"> դուրս են:</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709"/>
                <w:tab w:val="left" w:pos="851"/>
              </w:tabs>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Նախագծով հաստատվող Հավելվածի</w:t>
            </w:r>
            <w:r>
              <w:rPr>
                <w:rFonts w:ascii="GHEA Grapalat" w:hAnsi="GHEA Grapalat"/>
                <w:b/>
                <w:color w:val="000000" w:themeColor="text1"/>
                <w:sz w:val="24"/>
                <w:szCs w:val="24"/>
                <w:lang w:val="hy-AM"/>
              </w:rPr>
              <w:t xml:space="preserve"> </w:t>
            </w:r>
            <w:r>
              <w:rPr>
                <w:rFonts w:ascii="GHEA Grapalat" w:hAnsi="GHEA Grapalat"/>
                <w:color w:val="000000" w:themeColor="text1"/>
                <w:sz w:val="24"/>
                <w:szCs w:val="24"/>
                <w:lang w:val="hy-AM"/>
              </w:rPr>
              <w:t xml:space="preserve">Ձև 1-ում նախատեսվում է վերանայում իրականացնող մասնագետի կողմից իրականացնել </w:t>
            </w:r>
            <w:r>
              <w:rPr>
                <w:rFonts w:ascii="GHEA Grapalat" w:eastAsia="Times New Roman" w:hAnsi="GHEA Grapalat" w:cs="Courier New"/>
                <w:bCs/>
                <w:color w:val="000000"/>
                <w:spacing w:val="2"/>
                <w:sz w:val="24"/>
                <w:szCs w:val="24"/>
                <w:lang w:val="hy-AM"/>
              </w:rPr>
              <w:t xml:space="preserve">զոհի հետ տարվող անհատական աշխատանքի մշտադիտարկում: Սակայն նախագծում բացակայում են մասնագետի համար սահմանված չափանիշները (մասնագիտություն, փորձ), ինչպես նաև մշտադիտարկումը իրականացնելու ձևը՝ մասնագետն է գնահատելու, թե </w:t>
            </w:r>
            <w:r>
              <w:rPr>
                <w:rFonts w:ascii="GHEA Grapalat" w:hAnsi="GHEA Grapalat"/>
                <w:sz w:val="24"/>
                <w:szCs w:val="24"/>
                <w:shd w:val="clear" w:color="auto" w:fill="FFFFFF"/>
                <w:lang w:val="hy-AM"/>
              </w:rPr>
              <w:t>մարդկանց թրաֆիքինգի կամ շահագործման զոհը կամ հատուկ կատեգորիայի զոհը պատասխանելով մասնագետի հարցերին որոշելու է իր մոտ կան դրական փոփոխություններ, թե ոչ:</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9.Չի ընդունվել:</w:t>
            </w:r>
          </w:p>
          <w:p>
            <w:pPr>
              <w:spacing w:after="0" w:line="24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Մասնագիտական գործունեության համար չափորոշիչներ սահմանված են Հավելվածի 36-րդ կետում:</w:t>
            </w:r>
          </w:p>
        </w:tc>
      </w:tr>
      <w:tr>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pPr>
              <w:pStyle w:val="ListParagraph"/>
              <w:shd w:val="clear" w:color="auto" w:fill="FFFFFF"/>
              <w:tabs>
                <w:tab w:val="left" w:pos="709"/>
                <w:tab w:val="left" w:pos="851"/>
              </w:tabs>
              <w:spacing w:after="0" w:line="240" w:lineRule="auto"/>
              <w:ind w:left="360"/>
              <w:jc w:val="both"/>
              <w:rPr>
                <w:rFonts w:ascii="GHEA Grapalat" w:hAnsi="GHEA Grapalat"/>
                <w:color w:val="000000" w:themeColor="text1"/>
                <w:sz w:val="24"/>
                <w:szCs w:val="24"/>
                <w:lang w:val="hy-AM"/>
              </w:rPr>
            </w:pPr>
            <w:r>
              <w:rPr>
                <w:rFonts w:ascii="GHEA Grapalat" w:eastAsia="Times New Roman" w:hAnsi="GHEA Grapalat"/>
                <w:color w:val="000000" w:themeColor="text1"/>
                <w:sz w:val="24"/>
                <w:szCs w:val="24"/>
                <w:lang w:val="hy-AM"/>
              </w:rPr>
              <w:t>Ամփոփելով վերոշարադրյալը՝ կարծում ենք, որ նախագիծը լրացուցիչ քննարկման և հստակեցման անհրաժեշտություն ունի:</w:t>
            </w:r>
          </w:p>
        </w:tc>
        <w:tc>
          <w:tcPr>
            <w:tcW w:w="142" w:type="dxa"/>
            <w:tcBorders>
              <w:top w:val="outset" w:sz="6" w:space="0" w:color="auto"/>
              <w:left w:val="outset" w:sz="6" w:space="0" w:color="auto"/>
              <w:bottom w:val="outset" w:sz="6" w:space="0" w:color="auto"/>
              <w:right w:val="nil"/>
            </w:tcBorders>
            <w:shd w:val="clear" w:color="auto" w:fill="FFFFFF"/>
          </w:tcPr>
          <w:p>
            <w:pPr>
              <w:spacing w:after="0" w:line="240" w:lineRule="auto"/>
              <w:rPr>
                <w:rFonts w:ascii="GHEA Grapalat" w:eastAsia="Times New Roman" w:hAnsi="GHEA Grapalat" w:cs="Calibri"/>
                <w:color w:val="000000"/>
                <w:sz w:val="24"/>
                <w:szCs w:val="24"/>
                <w:lang w:val="hy-AM"/>
              </w:rPr>
            </w:pPr>
          </w:p>
        </w:tc>
        <w:tc>
          <w:tcPr>
            <w:tcW w:w="6095" w:type="dxa"/>
            <w:tcBorders>
              <w:top w:val="outset" w:sz="6" w:space="0" w:color="auto"/>
              <w:left w:val="nil"/>
              <w:bottom w:val="outset" w:sz="6" w:space="0" w:color="auto"/>
              <w:right w:val="outset" w:sz="6" w:space="0" w:color="auto"/>
            </w:tcBorders>
            <w:shd w:val="clear" w:color="auto" w:fill="FFFFFF"/>
          </w:tcPr>
          <w:p>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 xml:space="preserve">Ընդունվել է ի գիտություն: </w:t>
            </w:r>
          </w:p>
          <w:p>
            <w:pPr>
              <w:spacing w:after="0" w:line="240" w:lineRule="auto"/>
              <w:jc w:val="both"/>
              <w:rPr>
                <w:rFonts w:ascii="GHEA Grapalat" w:eastAsia="Times New Roman" w:hAnsi="GHEA Grapalat"/>
                <w:b/>
                <w:sz w:val="24"/>
                <w:szCs w:val="24"/>
                <w:lang w:val="hy-AM"/>
              </w:rPr>
            </w:pPr>
            <w:r>
              <w:rPr>
                <w:rFonts w:ascii="GHEA Grapalat" w:eastAsia="Times New Roman" w:hAnsi="GHEA Grapalat"/>
                <w:bCs/>
                <w:sz w:val="24"/>
                <w:szCs w:val="24"/>
                <w:lang w:val="hy-AM"/>
              </w:rPr>
              <w:t>Կազմակերպվել են քննարկումներ ոլորտում գործունեություն ծավալող հասարակական կազմակերպությունների ներկայացուցիչների և մասնագետների հետ:</w:t>
            </w:r>
          </w:p>
        </w:tc>
      </w:tr>
    </w:tbl>
    <w:p>
      <w:pPr>
        <w:spacing w:after="0" w:line="240" w:lineRule="auto"/>
        <w:ind w:left="142" w:firstLine="218"/>
        <w:jc w:val="center"/>
        <w:rPr>
          <w:rFonts w:ascii="GHEA Grapalat" w:hAnsi="GHEA Grapalat"/>
          <w:sz w:val="24"/>
          <w:szCs w:val="24"/>
          <w:lang w:val="hy-AM"/>
        </w:rPr>
      </w:pPr>
    </w:p>
    <w:sectPr>
      <w:footerReference w:type="default" r:id="rId8"/>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6F239" w16cex:dateUtc="2022-09-10T07:23:00Z"/>
  <w16cex:commentExtensible w16cex:durableId="26C6F607" w16cex:dateUtc="2022-09-10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114A0B" w16cid:durableId="26C6F239"/>
  <w16cid:commentId w16cid:paraId="433AEC99" w16cid:durableId="26C6F60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805106"/>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rPr>
          <w:rFonts w:ascii="Sylfaen" w:hAnsi="Sylfaen"/>
          <w:lang w:val="hy-AM"/>
        </w:rPr>
      </w:pPr>
      <w:r>
        <w:rPr>
          <w:rFonts w:ascii="GHEA Grapalat" w:hAnsi="GHEA Grapalat"/>
          <w:lang w:val="hy-AM"/>
        </w:rPr>
        <w:footnoteRef/>
      </w:r>
      <w:r>
        <w:rPr>
          <w:rFonts w:ascii="GHEA Grapalat" w:hAnsi="GHEA Grapalat"/>
          <w:lang w:val="hy-AM"/>
        </w:rPr>
        <w:t xml:space="preserve"> Այսուհետ՝ Օրենք</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DD4"/>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8661E"/>
    <w:multiLevelType w:val="hybridMultilevel"/>
    <w:tmpl w:val="1E84FAD4"/>
    <w:lvl w:ilvl="0" w:tplc="19D2D57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563B47"/>
    <w:multiLevelType w:val="hybridMultilevel"/>
    <w:tmpl w:val="91923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060D9"/>
    <w:multiLevelType w:val="hybridMultilevel"/>
    <w:tmpl w:val="9AD2D710"/>
    <w:lvl w:ilvl="0" w:tplc="FDF0653E">
      <w:start w:val="1"/>
      <w:numFmt w:val="decimal"/>
      <w:lvlText w:val="%1."/>
      <w:lvlJc w:val="left"/>
      <w:pPr>
        <w:ind w:left="840" w:hanging="765"/>
      </w:pPr>
      <w:rPr>
        <w:rFonts w:eastAsiaTheme="minorHAnsi" w:cstheme="minorBidi"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07527BA4"/>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8A5464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7" w15:restartNumberingAfterBreak="0">
    <w:nsid w:val="0C013910"/>
    <w:multiLevelType w:val="hybridMultilevel"/>
    <w:tmpl w:val="639AA26C"/>
    <w:lvl w:ilvl="0" w:tplc="31EEF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94899"/>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66461E"/>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0F915F05"/>
    <w:multiLevelType w:val="hybridMultilevel"/>
    <w:tmpl w:val="E7B0C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6F4ABA"/>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D5678B"/>
    <w:multiLevelType w:val="hybridMultilevel"/>
    <w:tmpl w:val="1B58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5168E9"/>
    <w:multiLevelType w:val="hybridMultilevel"/>
    <w:tmpl w:val="61B82460"/>
    <w:lvl w:ilvl="0" w:tplc="552E5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155460"/>
    <w:multiLevelType w:val="hybridMultilevel"/>
    <w:tmpl w:val="17E27984"/>
    <w:lvl w:ilvl="0" w:tplc="0CFEC174">
      <w:start w:val="1"/>
      <w:numFmt w:val="decimal"/>
      <w:lvlText w:val="%1."/>
      <w:lvlJc w:val="left"/>
      <w:pPr>
        <w:ind w:left="450" w:hanging="39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1DC40F1C"/>
    <w:multiLevelType w:val="hybridMultilevel"/>
    <w:tmpl w:val="94DE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A85150"/>
    <w:multiLevelType w:val="hybridMultilevel"/>
    <w:tmpl w:val="CAB08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B4677D"/>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3315D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B9482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2E1C24C7"/>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9E47D0"/>
    <w:multiLevelType w:val="multilevel"/>
    <w:tmpl w:val="C576EC5A"/>
    <w:lvl w:ilvl="0">
      <w:start w:val="1"/>
      <w:numFmt w:val="decimal"/>
      <w:lvlText w:val="%1."/>
      <w:lvlJc w:val="left"/>
      <w:pPr>
        <w:ind w:left="852" w:hanging="216"/>
      </w:pPr>
      <w:rPr>
        <w:rFonts w:hint="default"/>
        <w:spacing w:val="0"/>
        <w:w w:val="75"/>
        <w:sz w:val="24"/>
        <w:szCs w:val="24"/>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4" w15:restartNumberingAfterBreak="0">
    <w:nsid w:val="33965026"/>
    <w:multiLevelType w:val="hybridMultilevel"/>
    <w:tmpl w:val="B560C912"/>
    <w:lvl w:ilvl="0" w:tplc="96F265C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216FF3"/>
    <w:multiLevelType w:val="hybridMultilevel"/>
    <w:tmpl w:val="96FCB4B2"/>
    <w:lvl w:ilvl="0" w:tplc="313E6880">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26"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38C17609"/>
    <w:multiLevelType w:val="hybridMultilevel"/>
    <w:tmpl w:val="B608E006"/>
    <w:lvl w:ilvl="0" w:tplc="0A968102">
      <w:start w:val="1"/>
      <w:numFmt w:val="decimal"/>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3921712E"/>
    <w:multiLevelType w:val="hybridMultilevel"/>
    <w:tmpl w:val="866C7B0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CE73B5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26786F"/>
    <w:multiLevelType w:val="multilevel"/>
    <w:tmpl w:val="F5881BF0"/>
    <w:lvl w:ilvl="0">
      <w:start w:val="1"/>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2" w15:restartNumberingAfterBreak="0">
    <w:nsid w:val="44EA773B"/>
    <w:multiLevelType w:val="hybridMultilevel"/>
    <w:tmpl w:val="F4C24BAE"/>
    <w:lvl w:ilvl="0" w:tplc="89B465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5976DC9"/>
    <w:multiLevelType w:val="hybridMultilevel"/>
    <w:tmpl w:val="12489BB6"/>
    <w:lvl w:ilvl="0" w:tplc="FDF0653E">
      <w:start w:val="1"/>
      <w:numFmt w:val="decimal"/>
      <w:lvlText w:val="%1."/>
      <w:lvlJc w:val="left"/>
      <w:pPr>
        <w:ind w:left="890" w:hanging="765"/>
      </w:pPr>
      <w:rPr>
        <w:rFonts w:eastAsiaTheme="minorHAnsi" w:cstheme="minorBidi"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4" w15:restartNumberingAfterBreak="0">
    <w:nsid w:val="45E234CC"/>
    <w:multiLevelType w:val="hybridMultilevel"/>
    <w:tmpl w:val="801E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C27BAD"/>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4E8E6286"/>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00F0A7B"/>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2C10BDA"/>
    <w:multiLevelType w:val="hybridMultilevel"/>
    <w:tmpl w:val="473898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9"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961651"/>
    <w:multiLevelType w:val="hybridMultilevel"/>
    <w:tmpl w:val="F97A429A"/>
    <w:lvl w:ilvl="0" w:tplc="358A58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0E2CFB"/>
    <w:multiLevelType w:val="hybridMultilevel"/>
    <w:tmpl w:val="C7A6B428"/>
    <w:lvl w:ilvl="0" w:tplc="0FF0CB5E">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5E48E3"/>
    <w:multiLevelType w:val="hybridMultilevel"/>
    <w:tmpl w:val="A3961944"/>
    <w:lvl w:ilvl="0" w:tplc="B582B650">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C4A5D40"/>
    <w:multiLevelType w:val="hybridMultilevel"/>
    <w:tmpl w:val="64A6C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D8052A9"/>
    <w:multiLevelType w:val="hybridMultilevel"/>
    <w:tmpl w:val="A52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3534D9"/>
    <w:multiLevelType w:val="hybridMultilevel"/>
    <w:tmpl w:val="28F24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C66784"/>
    <w:multiLevelType w:val="hybridMultilevel"/>
    <w:tmpl w:val="3F2AB9D6"/>
    <w:lvl w:ilvl="0" w:tplc="826CDB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5B7C95"/>
    <w:multiLevelType w:val="hybridMultilevel"/>
    <w:tmpl w:val="7CC64E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4144F8"/>
    <w:multiLevelType w:val="hybridMultilevel"/>
    <w:tmpl w:val="2D3A54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2"/>
  </w:num>
  <w:num w:numId="2">
    <w:abstractNumId w:val="48"/>
  </w:num>
  <w:num w:numId="3">
    <w:abstractNumId w:val="3"/>
  </w:num>
  <w:num w:numId="4">
    <w:abstractNumId w:val="33"/>
  </w:num>
  <w:num w:numId="5">
    <w:abstractNumId w:val="16"/>
  </w:num>
  <w:num w:numId="6">
    <w:abstractNumId w:val="8"/>
  </w:num>
  <w:num w:numId="7">
    <w:abstractNumId w:val="12"/>
  </w:num>
  <w:num w:numId="8">
    <w:abstractNumId w:val="19"/>
  </w:num>
  <w:num w:numId="9">
    <w:abstractNumId w:val="20"/>
  </w:num>
  <w:num w:numId="10">
    <w:abstractNumId w:val="34"/>
  </w:num>
  <w:num w:numId="11">
    <w:abstractNumId w:val="45"/>
  </w:num>
  <w:num w:numId="12">
    <w:abstractNumId w:val="22"/>
  </w:num>
  <w:num w:numId="13">
    <w:abstractNumId w:val="29"/>
  </w:num>
  <w:num w:numId="14">
    <w:abstractNumId w:val="0"/>
  </w:num>
  <w:num w:numId="15">
    <w:abstractNumId w:val="37"/>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1"/>
  </w:num>
  <w:num w:numId="19">
    <w:abstractNumId w:val="5"/>
  </w:num>
  <w:num w:numId="20">
    <w:abstractNumId w:val="4"/>
  </w:num>
  <w:num w:numId="21">
    <w:abstractNumId w:val="35"/>
  </w:num>
  <w:num w:numId="22">
    <w:abstractNumId w:val="36"/>
  </w:num>
  <w:num w:numId="23">
    <w:abstractNumId w:val="9"/>
  </w:num>
  <w:num w:numId="24">
    <w:abstractNumId w:val="23"/>
  </w:num>
  <w:num w:numId="25">
    <w:abstractNumId w:val="17"/>
  </w:num>
  <w:num w:numId="26">
    <w:abstractNumId w:val="13"/>
  </w:num>
  <w:num w:numId="27">
    <w:abstractNumId w:val="10"/>
  </w:num>
  <w:num w:numId="28">
    <w:abstractNumId w:val="41"/>
  </w:num>
  <w:num w:numId="29">
    <w:abstractNumId w:val="24"/>
  </w:num>
  <w:num w:numId="30">
    <w:abstractNumId w:val="44"/>
  </w:num>
  <w:num w:numId="31">
    <w:abstractNumId w:val="18"/>
  </w:num>
  <w:num w:numId="32">
    <w:abstractNumId w:val="39"/>
  </w:num>
  <w:num w:numId="33">
    <w:abstractNumId w:val="14"/>
  </w:num>
  <w:num w:numId="34">
    <w:abstractNumId w:val="6"/>
  </w:num>
  <w:num w:numId="35">
    <w:abstractNumId w:val="38"/>
  </w:num>
  <w:num w:numId="36">
    <w:abstractNumId w:val="26"/>
  </w:num>
  <w:num w:numId="37">
    <w:abstractNumId w:val="30"/>
  </w:num>
  <w:num w:numId="38">
    <w:abstractNumId w:val="11"/>
  </w:num>
  <w:num w:numId="39">
    <w:abstractNumId w:val="7"/>
  </w:num>
  <w:num w:numId="40">
    <w:abstractNumId w:val="31"/>
  </w:num>
  <w:num w:numId="41">
    <w:abstractNumId w:val="47"/>
  </w:num>
  <w:num w:numId="42">
    <w:abstractNumId w:val="43"/>
  </w:num>
  <w:num w:numId="43">
    <w:abstractNumId w:val="40"/>
  </w:num>
  <w:num w:numId="44">
    <w:abstractNumId w:val="25"/>
  </w:num>
  <w:num w:numId="45">
    <w:abstractNumId w:val="15"/>
  </w:num>
  <w:num w:numId="46">
    <w:abstractNumId w:val="32"/>
  </w:num>
  <w:num w:numId="47">
    <w:abstractNumId w:val="28"/>
  </w:num>
  <w:num w:numId="48">
    <w:abstractNumId w:val="46"/>
  </w:num>
  <w:num w:numId="49">
    <w:abstractNumId w:val="4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97CED-980C-4A06-B056-9A88F023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p1,Bullet1"/>
    <w:basedOn w:val="Normal"/>
    <w:link w:val="ListParagraphChar"/>
    <w:uiPriority w:val="34"/>
    <w:qFormat/>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99"/>
    <w:qFormat/>
    <w:rPr>
      <w:rFonts w:ascii="Calibri" w:eastAsia="Calibri" w:hAnsi="Calibri" w:cs="Times New Roma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Emphasis">
    <w:name w:val="Emphasis"/>
    <w:uiPriority w:val="20"/>
    <w:qFormat/>
    <w:rPr>
      <w:i/>
      <w:iCs/>
    </w:rPr>
  </w:style>
  <w:style w:type="character" w:customStyle="1" w:styleId="normChar">
    <w:name w:val="norm Char"/>
    <w:link w:val="norm"/>
    <w:locked/>
    <w:rPr>
      <w:rFonts w:ascii="Arial Armenian" w:eastAsia="Times New Roman" w:hAnsi="Arial Armenian"/>
    </w:rPr>
  </w:style>
  <w:style w:type="paragraph" w:customStyle="1" w:styleId="norm">
    <w:name w:val="norm"/>
    <w:basedOn w:val="Normal"/>
    <w:link w:val="normChar"/>
    <w:pPr>
      <w:spacing w:after="0" w:line="480" w:lineRule="auto"/>
      <w:ind w:firstLine="709"/>
      <w:jc w:val="both"/>
    </w:pPr>
    <w:rPr>
      <w:rFonts w:ascii="Arial Armenian" w:eastAsia="Times New Roman" w:hAnsi="Arial Armenian"/>
    </w:rPr>
  </w:style>
  <w:style w:type="character" w:styleId="IntenseEmphasis">
    <w:name w:val="Intense Emphasis"/>
    <w:basedOn w:val="DefaultParagraphFont"/>
    <w:uiPriority w:val="21"/>
    <w:qFormat/>
    <w:rPr>
      <w:i/>
      <w:iCs/>
      <w:color w:val="5B9BD5" w:themeColor="accent1"/>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uiPriority w:val="99"/>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qFormat/>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pPr>
      <w:spacing w:line="240" w:lineRule="exact"/>
      <w:jc w:val="both"/>
    </w:pPr>
    <w:rPr>
      <w:vertAlign w:val="superscript"/>
    </w:rPr>
  </w:style>
  <w:style w:type="character" w:styleId="Hyperlink">
    <w:name w:val="Hyperlink"/>
    <w:basedOn w:val="DefaultParagraphFont"/>
    <w:uiPriority w:val="99"/>
    <w:unhideWhenUsed/>
    <w:rPr>
      <w:color w:val="0563C1" w:themeColor="hyperlink"/>
      <w:u w:val="single"/>
    </w:rPr>
  </w:style>
  <w:style w:type="paragraph" w:styleId="BodyText">
    <w:name w:val="Body Text"/>
    <w:basedOn w:val="Normal"/>
    <w:link w:val="BodyTextChar"/>
    <w:unhideWhenUse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Pr>
      <w:rFonts w:ascii="Calibri" w:eastAsia="Calibri" w:hAnsi="Calibri" w:cs="Times New Roman"/>
      <w:lang w:val="ru-RU"/>
    </w:rPr>
  </w:style>
  <w:style w:type="paragraph" w:customStyle="1" w:styleId="gmail-msocommenttext">
    <w:name w:val="gmail-msocommenttext"/>
    <w:basedOn w:val="Normal"/>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cs="Times New Roman"/>
      <w:sz w:val="24"/>
      <w:szCs w:val="24"/>
      <w:lang w:eastAsia="zh-CN"/>
    </w:rPr>
  </w:style>
  <w:style w:type="character" w:customStyle="1" w:styleId="mechtex0">
    <w:name w:val="mechtex Знак"/>
    <w:locked/>
    <w:rPr>
      <w:rFonts w:ascii="Arial Armenian" w:eastAsia="Times New Roman" w:hAnsi="Arial Armenian" w:cs="Times New Roman"/>
      <w:szCs w:val="20"/>
      <w:lang w:eastAsia="ru-R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4779">
      <w:bodyDiv w:val="1"/>
      <w:marLeft w:val="0"/>
      <w:marRight w:val="0"/>
      <w:marTop w:val="0"/>
      <w:marBottom w:val="0"/>
      <w:divBdr>
        <w:top w:val="none" w:sz="0" w:space="0" w:color="auto"/>
        <w:left w:val="none" w:sz="0" w:space="0" w:color="auto"/>
        <w:bottom w:val="none" w:sz="0" w:space="0" w:color="auto"/>
        <w:right w:val="none" w:sz="0" w:space="0" w:color="auto"/>
      </w:divBdr>
    </w:div>
    <w:div w:id="199755559">
      <w:bodyDiv w:val="1"/>
      <w:marLeft w:val="0"/>
      <w:marRight w:val="0"/>
      <w:marTop w:val="0"/>
      <w:marBottom w:val="0"/>
      <w:divBdr>
        <w:top w:val="none" w:sz="0" w:space="0" w:color="auto"/>
        <w:left w:val="none" w:sz="0" w:space="0" w:color="auto"/>
        <w:bottom w:val="none" w:sz="0" w:space="0" w:color="auto"/>
        <w:right w:val="none" w:sz="0" w:space="0" w:color="auto"/>
      </w:divBdr>
    </w:div>
    <w:div w:id="388039625">
      <w:bodyDiv w:val="1"/>
      <w:marLeft w:val="0"/>
      <w:marRight w:val="0"/>
      <w:marTop w:val="0"/>
      <w:marBottom w:val="0"/>
      <w:divBdr>
        <w:top w:val="none" w:sz="0" w:space="0" w:color="auto"/>
        <w:left w:val="none" w:sz="0" w:space="0" w:color="auto"/>
        <w:bottom w:val="none" w:sz="0" w:space="0" w:color="auto"/>
        <w:right w:val="none" w:sz="0" w:space="0" w:color="auto"/>
      </w:divBdr>
    </w:div>
    <w:div w:id="763453152">
      <w:bodyDiv w:val="1"/>
      <w:marLeft w:val="0"/>
      <w:marRight w:val="0"/>
      <w:marTop w:val="0"/>
      <w:marBottom w:val="0"/>
      <w:divBdr>
        <w:top w:val="none" w:sz="0" w:space="0" w:color="auto"/>
        <w:left w:val="none" w:sz="0" w:space="0" w:color="auto"/>
        <w:bottom w:val="none" w:sz="0" w:space="0" w:color="auto"/>
        <w:right w:val="none" w:sz="0" w:space="0" w:color="auto"/>
      </w:divBdr>
      <w:divsChild>
        <w:div w:id="686640834">
          <w:marLeft w:val="0"/>
          <w:marRight w:val="0"/>
          <w:marTop w:val="0"/>
          <w:marBottom w:val="0"/>
          <w:divBdr>
            <w:top w:val="none" w:sz="0" w:space="0" w:color="auto"/>
            <w:left w:val="none" w:sz="0" w:space="0" w:color="auto"/>
            <w:bottom w:val="none" w:sz="0" w:space="0" w:color="auto"/>
            <w:right w:val="none" w:sz="0" w:space="0" w:color="auto"/>
          </w:divBdr>
          <w:divsChild>
            <w:div w:id="8778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96415">
      <w:bodyDiv w:val="1"/>
      <w:marLeft w:val="0"/>
      <w:marRight w:val="0"/>
      <w:marTop w:val="0"/>
      <w:marBottom w:val="0"/>
      <w:divBdr>
        <w:top w:val="none" w:sz="0" w:space="0" w:color="auto"/>
        <w:left w:val="none" w:sz="0" w:space="0" w:color="auto"/>
        <w:bottom w:val="none" w:sz="0" w:space="0" w:color="auto"/>
        <w:right w:val="none" w:sz="0" w:space="0" w:color="auto"/>
      </w:divBdr>
    </w:div>
    <w:div w:id="1291548684">
      <w:bodyDiv w:val="1"/>
      <w:marLeft w:val="0"/>
      <w:marRight w:val="0"/>
      <w:marTop w:val="0"/>
      <w:marBottom w:val="0"/>
      <w:divBdr>
        <w:top w:val="none" w:sz="0" w:space="0" w:color="auto"/>
        <w:left w:val="none" w:sz="0" w:space="0" w:color="auto"/>
        <w:bottom w:val="none" w:sz="0" w:space="0" w:color="auto"/>
        <w:right w:val="none" w:sz="0" w:space="0" w:color="auto"/>
      </w:divBdr>
    </w:div>
    <w:div w:id="1296332298">
      <w:bodyDiv w:val="1"/>
      <w:marLeft w:val="0"/>
      <w:marRight w:val="0"/>
      <w:marTop w:val="0"/>
      <w:marBottom w:val="0"/>
      <w:divBdr>
        <w:top w:val="none" w:sz="0" w:space="0" w:color="auto"/>
        <w:left w:val="none" w:sz="0" w:space="0" w:color="auto"/>
        <w:bottom w:val="none" w:sz="0" w:space="0" w:color="auto"/>
        <w:right w:val="none" w:sz="0" w:space="0" w:color="auto"/>
      </w:divBdr>
      <w:divsChild>
        <w:div w:id="1841384573">
          <w:marLeft w:val="0"/>
          <w:marRight w:val="0"/>
          <w:marTop w:val="0"/>
          <w:marBottom w:val="0"/>
          <w:divBdr>
            <w:top w:val="none" w:sz="0" w:space="0" w:color="auto"/>
            <w:left w:val="none" w:sz="0" w:space="0" w:color="auto"/>
            <w:bottom w:val="none" w:sz="0" w:space="0" w:color="auto"/>
            <w:right w:val="none" w:sz="0" w:space="0" w:color="auto"/>
          </w:divBdr>
          <w:divsChild>
            <w:div w:id="15418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83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20058-7AE9-412B-B8A0-D1E9BE1D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37</Pages>
  <Words>8152</Words>
  <Characters>46471</Characters>
  <Application>Microsoft Office Word</Application>
  <DocSecurity>0</DocSecurity>
  <Lines>387</Lines>
  <Paragraphs>109</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54514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https://mul2.gov.am/tasks/673762/oneclick/ampopatert  -traf.chaporoshich.docx?token=62eb3b377b88e3b4b577aee7cbaf7573</cp:keywords>
  <dc:description/>
  <cp:lastModifiedBy>Ani.Sahakyan</cp:lastModifiedBy>
  <cp:revision>450</cp:revision>
  <cp:lastPrinted>2021-06-11T12:20:00Z</cp:lastPrinted>
  <dcterms:created xsi:type="dcterms:W3CDTF">2022-07-12T07:21:00Z</dcterms:created>
  <dcterms:modified xsi:type="dcterms:W3CDTF">2022-09-14T11:20:00Z</dcterms:modified>
</cp:coreProperties>
</file>