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0" w:line="360" w:lineRule="auto"/>
        <w:ind w:firstLine="375"/>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ԱՄՓՈՓԱԹԵՐԹ</w:t>
      </w:r>
    </w:p>
    <w:p>
      <w:pPr>
        <w:shd w:val="clear" w:color="auto" w:fill="FFFFFF"/>
        <w:spacing w:after="0" w:line="360" w:lineRule="auto"/>
        <w:ind w:firstLine="375"/>
        <w:jc w:val="center"/>
        <w:rPr>
          <w:rFonts w:ascii="GHEA Grapalat" w:eastAsia="Times New Roman" w:hAnsi="GHEA Grapalat" w:cs="Times New Roman"/>
          <w:b/>
          <w:color w:val="000000"/>
          <w:sz w:val="24"/>
          <w:szCs w:val="24"/>
        </w:rPr>
      </w:pPr>
      <w:r>
        <w:rPr>
          <w:rFonts w:ascii="Calibri" w:eastAsia="Times New Roman" w:hAnsi="Calibri" w:cs="Calibri"/>
          <w:b/>
          <w:color w:val="000000"/>
          <w:sz w:val="24"/>
          <w:szCs w:val="24"/>
        </w:rPr>
        <w:t>  </w:t>
      </w:r>
    </w:p>
    <w:p>
      <w:pPr>
        <w:shd w:val="clear" w:color="auto" w:fill="FFFFFF"/>
        <w:spacing w:after="0" w:line="360" w:lineRule="auto"/>
        <w:jc w:val="center"/>
        <w:rPr>
          <w:rFonts w:ascii="GHEA Grapalat" w:eastAsia="Times New Roman" w:hAnsi="GHEA Grapalat" w:cs="Times New Roman"/>
          <w:b/>
          <w:bCs/>
          <w:sz w:val="24"/>
          <w:szCs w:val="24"/>
          <w:lang w:val="hy-AM"/>
        </w:rPr>
      </w:pPr>
      <w:r>
        <w:rPr>
          <w:rFonts w:ascii="Calibri" w:eastAsia="Times New Roman" w:hAnsi="Calibri" w:cs="Calibri"/>
          <w:b/>
          <w:bCs/>
          <w:sz w:val="24"/>
          <w:szCs w:val="24"/>
        </w:rPr>
        <w:t> </w:t>
      </w:r>
      <w:r>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rPr>
        <w:t>ՄԱՐԴԿԱՆՑ ԹՐԱՖԻՔԻՆԳԻ և ՇԱՀԱԳՈՐԾՄԱՆ ԶՈՀԵՐԻ ՆՈՒՅՆԱԿԱՆԱՑՄԱՆ ՀԱՆՁՆԱԺՈՂՈՎԻ ԿԱՂՄԻՑ ԱՆՁԻՆ ՈՐՊԵՍ ԶՈՀ ԿԱՄ ՀԱՏՈՒԿ ԿԱՏԵԳՈՐԻԱՅԻ ԶՈՀ ՆՈՒՅՆԱՑՆԵԼՈՒ ՑՈՒՑԻՉՆԵՐԸ ՀԱՍՏԱՏԵԼՈՒ ՄԱՍԻՆ</w:t>
      </w:r>
      <w:r>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rPr>
        <w:t xml:space="preserve"> ԿԱՌԱՎԱՐՈՒԹՅԱՆ ՈՐՈՇՄԱՆ ՆԱԽԱԳ</w:t>
      </w:r>
      <w:r>
        <w:rPr>
          <w:rFonts w:ascii="GHEA Grapalat" w:hAnsi="GHEA Grapalat"/>
          <w:b/>
          <w:color w:val="000000"/>
          <w:sz w:val="24"/>
          <w:szCs w:val="24"/>
          <w:shd w:val="clear" w:color="auto" w:fill="FFFFFF"/>
          <w:lang w:val="hy-AM"/>
        </w:rPr>
        <w:t>ԾԻ</w:t>
      </w:r>
    </w:p>
    <w:tbl>
      <w:tblPr>
        <w:tblW w:w="12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362"/>
        <w:gridCol w:w="35"/>
        <w:gridCol w:w="4501"/>
        <w:gridCol w:w="54"/>
      </w:tblGrid>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rPr>
              <w:t>1.</w:t>
            </w:r>
            <w:r>
              <w:rPr>
                <w:rFonts w:ascii="GHEA Grapalat" w:hAnsi="GHEA Grapalat"/>
                <w:b/>
                <w:sz w:val="24"/>
                <w:szCs w:val="24"/>
                <w:lang w:val="hy-AM"/>
              </w:rPr>
              <w:t xml:space="preserve"> ՀՀ Առողջապահության նախարարություն</w:t>
            </w:r>
          </w:p>
          <w:p>
            <w:pPr>
              <w:spacing w:after="0" w:line="360" w:lineRule="auto"/>
              <w:jc w:val="center"/>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30</w:t>
            </w:r>
            <w:r>
              <w:rPr>
                <w:rFonts w:ascii="GHEA Grapalat" w:eastAsia="Times New Roman" w:hAnsi="GHEA Grapalat" w:cs="Times New Roman"/>
                <w:b/>
                <w:color w:val="000000"/>
                <w:sz w:val="24"/>
                <w:szCs w:val="24"/>
              </w:rPr>
              <w:t>.06.2022թ.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ԱԱ/02.1/15996-2022</w:t>
            </w:r>
          </w:p>
        </w:tc>
      </w:tr>
      <w:tr>
        <w:trPr>
          <w:trHeight w:val="428"/>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 Հավելվածի 7-րդ կետի 7-րդ ենթակետի բ. պարբերությունում, 9-րդ կետի 9-րդ ենթակետում «ալկոհոլ» բառը, իսկ 9-րդ կետի 2-րդ ենթակետում</w:t>
            </w:r>
            <w:r>
              <w:rPr>
                <w:rFonts w:ascii="Calibri" w:eastAsia="Calibri" w:hAnsi="Calibri" w:cs="Times New Roman"/>
                <w:lang w:val="hy-AM"/>
              </w:rPr>
              <w:t xml:space="preserve"> </w:t>
            </w:r>
            <w:r>
              <w:rPr>
                <w:rFonts w:ascii="Sylfaen" w:eastAsia="Calibri" w:hAnsi="Sylfaen" w:cs="Times New Roman"/>
                <w:lang w:val="hy-AM"/>
              </w:rPr>
              <w:t>«</w:t>
            </w:r>
            <w:r>
              <w:rPr>
                <w:rFonts w:ascii="GHEA Grapalat" w:eastAsia="Times New Roman" w:hAnsi="GHEA Grapalat" w:cs="Times New Roman"/>
                <w:sz w:val="24"/>
                <w:szCs w:val="24"/>
                <w:lang w:val="hy-AM"/>
              </w:rPr>
              <w:t>խմիչքի կամ ալկոհոլի» բառերը փոխարինել «ալկոհոլային խմիչք» բառերով:</w:t>
            </w: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2. Հավելվածի 8-րդ կետի 6-րդ ենթակետի ա. պարբերությունում նշվում է կենդանի դոնորին վերաբերելի դրույթ, մինչդեռ բ., գ., դ., ե., զ. պարբերություններում պարզ չէ, թե ներկայացված ցուցիչները ում են վերաբերում, ուստի անհրաժեշտ է հստակեցնել:</w:t>
            </w:r>
          </w:p>
          <w:p>
            <w:pPr>
              <w:shd w:val="clear" w:color="auto" w:fill="FFFFFF"/>
              <w:spacing w:after="0" w:line="360" w:lineRule="auto"/>
              <w:jc w:val="both"/>
              <w:rPr>
                <w:rFonts w:ascii="GHEA Grapalat" w:eastAsia="Times New Roman" w:hAnsi="GHEA Grapalat" w:cs="Times New Roman"/>
                <w:sz w:val="24"/>
                <w:szCs w:val="24"/>
                <w:lang w:val="hy-AM"/>
              </w:rPr>
            </w:pPr>
          </w:p>
          <w:p>
            <w:pPr>
              <w:shd w:val="clear" w:color="auto" w:fill="FFFFFF"/>
              <w:spacing w:after="0" w:line="360" w:lineRule="auto"/>
              <w:jc w:val="both"/>
              <w:rPr>
                <w:rFonts w:ascii="GHEA Grapalat" w:eastAsia="Times New Roman" w:hAnsi="GHEA Grapalat" w:cs="Times New Roman"/>
                <w:sz w:val="24"/>
                <w:szCs w:val="24"/>
                <w:lang w:val="hy-AM"/>
              </w:rPr>
            </w:pP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3. Հավելվածի 8-րդ կետի 6-րդ ենթակետի բ. պարբերությունում «չներկայացված» բառը փոխարինել «չնախատեսված» բառով: </w:t>
            </w: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4. Հավելվածի 9-րդ կետի 9-րդ ենթակետում </w:t>
            </w:r>
            <w:r>
              <w:rPr>
                <w:rFonts w:ascii="GHEA Grapalat" w:eastAsia="Calibri" w:hAnsi="GHEA Grapalat" w:cs="Times New Roman"/>
                <w:sz w:val="24"/>
                <w:szCs w:val="24"/>
                <w:lang w:val="hy-AM"/>
              </w:rPr>
              <w:t>«թմրամիջոց» բառը փոխարինել</w:t>
            </w:r>
            <w:r>
              <w:rPr>
                <w:rFonts w:ascii="GHEA Grapalat" w:eastAsia="Times New Roman" w:hAnsi="GHEA Grapalat" w:cs="Times New Roman"/>
                <w:sz w:val="24"/>
                <w:szCs w:val="24"/>
                <w:lang w:val="hy-AM"/>
              </w:rPr>
              <w:t xml:space="preserve"> «</w:t>
            </w:r>
            <w:bookmarkStart w:id="0" w:name="_Hlk109075982"/>
            <w:r>
              <w:rPr>
                <w:rFonts w:ascii="GHEA Grapalat" w:eastAsia="Times New Roman" w:hAnsi="GHEA Grapalat" w:cs="Times New Roman"/>
                <w:sz w:val="24"/>
                <w:szCs w:val="24"/>
                <w:lang w:val="hy-AM"/>
              </w:rPr>
              <w:t>թմրամիջոցներ և/կամ հոգեմետ (հոգեներգործուն) նյութեր</w:t>
            </w:r>
            <w:bookmarkEnd w:id="0"/>
            <w:r>
              <w:rPr>
                <w:rFonts w:ascii="GHEA Grapalat" w:eastAsia="Times New Roman" w:hAnsi="GHEA Grapalat" w:cs="Times New Roman"/>
                <w:sz w:val="24"/>
                <w:szCs w:val="24"/>
                <w:lang w:val="hy-AM"/>
              </w:rPr>
              <w:t>» բառերով:</w:t>
            </w: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5. Հավելվածի 9-րդ կետի 8-րդ ենթակետի «երեխայի իրազեկվածություն սեռական կյանքի և սեռական հարաբերության մասին» արտահայտությունը կարիք ունի խմբագրման, քանի որ համաձայն «Մարդու վերարտադրողական առողջության և վերարտադրողական իրավունքների մասին» ՀՀ օրենքի Հոդված 5-ի դեռահասներն իրավունք ունեն. </w:t>
            </w: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1) սեռական դաստիարակության, ինչպես նաև սեռական և վերարտադրողական առողջության պահպանման. </w:t>
            </w: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 իրազեկ լինել սեռական հասունացման, սեռական և վերարտադրողական առողջությանը վերաբերող հարցերին, ունենալ անհրաժեշտ գիտելիքներ հղիության արհեստական ընդհատման, սեռավարակների, այդ թվում՝ մարդու իմունային անբավարարության վարակի (ՄԻԱՎ) կանխարգելման ժամանակակից միջոցների վերաբերյալ:</w:t>
            </w:r>
          </w:p>
          <w:p>
            <w:pPr>
              <w:shd w:val="clear" w:color="auto" w:fill="FFFFFF"/>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Միաժամանակ, նախագծով նախատեսված է հաստատել նույնացման հանձնաժողովի կողմից անձին որպես զոհ կամ հատուկ կատեգորիայի զոհ նույնացնելու միայն ցուցիչները` ըստ լիազորող նորմի, մինչդեռ հավելվածի 1-5-րդ կետերը ավելի շատ վերաբերում են հանձնաժողովի գործունեության կարգին, իսկ ցուցիչները թվարկված են 6-8րդ կետերում:       </w:t>
            </w:r>
          </w:p>
          <w:p>
            <w:pPr>
              <w:spacing w:after="0" w:line="360" w:lineRule="auto"/>
              <w:jc w:val="center"/>
              <w:rPr>
                <w:rFonts w:ascii="GHEA Grapalat" w:hAnsi="GHEA Grapalat"/>
                <w:sz w:val="24"/>
                <w:szCs w:val="24"/>
                <w:lang w:val="hy-AM"/>
              </w:rPr>
            </w:pPr>
          </w:p>
        </w:tc>
        <w:tc>
          <w:tcPr>
            <w:tcW w:w="4590" w:type="dxa"/>
            <w:gridSpan w:val="3"/>
            <w:tcBorders>
              <w:top w:val="outset" w:sz="6" w:space="0" w:color="auto"/>
              <w:left w:val="nil"/>
              <w:bottom w:val="outset" w:sz="6" w:space="0" w:color="auto"/>
              <w:right w:val="outset" w:sz="6" w:space="0" w:color="auto"/>
            </w:tcBorders>
            <w:shd w:val="clear" w:color="auto" w:fill="FFFFFF"/>
            <w:hideMark/>
          </w:tcPr>
          <w:p>
            <w:pPr>
              <w:pStyle w:val="ListParagraph"/>
              <w:numPr>
                <w:ilvl w:val="0"/>
                <w:numId w:val="45"/>
              </w:numPr>
              <w:spacing w:after="0" w:line="360" w:lineRule="auto"/>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lastRenderedPageBreak/>
              <w:t>Ընդունվել է, կատարվել է համապատասխան փոփոխություն:</w:t>
            </w: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cs="Times New Roman"/>
                <w:bCs/>
                <w:color w:val="000000"/>
                <w:sz w:val="24"/>
                <w:szCs w:val="24"/>
                <w:lang w:val="hy-AM"/>
              </w:rPr>
            </w:pPr>
          </w:p>
          <w:p>
            <w:pPr>
              <w:pStyle w:val="ListParagraph"/>
              <w:numPr>
                <w:ilvl w:val="0"/>
                <w:numId w:val="45"/>
              </w:numPr>
              <w:spacing w:after="0" w:line="360" w:lineRule="auto"/>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Ընդունվել է, </w:t>
            </w:r>
            <w:r>
              <w:rPr>
                <w:rFonts w:ascii="GHEA Grapalat" w:eastAsia="Times New Roman" w:hAnsi="GHEA Grapalat"/>
                <w:sz w:val="24"/>
                <w:szCs w:val="24"/>
                <w:lang w:val="hy-AM"/>
              </w:rPr>
              <w:t>«</w:t>
            </w:r>
            <w:r>
              <w:rPr>
                <w:rFonts w:ascii="GHEA Grapalat" w:eastAsia="Times New Roman" w:hAnsi="GHEA Grapalat"/>
                <w:bCs/>
                <w:color w:val="000000"/>
                <w:sz w:val="24"/>
                <w:szCs w:val="24"/>
                <w:lang w:val="hy-AM"/>
              </w:rPr>
              <w:t>ա</w:t>
            </w:r>
            <w:r>
              <w:rPr>
                <w:rFonts w:ascii="GHEA Grapalat" w:eastAsia="Times New Roman" w:hAnsi="GHEA Grapalat"/>
                <w:sz w:val="24"/>
                <w:szCs w:val="24"/>
                <w:lang w:val="hy-AM"/>
              </w:rPr>
              <w:t>»</w:t>
            </w:r>
            <w:r>
              <w:rPr>
                <w:rFonts w:ascii="GHEA Grapalat" w:eastAsia="Times New Roman" w:hAnsi="GHEA Grapalat"/>
                <w:bCs/>
                <w:color w:val="000000"/>
                <w:sz w:val="24"/>
                <w:szCs w:val="24"/>
                <w:lang w:val="hy-AM"/>
              </w:rPr>
              <w:t xml:space="preserve"> պարբերության «կենդանի դոնորից» բառակապկցությունը նշվել է 6-րդ ենթակետում՝ որպեսզի վերաբերելի լինի բոլոր պարբերություններին:</w:t>
            </w:r>
          </w:p>
          <w:p>
            <w:pPr>
              <w:pStyle w:val="ListParagraph"/>
              <w:numPr>
                <w:ilvl w:val="0"/>
                <w:numId w:val="45"/>
              </w:numPr>
              <w:spacing w:after="0" w:line="360" w:lineRule="auto"/>
              <w:ind w:left="136" w:firstLine="284"/>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lastRenderedPageBreak/>
              <w:t>Ընդունվել է, կատարվել է համապատասխան փոփոխություն:</w:t>
            </w:r>
          </w:p>
          <w:p>
            <w:pPr>
              <w:pStyle w:val="ListParagraph"/>
              <w:numPr>
                <w:ilvl w:val="0"/>
                <w:numId w:val="45"/>
              </w:numPr>
              <w:spacing w:after="0" w:line="360" w:lineRule="auto"/>
              <w:ind w:left="136" w:firstLine="284"/>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մասնակի, «և» շաղկապը չի կիրառվել:</w:t>
            </w:r>
          </w:p>
          <w:p>
            <w:pPr>
              <w:pStyle w:val="ListParagraph"/>
              <w:spacing w:after="0" w:line="360" w:lineRule="auto"/>
              <w:ind w:left="136" w:firstLine="284"/>
              <w:rPr>
                <w:rFonts w:ascii="GHEA Grapalat" w:eastAsia="Times New Roman" w:hAnsi="GHEA Grapalat"/>
                <w:bCs/>
                <w:color w:val="000000"/>
                <w:sz w:val="24"/>
                <w:szCs w:val="24"/>
                <w:lang w:val="hy-AM"/>
              </w:rPr>
            </w:pPr>
          </w:p>
          <w:p>
            <w:pPr>
              <w:pStyle w:val="ListParagraph"/>
              <w:numPr>
                <w:ilvl w:val="0"/>
                <w:numId w:val="45"/>
              </w:numPr>
              <w:spacing w:after="0" w:line="360" w:lineRule="auto"/>
              <w:ind w:left="136" w:firstLine="284"/>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ենթակետում լրացվել են «</w:t>
            </w:r>
            <w:r>
              <w:rPr>
                <w:rFonts w:ascii="GHEA Grapalat" w:hAnsi="GHEA Grapalat"/>
                <w:sz w:val="24"/>
                <w:szCs w:val="24"/>
                <w:lang w:val="hy-AM"/>
              </w:rPr>
              <w:t>իր տարիքին ոչ համապատասխան</w:t>
            </w:r>
            <w:r>
              <w:rPr>
                <w:rFonts w:ascii="GHEA Grapalat" w:eastAsia="Times New Roman" w:hAnsi="GHEA Grapalat"/>
                <w:bCs/>
                <w:color w:val="000000"/>
                <w:sz w:val="24"/>
                <w:szCs w:val="24"/>
                <w:lang w:val="hy-AM"/>
              </w:rPr>
              <w:t>» բառերը:</w:t>
            </w:r>
          </w:p>
          <w:p>
            <w:pPr>
              <w:pStyle w:val="ListParagraph"/>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rPr>
                <w:rFonts w:ascii="GHEA Grapalat" w:eastAsia="Times New Roman" w:hAnsi="GHEA Grapalat"/>
                <w:bCs/>
                <w:color w:val="000000"/>
                <w:sz w:val="24"/>
                <w:szCs w:val="24"/>
                <w:lang w:val="hy-AM"/>
              </w:rPr>
            </w:pPr>
          </w:p>
          <w:p>
            <w:pPr>
              <w:spacing w:after="0" w:line="360" w:lineRule="auto"/>
              <w:ind w:left="136" w:firstLine="142"/>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Չի ընդունվել: </w:t>
            </w:r>
          </w:p>
          <w:p>
            <w:pPr>
              <w:spacing w:after="0" w:line="360" w:lineRule="auto"/>
              <w:ind w:left="136" w:firstLine="142"/>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Հավելվածի 1-5 կետերով ոչ թե նախատեսվում է հանձնաժողովի գործունեությունը, այլ ներկայացվում են ցուցիչների տեսակները, դրանց խմբավորումները, դասակարգումը, դրանց հնարավոր համակցությունները՝ ըստ զոհերի կամ հատուկ կատեգորիայի զոհերի: Ավելին, առանց ներկայացնելու </w:t>
            </w:r>
            <w:r>
              <w:rPr>
                <w:rFonts w:ascii="GHEA Grapalat" w:hAnsi="GHEA Grapalat"/>
                <w:sz w:val="24"/>
                <w:szCs w:val="24"/>
                <w:lang w:val="hy-AM"/>
              </w:rPr>
              <w:t xml:space="preserve">մարդկանց թրաֆիքինգը կամ շահագործումը բնութագրող գործողություններին, կատարման եղանակներին և շահագործման ձևերին վերաբերող առանձին ցուցիչներն ու դրանց մեկ միասնականություն լինելը, հնարավոր չէ պարզել ցուցիչների թե՛ </w:t>
            </w:r>
            <w:r>
              <w:rPr>
                <w:rFonts w:ascii="GHEA Grapalat" w:hAnsi="GHEA Grapalat"/>
                <w:sz w:val="24"/>
                <w:szCs w:val="24"/>
                <w:lang w:val="hy-AM"/>
              </w:rPr>
              <w:lastRenderedPageBreak/>
              <w:t>դասակարգման տրամաբանությունը, թե՛ կիրառումը, թե՛ որոշ դեպքերում ցուցիչների կրկնության կամ հակառակը՝ չկրկնվելու հանգամանքը:</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2. </w:t>
            </w:r>
            <w:r>
              <w:rPr>
                <w:rFonts w:ascii="GHEA Grapalat" w:hAnsi="GHEA Grapalat"/>
                <w:b/>
                <w:sz w:val="24"/>
                <w:szCs w:val="24"/>
                <w:lang w:val="hy-AM"/>
              </w:rPr>
              <w:t>ՀՀ  Արտաքին գործերի նախարարություն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30.06.2022թ.</w:t>
            </w:r>
          </w:p>
        </w:tc>
      </w:tr>
      <w:tr>
        <w:trPr>
          <w:trHeight w:val="88"/>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1110/28823-22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pStyle w:val="BodyText"/>
              <w:spacing w:after="0" w:line="360" w:lineRule="auto"/>
              <w:ind w:firstLine="737"/>
              <w:jc w:val="both"/>
              <w:rPr>
                <w:rFonts w:ascii="GHEA Grapalat" w:hAnsi="GHEA Grapalat"/>
                <w:sz w:val="24"/>
                <w:szCs w:val="24"/>
                <w:lang w:val="hy-AM"/>
              </w:rPr>
            </w:pPr>
            <w:r>
              <w:rPr>
                <w:rFonts w:ascii="GHEA Grapalat" w:eastAsia="Times New Roman" w:hAnsi="GHEA Grapalat"/>
                <w:sz w:val="24"/>
                <w:szCs w:val="24"/>
                <w:lang w:val="hy-AM"/>
              </w:rPr>
              <w:t xml:space="preserve">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 ՀՀ Արդարադատության նախարարություն</w:t>
            </w:r>
          </w:p>
          <w:p>
            <w:pPr>
              <w:spacing w:after="0" w:line="360" w:lineRule="auto"/>
              <w:ind w:left="360" w:firstLine="360"/>
              <w:jc w:val="both"/>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01.07.2022</w:t>
            </w:r>
            <w:r>
              <w:rPr>
                <w:rFonts w:ascii="GHEA Grapalat" w:eastAsia="Times New Roman" w:hAnsi="GHEA Grapalat" w:cs="Times New Roman"/>
                <w:b/>
                <w:color w:val="000000"/>
                <w:sz w:val="24"/>
                <w:szCs w:val="24"/>
                <w:lang w:val="ru-RU"/>
              </w:rPr>
              <w:t>թ</w:t>
            </w:r>
            <w:r>
              <w:rPr>
                <w:rFonts w:ascii="GHEA Grapalat" w:eastAsia="Times New Roman" w:hAnsi="GHEA Grapalat" w:cs="Times New Roman"/>
                <w:b/>
                <w:color w:val="000000"/>
                <w:sz w:val="24"/>
                <w:szCs w:val="24"/>
              </w:rPr>
              <w:t>.</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/01/14.1/28886-2022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pStyle w:val="Style5"/>
              <w:widowControl/>
              <w:spacing w:line="360" w:lineRule="auto"/>
              <w:ind w:firstLine="540"/>
              <w:rPr>
                <w:rFonts w:ascii="GHEA Grapalat" w:hAnsi="GHEA Grapalat" w:cs="Sylfaen"/>
                <w:noProof/>
                <w:color w:val="000000" w:themeColor="text1"/>
                <w:lang w:val="hy-AM"/>
              </w:rPr>
            </w:pPr>
            <w:r>
              <w:rPr>
                <w:rFonts w:ascii="GHEA Grapalat" w:hAnsi="GHEA Grapalat" w:cs="Sylfaen"/>
                <w:noProof/>
                <w:color w:val="000000" w:themeColor="text1"/>
                <w:lang w:val="hy-AM"/>
              </w:rPr>
              <w:t>ՀՀ արդարադատության նախարարության կողմից ուսումնասիրվել է «</w:t>
            </w:r>
            <w:r>
              <w:rPr>
                <w:rFonts w:ascii="GHEA Grapalat" w:hAnsi="GHEA Grapalat" w:cs="Sylfaen"/>
                <w:lang w:val="hy-AM"/>
              </w:rPr>
              <w:t>Մարդկանց թրաֆիքինգի և շահագործման զոհերի նույնացման հանձնաժողովի կողմից անձին որպես զոհ կամ հատուկ կատեգորիայի զոհ նույնացնելու ցուցիչները հաստատելու մասին» ՀՀ կառավարության որոշման նախագիծը</w:t>
            </w:r>
            <w:r>
              <w:rPr>
                <w:rFonts w:ascii="GHEA Grapalat" w:hAnsi="GHEA Grapalat" w:cs="Sylfaen"/>
                <w:noProof/>
                <w:color w:val="000000" w:themeColor="text1"/>
                <w:lang w:val="hy-AM"/>
              </w:rPr>
              <w:t xml:space="preserve"> (այսուհետ՝ Նախագիծ):</w:t>
            </w:r>
          </w:p>
          <w:p>
            <w:pPr>
              <w:pStyle w:val="Style5"/>
              <w:widowControl/>
              <w:spacing w:line="360" w:lineRule="auto"/>
              <w:ind w:firstLine="540"/>
              <w:rPr>
                <w:rFonts w:ascii="GHEA Grapalat" w:hAnsi="GHEA Grapalat" w:cs="Sylfaen"/>
                <w:noProof/>
                <w:color w:val="000000" w:themeColor="text1"/>
                <w:lang w:val="hy-AM"/>
              </w:rPr>
            </w:pPr>
            <w:r>
              <w:rPr>
                <w:rFonts w:ascii="GHEA Grapalat" w:hAnsi="GHEA Grapalat" w:cs="Sylfaen"/>
                <w:noProof/>
                <w:color w:val="000000" w:themeColor="text1"/>
                <w:lang w:val="hy-AM"/>
              </w:rPr>
              <w:t>Ուսումնասիրության արդյունքներով հայտնում ենք հետևյալը.</w:t>
            </w:r>
          </w:p>
          <w:p>
            <w:pPr>
              <w:pStyle w:val="Style5"/>
              <w:widowControl/>
              <w:spacing w:line="360" w:lineRule="auto"/>
              <w:ind w:firstLine="540"/>
              <w:rPr>
                <w:rFonts w:ascii="GHEA Grapalat" w:hAnsi="GHEA Grapalat" w:cs="Sylfaen"/>
                <w:noProof/>
                <w:color w:val="000000" w:themeColor="text1"/>
                <w:lang w:val="hy-AM"/>
              </w:rPr>
            </w:pPr>
            <w:r>
              <w:rPr>
                <w:rFonts w:ascii="GHEA Grapalat" w:hAnsi="GHEA Grapalat" w:cs="Sylfaen"/>
                <w:noProof/>
                <w:color w:val="000000" w:themeColor="text1"/>
                <w:lang w:val="hy-AM"/>
              </w:rPr>
              <w:t xml:space="preserve">1) Նախագծով հաստատվող հավելվածի 7-րդ կետի 7-րդ ենթակետի </w:t>
            </w:r>
            <w:bookmarkStart w:id="1" w:name="_Hlk109076655"/>
            <w:r>
              <w:rPr>
                <w:rFonts w:ascii="GHEA Grapalat" w:hAnsi="GHEA Grapalat"/>
                <w:lang w:val="hy-AM"/>
              </w:rPr>
              <w:t xml:space="preserve">«ժա», «ժբ», «ժզ» </w:t>
            </w:r>
            <w:bookmarkEnd w:id="1"/>
            <w:r>
              <w:rPr>
                <w:rFonts w:ascii="GHEA Grapalat" w:hAnsi="GHEA Grapalat"/>
                <w:lang w:val="hy-AM"/>
              </w:rPr>
              <w:t xml:space="preserve">պարբերություններով նախատեսված են համապատասխանաբար՝ «իշխանության չարաշահում», «իշխանության </w:t>
            </w:r>
            <w:r>
              <w:rPr>
                <w:rFonts w:ascii="GHEA Grapalat" w:hAnsi="GHEA Grapalat"/>
                <w:lang w:val="hy-AM"/>
              </w:rPr>
              <w:lastRenderedPageBreak/>
              <w:t>վերազանցում» և «անհիմն կամ օրենսդրությամբ չներկայացված կարգապահական պատասխանատվության կամ պատժի կիրառում» ցուցիչները:</w:t>
            </w:r>
          </w:p>
          <w:p>
            <w:pPr>
              <w:pStyle w:val="Style5"/>
              <w:widowControl/>
              <w:spacing w:line="360" w:lineRule="auto"/>
              <w:ind w:firstLine="540"/>
              <w:rPr>
                <w:rFonts w:ascii="GHEA Grapalat" w:hAnsi="GHEA Grapalat" w:cs="Sylfaen"/>
                <w:noProof/>
                <w:color w:val="000000" w:themeColor="text1"/>
                <w:lang w:val="hy-AM"/>
              </w:rPr>
            </w:pPr>
            <w:r>
              <w:rPr>
                <w:rFonts w:ascii="GHEA Grapalat" w:hAnsi="GHEA Grapalat" w:cs="Sylfaen"/>
                <w:noProof/>
                <w:color w:val="000000" w:themeColor="text1"/>
                <w:lang w:val="hy-AM"/>
              </w:rPr>
              <w:t>Այս համատեքստում հարկ է արձանագրել հետևյալը.</w:t>
            </w:r>
          </w:p>
          <w:p>
            <w:pPr>
              <w:pStyle w:val="Style5"/>
              <w:tabs>
                <w:tab w:val="left" w:pos="1170"/>
              </w:tabs>
              <w:spacing w:line="360" w:lineRule="auto"/>
              <w:ind w:firstLine="540"/>
              <w:rPr>
                <w:rFonts w:ascii="GHEA Grapalat" w:hAnsi="GHEA Grapalat"/>
                <w:lang w:val="hy-AM"/>
              </w:rPr>
            </w:pPr>
            <w:r>
              <w:rPr>
                <w:rFonts w:ascii="GHEA Grapalat" w:hAnsi="GHEA Grapalat"/>
                <w:lang w:val="hy-AM"/>
              </w:rPr>
              <w:t xml:space="preserve">Վերոհիշյալ կարգավորումները նույնական են և համընկնում են ՀՀ քրեական օրենսդրությամբ նախատեսված մի շարք հանցագործությունների հետ, մասնավորապես՝ այս պահին գործող ՀՀ քրեական օրենսգիրքի 308-րդ հոդվածը պատասխանատվություն է նախատեսում պաշտոնեական լիազորությունները չարաշահելու համար, իսկ նույն օրենսգրքի 309-րդ հոդվածը՝ պաշտոնեական լիազորություններն անցնելու համար, իսկ ՀՀ քրեական նոր օրենսգրքի 441-րդ հոդվածը պատասխանատվություն է նախատեսում պաշտոնատար անձի կողմից </w:t>
            </w:r>
            <w:bookmarkStart w:id="2" w:name="_Hlk109076452"/>
            <w:r>
              <w:rPr>
                <w:rFonts w:ascii="GHEA Grapalat" w:hAnsi="GHEA Grapalat"/>
                <w:lang w:val="hy-AM"/>
              </w:rPr>
              <w:t>իշխանական կամ ծառայողական լիազորությունները կամ դրանցով պայմանավորված ազդեցությունը չարաշահելու կամ լիազորություններն անցնելու համար</w:t>
            </w:r>
            <w:bookmarkEnd w:id="2"/>
            <w:r>
              <w:rPr>
                <w:rFonts w:ascii="GHEA Grapalat" w:hAnsi="GHEA Grapalat"/>
                <w:lang w:val="hy-AM"/>
              </w:rPr>
              <w:t>:</w:t>
            </w:r>
          </w:p>
          <w:p>
            <w:pPr>
              <w:pStyle w:val="Style5"/>
              <w:tabs>
                <w:tab w:val="left" w:pos="1170"/>
              </w:tabs>
              <w:spacing w:line="360" w:lineRule="auto"/>
              <w:ind w:firstLine="540"/>
              <w:rPr>
                <w:rFonts w:ascii="GHEA Grapalat" w:hAnsi="GHEA Grapalat" w:cs="Sylfaen"/>
                <w:noProof/>
                <w:color w:val="000000" w:themeColor="text1"/>
                <w:lang w:val="hy-AM"/>
              </w:rPr>
            </w:pPr>
            <w:r>
              <w:rPr>
                <w:rFonts w:ascii="GHEA Grapalat" w:hAnsi="GHEA Grapalat"/>
                <w:lang w:val="hy-AM"/>
              </w:rPr>
              <w:t xml:space="preserve"> Այսպիսի պայմաններում սույն որոշմամբ նման ձևակերպումներ նախատեսելը կարող է գործնականում խնդրահարույց իրավիճակ առաջացնել և փաստացի հակասել քրեաիրավական նորմերի ձևակերպումներին:</w:t>
            </w:r>
          </w:p>
          <w:p>
            <w:pPr>
              <w:pStyle w:val="Style5"/>
              <w:widowControl/>
              <w:spacing w:line="360" w:lineRule="auto"/>
              <w:ind w:firstLine="540"/>
              <w:rPr>
                <w:rFonts w:ascii="GHEA Grapalat" w:hAnsi="GHEA Grapalat"/>
                <w:lang w:val="hy-AM"/>
              </w:rPr>
            </w:pPr>
            <w:r>
              <w:rPr>
                <w:rFonts w:ascii="GHEA Grapalat" w:hAnsi="GHEA Grapalat" w:cs="Sylfaen"/>
                <w:noProof/>
                <w:lang w:val="hy-AM"/>
              </w:rPr>
              <w:lastRenderedPageBreak/>
              <w:t xml:space="preserve">2. </w:t>
            </w:r>
            <w:r>
              <w:rPr>
                <w:rFonts w:ascii="GHEA Grapalat" w:hAnsi="GHEA Grapalat"/>
                <w:lang w:val="hy-AM"/>
              </w:rPr>
              <w:t>Նախագծի 8-րդ կետի 1-ին ենթակետի «ե» պարբերությամբ նախատեսված է հետևյալը ցուցիչը՝ «սեռական ծառայությունների համար վարձատրության բացակայություն կամ դրա չնչինություն», իսկ «զ» պարբերությունը՝ «սեռական ծառայության համար վճարված գումարների չփոխանցում անձին՝ խաբեությամբ, պատճառված ենթադրյալ վնասի, հաճախորդի դժգոհության պատճառով կամ այլ պատրվակներով» ցուցիչը:</w:t>
            </w:r>
          </w:p>
          <w:p>
            <w:pPr>
              <w:pStyle w:val="Style5"/>
              <w:widowControl/>
              <w:spacing w:line="360" w:lineRule="auto"/>
              <w:ind w:firstLine="540"/>
              <w:rPr>
                <w:rFonts w:ascii="GHEA Grapalat" w:hAnsi="GHEA Grapalat" w:cs="Sylfaen"/>
                <w:noProof/>
                <w:lang w:val="hy-AM"/>
              </w:rPr>
            </w:pPr>
            <w:r>
              <w:rPr>
                <w:rFonts w:ascii="GHEA Grapalat" w:hAnsi="GHEA Grapalat"/>
                <w:lang w:val="hy-AM"/>
              </w:rPr>
              <w:t>Կարծում ենք, որ նման ձևակերպման ամրագրումը կարող է հակասել վարչաիրավական օրենսդրությանը, քանի որ նման արարքներ կատարելը և դրանց դիմաց վարձատրություն ստանալը իրենից ենթադրում է վարչական պատասխանատվություն նախատեսող արարքի կատարում:</w:t>
            </w:r>
          </w:p>
          <w:p>
            <w:pPr>
              <w:pStyle w:val="Style5"/>
              <w:widowControl/>
              <w:spacing w:line="360" w:lineRule="auto"/>
              <w:ind w:firstLine="540"/>
              <w:rPr>
                <w:rFonts w:ascii="GHEA Grapalat" w:hAnsi="GHEA Grapalat"/>
                <w:lang w:val="hy-AM"/>
              </w:rPr>
            </w:pPr>
          </w:p>
          <w:p>
            <w:pPr>
              <w:pStyle w:val="Style5"/>
              <w:widowControl/>
              <w:spacing w:line="360" w:lineRule="auto"/>
              <w:ind w:firstLine="540"/>
              <w:rPr>
                <w:rFonts w:ascii="GHEA Grapalat" w:hAnsi="GHEA Grapalat"/>
                <w:lang w:val="hy-AM"/>
              </w:rPr>
            </w:pPr>
          </w:p>
          <w:p>
            <w:pPr>
              <w:pStyle w:val="Style5"/>
              <w:widowControl/>
              <w:spacing w:line="360" w:lineRule="auto"/>
              <w:ind w:firstLine="540"/>
              <w:rPr>
                <w:rFonts w:ascii="GHEA Grapalat" w:hAnsi="GHEA Grapalat"/>
                <w:lang w:val="hy-AM"/>
              </w:rPr>
            </w:pPr>
          </w:p>
          <w:p>
            <w:pPr>
              <w:pStyle w:val="Style5"/>
              <w:widowControl/>
              <w:spacing w:line="360" w:lineRule="auto"/>
              <w:ind w:firstLine="540"/>
              <w:rPr>
                <w:rFonts w:ascii="GHEA Grapalat" w:hAnsi="GHEA Grapalat"/>
                <w:lang w:val="hy-AM"/>
              </w:rPr>
            </w:pPr>
          </w:p>
          <w:p>
            <w:pPr>
              <w:pStyle w:val="Style5"/>
              <w:widowControl/>
              <w:spacing w:line="360" w:lineRule="auto"/>
              <w:ind w:firstLine="540"/>
              <w:rPr>
                <w:rFonts w:ascii="GHEA Grapalat" w:hAnsi="GHEA Grapalat"/>
                <w:lang w:val="hy-AM"/>
              </w:rPr>
            </w:pPr>
            <w:r>
              <w:rPr>
                <w:rFonts w:ascii="GHEA Grapalat" w:hAnsi="GHEA Grapalat"/>
                <w:lang w:val="hy-AM"/>
              </w:rPr>
              <w:t>3. Նախագծի 8-րդ կետի 6-րդ ենթակետերի համալիր վերլուծությամբ կարելի է գալ այն եզրահանգման, որ թրաֆիքինգի զոհ կարող է դիտվել նաև այն անձը, ում  բջիջը, օրգանը, հյուսվածքը, կենսաբանական նյութերը կամ հեղուկները վերցվել, օգտագործվել են օրենսդրության խախտմամբ:</w:t>
            </w:r>
          </w:p>
          <w:p>
            <w:pPr>
              <w:pStyle w:val="Style5"/>
              <w:widowControl/>
              <w:spacing w:line="360" w:lineRule="auto"/>
              <w:ind w:firstLine="540"/>
              <w:rPr>
                <w:rFonts w:ascii="GHEA Grapalat" w:hAnsi="GHEA Grapalat" w:cs="Sylfaen"/>
                <w:noProof/>
                <w:lang w:val="hy-AM"/>
              </w:rPr>
            </w:pPr>
            <w:r>
              <w:rPr>
                <w:rFonts w:ascii="GHEA Grapalat" w:hAnsi="GHEA Grapalat" w:cs="Sylfaen"/>
                <w:noProof/>
                <w:lang w:val="hy-AM"/>
              </w:rPr>
              <w:lastRenderedPageBreak/>
              <w:t>Հարկ ենք համարում նշել, որ խնդրո առարկա արարքները նկարագրված են այս պահին գործող ՀՀ քրեական օրենսգրքի 125.1.-րդ հոդվածի և ՀՀ քրեական նոր օրենսգրքի 183-րդ հոդվածի դիսպոզիցիաներում և ըստ էության նման արարքի կատարումը իրենից ենթադրում է մեկ այլ հանցակազմ:</w:t>
            </w:r>
          </w:p>
          <w:p>
            <w:pPr>
              <w:spacing w:after="0" w:line="360" w:lineRule="auto"/>
              <w:ind w:firstLine="375"/>
              <w:jc w:val="both"/>
              <w:rPr>
                <w:rFonts w:ascii="GHEA Grapalat" w:hAnsi="GHEA Grapalat" w:cs="Tahoma"/>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both"/>
              <w:rPr>
                <w:rFonts w:ascii="GHEA Grapalat" w:eastAsia="Times New Roman" w:hAnsi="GHEA Grapalat" w:cs="GHEA Grapalat"/>
                <w:color w:val="000000"/>
                <w:sz w:val="24"/>
                <w:szCs w:val="24"/>
                <w:lang w:val="hy-AM"/>
              </w:rPr>
            </w:pPr>
          </w:p>
          <w:p>
            <w:pPr>
              <w:spacing w:after="0" w:line="360" w:lineRule="auto"/>
              <w:jc w:val="both"/>
              <w:rPr>
                <w:rFonts w:ascii="GHEA Grapalat" w:eastAsia="Times New Roman" w:hAnsi="GHEA Grapalat" w:cs="GHEA Grapalat"/>
                <w:color w:val="000000"/>
                <w:sz w:val="24"/>
                <w:szCs w:val="24"/>
                <w:lang w:val="hy-AM"/>
              </w:rPr>
            </w:pPr>
          </w:p>
          <w:p>
            <w:pPr>
              <w:spacing w:after="0" w:line="360" w:lineRule="auto"/>
              <w:jc w:val="both"/>
              <w:rPr>
                <w:rFonts w:ascii="GHEA Grapalat" w:eastAsia="Times New Roman" w:hAnsi="GHEA Grapalat" w:cs="GHEA Grapalat"/>
                <w:color w:val="000000"/>
                <w:sz w:val="24"/>
                <w:szCs w:val="24"/>
                <w:lang w:val="hy-AM"/>
              </w:rPr>
            </w:pPr>
          </w:p>
          <w:p>
            <w:pPr>
              <w:spacing w:after="0" w:line="360" w:lineRule="auto"/>
              <w:jc w:val="both"/>
              <w:rPr>
                <w:rFonts w:ascii="GHEA Grapalat" w:eastAsia="Times New Roman" w:hAnsi="GHEA Grapalat" w:cs="GHEA Grapalat"/>
                <w:color w:val="000000"/>
                <w:sz w:val="24"/>
                <w:szCs w:val="24"/>
                <w:lang w:val="hy-AM"/>
              </w:rPr>
            </w:pPr>
          </w:p>
          <w:p>
            <w:pPr>
              <w:spacing w:after="0" w:line="360" w:lineRule="auto"/>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pStyle w:val="ListParagraph"/>
              <w:numPr>
                <w:ilvl w:val="0"/>
                <w:numId w:val="42"/>
              </w:numPr>
              <w:tabs>
                <w:tab w:val="left" w:pos="636"/>
              </w:tabs>
              <w:spacing w:after="0" w:line="360" w:lineRule="auto"/>
              <w:ind w:left="0" w:firstLine="396"/>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 xml:space="preserve">Ընդունվել է մասնակի, </w:t>
            </w:r>
            <w:r>
              <w:rPr>
                <w:rFonts w:ascii="GHEA Grapalat" w:hAnsi="GHEA Grapalat"/>
                <w:sz w:val="24"/>
                <w:szCs w:val="24"/>
                <w:lang w:val="hy-AM"/>
              </w:rPr>
              <w:t xml:space="preserve">«ժա» և «ժբ» պարբերությունները </w:t>
            </w:r>
            <w:r>
              <w:rPr>
                <w:rFonts w:ascii="GHEA Grapalat" w:hAnsi="GHEA Grapalat"/>
                <w:sz w:val="24"/>
                <w:szCs w:val="24"/>
                <w:lang w:val="hy-AM"/>
              </w:rPr>
              <w:lastRenderedPageBreak/>
              <w:t>վերածմբագրվել են ՀՀ քրեական նոր օրենսգրքի ձևակերպումներին համապատասխան, իսկ «ժզ» պարբերությունը մնացել է անփոփոխ</w:t>
            </w: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tabs>
                <w:tab w:val="left" w:pos="636"/>
              </w:tabs>
              <w:spacing w:after="0" w:line="360" w:lineRule="auto"/>
              <w:ind w:firstLine="396"/>
              <w:jc w:val="both"/>
              <w:rPr>
                <w:rFonts w:ascii="GHEA Grapalat" w:eastAsia="Times New Roman" w:hAnsi="GHEA Grapalat" w:cs="GHEA Grapalat"/>
                <w:color w:val="000000"/>
                <w:sz w:val="24"/>
                <w:szCs w:val="24"/>
                <w:lang w:val="hy-AM"/>
              </w:rPr>
            </w:pPr>
          </w:p>
          <w:p>
            <w:pPr>
              <w:pStyle w:val="ListParagraph"/>
              <w:numPr>
                <w:ilvl w:val="0"/>
                <w:numId w:val="42"/>
              </w:numPr>
              <w:tabs>
                <w:tab w:val="left" w:pos="636"/>
              </w:tabs>
              <w:spacing w:after="0" w:line="360" w:lineRule="auto"/>
              <w:ind w:left="0" w:firstLine="396"/>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 xml:space="preserve">Չի ընդունվել: Անկախ պոռնկությամբ զբաղվելու՝ վարչական իրավախախտում լինելու հանգամանքից, այն իրենից ներկայացնում է շահագործման ձև, որի պարտադիր հատկանիշներից է </w:t>
            </w:r>
            <w:r>
              <w:rPr>
                <w:rFonts w:ascii="GHEA Grapalat" w:hAnsi="GHEA Grapalat"/>
                <w:color w:val="000000"/>
                <w:sz w:val="24"/>
                <w:szCs w:val="24"/>
                <w:shd w:val="clear" w:color="auto" w:fill="FFFFFF"/>
                <w:lang w:val="hy-AM"/>
              </w:rPr>
              <w:t>վարձատրության, այլ հատուցման կամ դրանց խոստման առկայությունը, որոնք ամրագրված են նաև ՀՀ քրեական նոր օրենսգրքի 3-րդ հոդվածում: Հետևաբար պոռնկության հիմնական հատկանիշների՝ որպես ցուցիչ չնախատեսելը, կհանգեցնի թերի նույնացման կամ առհասարակ նույնացման ենթակա զոհի չնույնացման, իսկ նման մոտեցումն անթույալատրելի է:</w:t>
            </w:r>
          </w:p>
          <w:p>
            <w:pPr>
              <w:pStyle w:val="ListParagraph"/>
              <w:numPr>
                <w:ilvl w:val="0"/>
                <w:numId w:val="42"/>
              </w:numPr>
              <w:spacing w:after="0"/>
              <w:jc w:val="both"/>
              <w:rPr>
                <w:rFonts w:ascii="GHEA Grapalat" w:hAnsi="GHEA Grapalat"/>
                <w:sz w:val="24"/>
                <w:szCs w:val="24"/>
                <w:lang w:val="hy-AM"/>
              </w:rPr>
            </w:pPr>
            <w:r>
              <w:rPr>
                <w:rFonts w:ascii="GHEA Grapalat" w:hAnsi="GHEA Grapalat"/>
                <w:sz w:val="24"/>
                <w:szCs w:val="24"/>
                <w:lang w:val="hy-AM"/>
              </w:rPr>
              <w:t>Չի ընդունվել:</w:t>
            </w:r>
          </w:p>
          <w:p>
            <w:pPr>
              <w:pStyle w:val="ListParagraph"/>
              <w:tabs>
                <w:tab w:val="left" w:pos="396"/>
              </w:tabs>
              <w:spacing w:after="0" w:line="360" w:lineRule="auto"/>
              <w:ind w:left="112" w:firstLine="248"/>
              <w:jc w:val="both"/>
              <w:rPr>
                <w:rFonts w:ascii="GHEA Grapalat" w:eastAsia="Times New Roman" w:hAnsi="GHEA Grapalat" w:cs="GHEA Grapalat"/>
                <w:color w:val="000000"/>
                <w:sz w:val="24"/>
                <w:szCs w:val="24"/>
                <w:lang w:val="hy-AM"/>
              </w:rPr>
            </w:pPr>
            <w:r>
              <w:rPr>
                <w:rFonts w:ascii="GHEA Grapalat" w:hAnsi="GHEA Grapalat"/>
                <w:sz w:val="24"/>
                <w:szCs w:val="24"/>
                <w:lang w:val="hy-AM"/>
              </w:rPr>
              <w:lastRenderedPageBreak/>
              <w:t xml:space="preserve">Սույն նախագծով չի քննարկվում հանցագործությունների տարանջատումը, որը քրեական օրենսդրության լուծման խնդրո առարկա է, և եթե ՀՀ քրեական թե՛ նախկին, թե՛ նոր օրենսգրքերը նախատեսում են 2 տարբեր հանցակազմեր, տրամաբանական է, որ առկա են նաև դրանց սահմանազատման ու տարբերակման իրավական հիմքերը: Ններկայացված հանցակազմերն իրարից տարբերվում են ըստ հանցագործության օբյեկտի, օբյեկըիվ և սուբյեկտիվ կողմերի: Քննարկվող նախագծով սահմանվում է զոհի կամ հատուկ կատեգորիայի զոհի նույնացումը, ինչը պետք է իրականացվի հավելվածի 1-5 կետերում </w:t>
            </w:r>
            <w:r>
              <w:rPr>
                <w:rFonts w:ascii="GHEA Grapalat" w:hAnsi="GHEA Grapalat"/>
                <w:sz w:val="24"/>
                <w:szCs w:val="24"/>
                <w:lang w:val="hy-AM"/>
              </w:rPr>
              <w:lastRenderedPageBreak/>
              <w:t>նշված ցուցիչների դասակարգումը և համակցման հնարավորությունը հաշվի առնելով և վերլուծելով կոնկրետ ցուցիչը: Բջիջը, օրգանը հյուսվածքը, կենսաբանական նյութերը կամ հեղուկները վերցվելու շահագործման ձևի ցուցիչները դիտարկվելու են գործողությունների և կատարման եղանակների կամ միջոցների ցուցիչների հետ համատեղ և միայն այդ դեպքում հնարավորություն կընձեռեն նույնացնել զոհին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rPr>
              <w:lastRenderedPageBreak/>
              <w:t>4</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rPr>
              <w:t xml:space="preserve">ՀՀ </w:t>
            </w:r>
            <w:r>
              <w:rPr>
                <w:rFonts w:ascii="GHEA Grapalat" w:eastAsia="Times New Roman" w:hAnsi="GHEA Grapalat" w:cs="Times New Roman"/>
                <w:b/>
                <w:sz w:val="24"/>
                <w:szCs w:val="24"/>
                <w:lang w:val="hy-AM"/>
              </w:rPr>
              <w:t>Ֆինանսների նախարարություն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10.</w:t>
            </w:r>
            <w:r>
              <w:rPr>
                <w:rFonts w:ascii="GHEA Grapalat" w:eastAsia="Times New Roman" w:hAnsi="GHEA Grapalat" w:cs="Times New Roman"/>
                <w:b/>
                <w:color w:val="000000"/>
                <w:sz w:val="24"/>
                <w:szCs w:val="24"/>
              </w:rPr>
              <w:t>12</w:t>
            </w:r>
            <w:r>
              <w:rPr>
                <w:rFonts w:ascii="GHEA Grapalat" w:eastAsia="Times New Roman" w:hAnsi="GHEA Grapalat" w:cs="Times New Roman"/>
                <w:b/>
                <w:color w:val="000000"/>
                <w:sz w:val="24"/>
                <w:szCs w:val="24"/>
                <w:lang w:val="hy-AM"/>
              </w:rPr>
              <w:t>.2021թ.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01/11-4/20264-2021</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rPr>
                <w:rFonts w:ascii="GHEA Grapalat" w:eastAsia="Times New Roman" w:hAnsi="GHEA Grapalat"/>
                <w:sz w:val="24"/>
                <w:szCs w:val="24"/>
              </w:rPr>
            </w:pPr>
            <w:r>
              <w:rPr>
                <w:rFonts w:ascii="GHEA Grapalat" w:eastAsia="Times New Roman" w:hAnsi="GHEA Grapalat"/>
                <w:sz w:val="24"/>
                <w:szCs w:val="24"/>
              </w:rPr>
              <w:t xml:space="preserve">           </w:t>
            </w:r>
            <w:r>
              <w:rPr>
                <w:rFonts w:ascii="GHEA Grapalat" w:eastAsia="Times New Roman" w:hAnsi="GHEA Grapalat"/>
                <w:sz w:val="24"/>
                <w:szCs w:val="24"/>
                <w:lang w:val="hy-AM"/>
              </w:rPr>
              <w:t>Դիտողություններ և առաջարկություններ չկան</w:t>
            </w:r>
            <w:r>
              <w:rPr>
                <w:rFonts w:ascii="GHEA Grapalat" w:eastAsia="Times New Roman" w:hAnsi="GHEA Grapalat"/>
                <w:sz w:val="24"/>
                <w:szCs w:val="24"/>
              </w:rPr>
              <w:t>:</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tabs>
                <w:tab w:val="left" w:pos="1080"/>
              </w:tabs>
              <w:spacing w:after="0"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5. ՀՀ Կրթության, գիտության, մշակույթի և սպորտի </w:t>
            </w:r>
          </w:p>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նախարարություն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04.</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w:t>
            </w:r>
            <w:r>
              <w:rPr>
                <w:rFonts w:ascii="GHEA Grapalat" w:eastAsia="Times New Roman" w:hAnsi="GHEA Grapalat" w:cs="Times New Roman"/>
                <w:b/>
                <w:color w:val="000000"/>
                <w:sz w:val="24"/>
                <w:szCs w:val="24"/>
              </w:rPr>
              <w:t>21</w:t>
            </w:r>
            <w:r>
              <w:rPr>
                <w:rFonts w:ascii="GHEA Grapalat" w:eastAsia="Times New Roman" w:hAnsi="GHEA Grapalat" w:cs="Times New Roman"/>
                <w:b/>
                <w:color w:val="000000"/>
                <w:sz w:val="24"/>
                <w:szCs w:val="24"/>
                <w:lang w:val="hy-AM"/>
              </w:rPr>
              <w:t>/15853-2022</w:t>
            </w:r>
          </w:p>
        </w:tc>
      </w:tr>
      <w:tr>
        <w:trPr>
          <w:gridAfter w:val="1"/>
          <w:wAfter w:w="54" w:type="dxa"/>
          <w:trHeight w:val="360"/>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tabs>
                <w:tab w:val="left" w:pos="709"/>
                <w:tab w:val="left" w:pos="993"/>
                <w:tab w:val="left" w:pos="1276"/>
              </w:tabs>
              <w:spacing w:after="0" w:line="360" w:lineRule="auto"/>
              <w:ind w:firstLine="567"/>
              <w:jc w:val="both"/>
              <w:rPr>
                <w:rFonts w:ascii="GHEA Grapalat" w:hAnsi="GHEA Grapalat"/>
                <w:sz w:val="24"/>
                <w:szCs w:val="24"/>
                <w:lang w:val="hy-AM"/>
              </w:rPr>
            </w:pPr>
            <w:r>
              <w:rPr>
                <w:rFonts w:ascii="GHEA Grapalat" w:eastAsia="Calibri" w:hAnsi="GHEA Grapalat" w:cs="Sylfaen"/>
                <w:sz w:val="24"/>
                <w:szCs w:val="24"/>
                <w:lang w:val="hy-AM"/>
              </w:rPr>
              <w:lastRenderedPageBreak/>
              <w:t xml:space="preserve">  Ի պատասխան Ձեր` ս/թ հունիսի 24-ի թիվ </w:t>
            </w:r>
            <w:r>
              <w:rPr>
                <w:rFonts w:ascii="GHEA Grapalat" w:eastAsia="Calibri" w:hAnsi="GHEA Grapalat" w:cs="Sylfaen"/>
                <w:color w:val="000000"/>
                <w:sz w:val="24"/>
                <w:szCs w:val="24"/>
                <w:shd w:val="clear" w:color="auto" w:fill="FFFFFF"/>
                <w:lang w:val="hy-AM"/>
              </w:rPr>
              <w:t>ՄՆ</w:t>
            </w:r>
            <w:r>
              <w:rPr>
                <w:rFonts w:ascii="GHEA Grapalat" w:eastAsia="Calibri" w:hAnsi="GHEA Grapalat" w:cs="Times New Roman"/>
                <w:color w:val="000000"/>
                <w:sz w:val="24"/>
                <w:szCs w:val="24"/>
                <w:shd w:val="clear" w:color="auto" w:fill="FFFFFF"/>
                <w:lang w:val="hy-AM"/>
              </w:rPr>
              <w:t>/</w:t>
            </w:r>
            <w:r>
              <w:rPr>
                <w:rFonts w:ascii="GHEA Grapalat" w:eastAsia="Calibri" w:hAnsi="GHEA Grapalat" w:cs="Sylfaen"/>
                <w:color w:val="000000"/>
                <w:sz w:val="24"/>
                <w:szCs w:val="24"/>
                <w:shd w:val="clear" w:color="auto" w:fill="FFFFFF"/>
                <w:lang w:val="hy-AM"/>
              </w:rPr>
              <w:t>ՔՀ</w:t>
            </w:r>
            <w:r>
              <w:rPr>
                <w:rFonts w:ascii="GHEA Grapalat" w:eastAsia="Calibri" w:hAnsi="GHEA Grapalat" w:cs="Times New Roman"/>
                <w:color w:val="000000"/>
                <w:sz w:val="24"/>
                <w:szCs w:val="24"/>
                <w:shd w:val="clear" w:color="auto" w:fill="FFFFFF"/>
                <w:lang w:val="hy-AM"/>
              </w:rPr>
              <w:t xml:space="preserve">-4-2/16657-2022 </w:t>
            </w:r>
            <w:r>
              <w:rPr>
                <w:rFonts w:ascii="GHEA Grapalat" w:eastAsia="Calibri" w:hAnsi="GHEA Grapalat" w:cs="Sylfaen"/>
                <w:sz w:val="24"/>
                <w:szCs w:val="24"/>
                <w:lang w:val="hy-AM"/>
              </w:rPr>
              <w:t xml:space="preserve">գրության, </w:t>
            </w:r>
            <w:r>
              <w:rPr>
                <w:rFonts w:ascii="GHEA Grapalat" w:eastAsia="Calibri" w:hAnsi="GHEA Grapalat" w:cs="Times New Roman"/>
                <w:sz w:val="24"/>
                <w:szCs w:val="24"/>
                <w:lang w:val="hy-AM"/>
              </w:rPr>
              <w:t xml:space="preserve">առաջարկում ենք «Մարդկանց թրաֆիքինգի և շահագործման զոհերի նույնացման հանձնաժողովի </w:t>
            </w:r>
            <w:r>
              <w:rPr>
                <w:rFonts w:ascii="GHEA Grapalat" w:eastAsia="Calibri" w:hAnsi="GHEA Grapalat" w:cs="Times New Roman"/>
                <w:sz w:val="24"/>
                <w:szCs w:val="24"/>
                <w:shd w:val="clear" w:color="auto" w:fill="FFFFFF"/>
                <w:lang w:val="hy-AM"/>
              </w:rPr>
              <w:t>կողմից անձին որպես զոհ կամ հատուկ կատեգորիայի զոհ նույնացնելու ցուցիչները հաստատելու մասին</w:t>
            </w:r>
            <w:r>
              <w:rPr>
                <w:rFonts w:ascii="GHEA Grapalat" w:eastAsia="Calibri" w:hAnsi="GHEA Grapalat" w:cs="Times New Roman"/>
                <w:sz w:val="24"/>
                <w:szCs w:val="24"/>
                <w:lang w:val="hy-AM"/>
              </w:rPr>
              <w:t>» ՀՀ կառավարության որոշման նախագծի հավելվածի 9-րդ</w:t>
            </w:r>
            <w:r>
              <w:rPr>
                <w:rFonts w:ascii="GHEA Grapalat" w:eastAsia="Calibri" w:hAnsi="GHEA Grapalat" w:cs="Sylfaen"/>
                <w:sz w:val="24"/>
                <w:szCs w:val="24"/>
                <w:lang w:val="hy-AM"/>
              </w:rPr>
              <w:t>`</w:t>
            </w:r>
            <w:r>
              <w:rPr>
                <w:rFonts w:ascii="GHEA Grapalat" w:eastAsia="Calibri" w:hAnsi="GHEA Grapalat" w:cs="Times New Roman"/>
                <w:sz w:val="24"/>
                <w:szCs w:val="24"/>
                <w:lang w:val="hy-AM"/>
              </w:rPr>
              <w:t xml:space="preserve"> «Հատուկ կատեգորիայի զոհերի վերաբերյալ  6-րդ և 8-րդ կետերում ներկայացված ցուցիչներից զատ, կիրառելի են նաև հետևյալ ցուցիչները» կետի 3-րդ ենթակետը շարադրել հետևյալ կերպ. «</w:t>
            </w:r>
            <w:bookmarkStart w:id="3" w:name="_Hlk109077286"/>
            <w:r>
              <w:rPr>
                <w:rFonts w:ascii="GHEA Grapalat" w:eastAsia="Calibri" w:hAnsi="GHEA Grapalat" w:cs="Times New Roman"/>
                <w:sz w:val="24"/>
                <w:szCs w:val="24"/>
                <w:lang w:val="hy-AM"/>
              </w:rPr>
              <w:t>3) երեխայի կրթություն ստանալու իրավունքի բացառում</w:t>
            </w:r>
            <w:bookmarkEnd w:id="3"/>
            <w:r>
              <w:rPr>
                <w:rFonts w:ascii="GHEA Grapalat" w:eastAsia="Calibri" w:hAnsi="GHEA Grapalat" w:cs="Times New Roman"/>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tabs>
                <w:tab w:val="left" w:pos="709"/>
                <w:tab w:val="left" w:pos="993"/>
                <w:tab w:val="left" w:pos="1276"/>
              </w:tabs>
              <w:spacing w:after="0" w:line="360" w:lineRule="auto"/>
              <w:ind w:firstLine="396"/>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Cs/>
                <w:color w:val="000000"/>
                <w:sz w:val="24"/>
                <w:szCs w:val="24"/>
                <w:lang w:val="hy-AM"/>
              </w:rPr>
              <w:t>Չի ընդունվել, քանի որ</w:t>
            </w: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Cs/>
                <w:color w:val="000000"/>
                <w:sz w:val="24"/>
                <w:szCs w:val="24"/>
                <w:lang w:val="hy-AM"/>
              </w:rPr>
              <w:t>բացառվում է ոչ թե երեխայի կրթության իրավունքի ստացումը, այլ հենց՝</w:t>
            </w:r>
            <w:r>
              <w:rPr>
                <w:rFonts w:ascii="GHEA Grapalat" w:eastAsia="Times New Roman" w:hAnsi="GHEA Grapalat" w:cs="Times New Roman"/>
                <w:b/>
                <w:color w:val="000000"/>
                <w:sz w:val="24"/>
                <w:szCs w:val="24"/>
                <w:lang w:val="hy-AM"/>
              </w:rPr>
              <w:t xml:space="preserve"> </w:t>
            </w:r>
            <w:r>
              <w:rPr>
                <w:rFonts w:ascii="GHEA Grapalat" w:hAnsi="GHEA Grapalat"/>
                <w:sz w:val="24"/>
                <w:szCs w:val="24"/>
                <w:lang w:val="hy-AM"/>
              </w:rPr>
              <w:t>երեխայի կրթության ստացումը: Այսինքն, պետք է ֆիքսված լինի փաստ՝ կրթության բացառում: Ավելին, նույն տրամաբանությամբ ներկայացված են նաև այլ բարիքների ու արժեքների, այլ ոչ թե դրանց իրավունքի բացառումը:</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6. </w:t>
            </w:r>
            <w:r>
              <w:rPr>
                <w:rFonts w:ascii="GHEA Grapalat" w:hAnsi="GHEA Grapalat"/>
                <w:b/>
                <w:sz w:val="24"/>
                <w:szCs w:val="24"/>
                <w:lang w:val="hy-AM"/>
              </w:rPr>
              <w:t>Ազգային անվտանգության ծառայություն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lang w:val="hy-AM"/>
              </w:rPr>
              <w:t>07</w:t>
            </w:r>
            <w:r>
              <w:rPr>
                <w:rFonts w:ascii="GHEA Grapalat" w:eastAsia="Times New Roman" w:hAnsi="GHEA Grapalat" w:cs="Times New Roman"/>
                <w:b/>
                <w:color w:val="000000"/>
                <w:sz w:val="24"/>
                <w:szCs w:val="24"/>
              </w:rPr>
              <w:t>.2022թ.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rPr>
              <w:t>11/732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ind w:right="599"/>
              <w:jc w:val="both"/>
              <w:rPr>
                <w:rFonts w:ascii="GHEA Grapalat" w:hAnsi="GHEA Grapalat"/>
                <w:sz w:val="24"/>
                <w:szCs w:val="24"/>
                <w:lang w:val="hy-AM"/>
              </w:rPr>
            </w:pPr>
            <w:r>
              <w:rPr>
                <w:rFonts w:ascii="GHEA Grapalat" w:eastAsia="Times New Roman" w:hAnsi="GHEA Grapalat"/>
                <w:sz w:val="24"/>
                <w:szCs w:val="24"/>
                <w:lang w:val="hy-AM"/>
              </w:rPr>
              <w:t xml:space="preserve">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tabs>
                <w:tab w:val="left" w:pos="360"/>
              </w:tabs>
              <w:spacing w:after="0" w:line="360" w:lineRule="auto"/>
              <w:ind w:right="273"/>
              <w:jc w:val="both"/>
              <w:rPr>
                <w:rFonts w:ascii="GHEA Grapalat" w:eastAsia="Times New Roman" w:hAnsi="GHEA Grapalat"/>
                <w:bCs/>
                <w:color w:val="000000"/>
                <w:sz w:val="24"/>
                <w:szCs w:val="24"/>
              </w:rPr>
            </w:pP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 xml:space="preserve">7. </w:t>
            </w:r>
            <w:r>
              <w:rPr>
                <w:rFonts w:ascii="GHEA Grapalat" w:hAnsi="GHEA Grapalat"/>
                <w:b/>
                <w:sz w:val="24"/>
                <w:szCs w:val="24"/>
                <w:lang w:val="hy-AM"/>
              </w:rPr>
              <w:t>ՀՀ Պաշտպանության նախարարություն</w:t>
            </w:r>
          </w:p>
          <w:p>
            <w:pPr>
              <w:spacing w:after="0" w:line="360" w:lineRule="auto"/>
              <w:jc w:val="center"/>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06.</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ՊՆ/510/3212-2022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rPr>
                <w:rFonts w:ascii="GHEA Grapalat" w:hAnsi="GHEA Grapalat"/>
                <w:sz w:val="24"/>
                <w:szCs w:val="24"/>
                <w:lang w:val="hy-AM"/>
              </w:rPr>
            </w:pPr>
            <w:r>
              <w:rPr>
                <w:rFonts w:ascii="GHEA Grapalat" w:eastAsia="Times New Roman" w:hAnsi="GHEA Grapalat" w:cs="Times New Roman"/>
                <w:color w:val="000000"/>
                <w:sz w:val="23"/>
                <w:szCs w:val="23"/>
                <w:lang w:val="hy-AM"/>
              </w:rPr>
              <w:tab/>
            </w:r>
            <w:r>
              <w:rPr>
                <w:lang w:val="hy-AM"/>
              </w:rPr>
              <w:t xml:space="preserve">           </w:t>
            </w:r>
            <w:r>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 xml:space="preserve">8. </w:t>
            </w:r>
            <w:r>
              <w:rPr>
                <w:rFonts w:ascii="GHEA Grapalat" w:hAnsi="GHEA Grapalat"/>
                <w:b/>
                <w:sz w:val="24"/>
                <w:szCs w:val="24"/>
                <w:lang w:val="hy-AM"/>
              </w:rPr>
              <w:t>ՀՀ Ոստիկանություն</w:t>
            </w:r>
          </w:p>
          <w:p>
            <w:pPr>
              <w:spacing w:after="0" w:line="360" w:lineRule="auto"/>
              <w:jc w:val="both"/>
              <w:rPr>
                <w:rStyle w:val="IntenseEmphasis"/>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highlight w:val="green"/>
                <w:lang w:val="hy-AM"/>
              </w:rPr>
            </w:pPr>
            <w:r>
              <w:rPr>
                <w:rFonts w:ascii="GHEA Grapalat" w:eastAsia="Times New Roman" w:hAnsi="GHEA Grapalat" w:cs="Times New Roman"/>
                <w:b/>
                <w:color w:val="000000"/>
                <w:sz w:val="24"/>
                <w:szCs w:val="24"/>
                <w:lang w:val="hy-AM"/>
              </w:rPr>
              <w:t>01.07.2022թ.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highlight w:val="green"/>
                <w:lang w:val="hy-AM"/>
              </w:rPr>
            </w:pPr>
            <w:r>
              <w:rPr>
                <w:rFonts w:ascii="GHEA Grapalat" w:eastAsia="Times New Roman" w:hAnsi="GHEA Grapalat" w:cs="Times New Roman"/>
                <w:b/>
                <w:color w:val="000000"/>
                <w:sz w:val="24"/>
                <w:szCs w:val="24"/>
                <w:lang w:val="hy-AM"/>
              </w:rPr>
              <w:t>N 1/21/58458-22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9. ՀՀ Գլխավոր դատախազություն</w:t>
            </w:r>
          </w:p>
          <w:p>
            <w:pPr>
              <w:spacing w:after="0" w:line="360" w:lineRule="auto"/>
              <w:jc w:val="center"/>
              <w:rPr>
                <w:rFonts w:ascii="GHEA Grapalat" w:eastAsia="Times New Roman" w:hAnsi="GHEA Grapalat" w:cs="Times New Roman"/>
                <w:b/>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04.</w:t>
            </w:r>
            <w:r>
              <w:rPr>
                <w:rFonts w:ascii="GHEA Grapalat" w:eastAsia="Times New Roman" w:hAnsi="GHEA Grapalat" w:cs="Times New Roman"/>
                <w:b/>
                <w:color w:val="000000"/>
                <w:sz w:val="24"/>
                <w:szCs w:val="24"/>
              </w:rPr>
              <w:t>07</w:t>
            </w:r>
            <w:r>
              <w:rPr>
                <w:rFonts w:ascii="GHEA Grapalat" w:eastAsia="Times New Roman" w:hAnsi="GHEA Grapalat" w:cs="Times New Roman"/>
                <w:b/>
                <w:color w:val="000000"/>
                <w:sz w:val="24"/>
                <w:szCs w:val="24"/>
                <w:lang w:val="hy-AM"/>
              </w:rPr>
              <w:t>.2022թ․</w:t>
            </w:r>
          </w:p>
        </w:tc>
      </w:tr>
      <w:tr>
        <w:trPr>
          <w:trHeight w:val="389"/>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02</w:t>
            </w:r>
            <w:r>
              <w:rPr>
                <w:rFonts w:ascii="GHEA Grapalat" w:eastAsia="Times New Roman" w:hAnsi="GHEA Grapalat" w:cs="Times New Roman"/>
                <w:b/>
                <w:color w:val="000000"/>
                <w:sz w:val="24"/>
                <w:szCs w:val="24"/>
                <w:lang w:val="hy-AM"/>
              </w:rPr>
              <w:t>/20.3/9166-2022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 ՀՀ Քննչական կոմիտե</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rPr>
              <w:t>15.07.2022 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07/07/65986-2022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rPr>
                <w:rFonts w:ascii="GHEA Grapalat" w:hAnsi="GHEA Grapalat"/>
                <w:color w:val="000000"/>
                <w:sz w:val="24"/>
                <w:szCs w:val="24"/>
                <w:shd w:val="clear" w:color="auto" w:fill="FFFFFF"/>
                <w:lang w:val="hy-AM"/>
              </w:rPr>
            </w:pPr>
            <w:r>
              <w:rPr>
                <w:rFonts w:ascii="GHEA Grapalat" w:eastAsia="Times New Roman" w:hAnsi="GHEA Grapalat"/>
                <w:sz w:val="24"/>
                <w:szCs w:val="24"/>
                <w:lang w:val="ru-RU"/>
              </w:rPr>
              <w:t xml:space="preserve">           </w:t>
            </w:r>
            <w:r>
              <w:rPr>
                <w:rFonts w:ascii="GHEA Grapalat" w:eastAsia="Times New Roman" w:hAnsi="GHEA Grapalat"/>
                <w:sz w:val="24"/>
                <w:szCs w:val="24"/>
                <w:lang w:val="hy-AM"/>
              </w:rPr>
              <w:t xml:space="preserve">         </w:t>
            </w:r>
            <w:r>
              <w:rPr>
                <w:rFonts w:ascii="GHEA Grapalat" w:eastAsia="Times New Roman" w:hAnsi="GHEA Grapalat"/>
                <w:sz w:val="24"/>
                <w:szCs w:val="24"/>
                <w:lang w:val="ru-RU"/>
              </w:rPr>
              <w:t xml:space="preserve"> </w:t>
            </w:r>
            <w:r>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 ՀՀ Մարդու իրավունքների պաշտպանի գրասենյակ</w:t>
            </w:r>
          </w:p>
          <w:p>
            <w:pPr>
              <w:spacing w:after="0" w:line="360" w:lineRule="auto"/>
              <w:jc w:val="center"/>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ru-RU"/>
              </w:rPr>
            </w:pPr>
            <w:r>
              <w:rPr>
                <w:rFonts w:ascii="GHEA Grapalat" w:eastAsia="Times New Roman" w:hAnsi="GHEA Grapalat" w:cs="Times New Roman"/>
                <w:b/>
                <w:color w:val="000000"/>
                <w:sz w:val="24"/>
                <w:szCs w:val="24"/>
                <w:lang w:val="ru-RU"/>
              </w:rPr>
              <w:t>13.07.2022 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01/1</w:t>
            </w:r>
            <w:r>
              <w:rPr>
                <w:rFonts w:ascii="GHEA Grapalat" w:eastAsia="Times New Roman" w:hAnsi="GHEA Grapalat" w:cs="Times New Roman"/>
                <w:b/>
                <w:color w:val="000000"/>
                <w:sz w:val="24"/>
                <w:szCs w:val="24"/>
                <w:lang w:val="ru-RU"/>
              </w:rPr>
              <w:t>3</w:t>
            </w:r>
            <w:r>
              <w:rPr>
                <w:rFonts w:ascii="GHEA Grapalat" w:eastAsia="Times New Roman" w:hAnsi="GHEA Grapalat" w:cs="Times New Roman"/>
                <w:b/>
                <w:color w:val="000000"/>
                <w:sz w:val="24"/>
                <w:szCs w:val="24"/>
                <w:lang w:val="hy-AM"/>
              </w:rPr>
              <w:t>.2/3601-22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numPr>
                <w:ilvl w:val="0"/>
                <w:numId w:val="40"/>
              </w:numPr>
              <w:spacing w:after="0" w:line="360" w:lineRule="auto"/>
              <w:ind w:left="0" w:firstLine="540"/>
              <w:contextualSpacing/>
              <w:jc w:val="both"/>
              <w:rPr>
                <w:rFonts w:ascii="GHEA Grapalat" w:hAnsi="GHEA Grapalat"/>
                <w:sz w:val="24"/>
                <w:szCs w:val="24"/>
                <w:lang w:val="hy-AM"/>
              </w:rPr>
            </w:pPr>
            <w:r>
              <w:rPr>
                <w:rFonts w:ascii="GHEA Grapalat" w:hAnsi="GHEA Grapalat"/>
                <w:sz w:val="24"/>
                <w:szCs w:val="24"/>
                <w:lang w:val="hy-AM"/>
              </w:rPr>
              <w:t>Նախագծի հավելվածի 6-րդ կետի 1-ին ենթակետով սահմանվում են մարդկանց թրաֆիքինգի և շահագործման գործողությունների ցուցիչները՝ անձին հավաքագրելու առումով:</w:t>
            </w:r>
          </w:p>
          <w:p>
            <w:pPr>
              <w:spacing w:after="0" w:line="360" w:lineRule="auto"/>
              <w:ind w:firstLine="540"/>
              <w:jc w:val="both"/>
              <w:rPr>
                <w:rFonts w:ascii="GHEA Grapalat" w:hAnsi="GHEA Grapalat"/>
                <w:sz w:val="24"/>
                <w:szCs w:val="24"/>
                <w:lang w:val="hy-AM"/>
              </w:rPr>
            </w:pPr>
            <w:r>
              <w:rPr>
                <w:rFonts w:ascii="GHEA Grapalat" w:hAnsi="GHEA Grapalat"/>
                <w:sz w:val="24"/>
                <w:szCs w:val="24"/>
                <w:lang w:val="hy-AM"/>
              </w:rPr>
              <w:t xml:space="preserve">ՄԱԿ-ի Թմրամիջոցների և հանցավորության դեմ պայքարի գրասենյակի (UNODC) մարդկանց թրաֆիքինգի աշխատանքային խմբի կողմից մշակված փաստաթղթի համաձայն՝ թրաֆիքինգի և շահագործման զոհերը հաճախ թիրախավորվում, հավաքագրվում, վերահսկվում, ինչպես նաև շահագործվում են սոցիալական մեդիաների և առցանց ծանոթությունների հարթակների միջոցով:  </w:t>
            </w:r>
          </w:p>
          <w:p>
            <w:pPr>
              <w:spacing w:after="0" w:line="360" w:lineRule="auto"/>
              <w:ind w:firstLine="540"/>
              <w:jc w:val="both"/>
              <w:rPr>
                <w:rFonts w:ascii="GHEA Grapalat" w:hAnsi="GHEA Grapalat"/>
                <w:sz w:val="24"/>
                <w:szCs w:val="24"/>
                <w:lang w:val="hy-AM"/>
              </w:rPr>
            </w:pPr>
            <w:r>
              <w:rPr>
                <w:rFonts w:ascii="GHEA Grapalat" w:hAnsi="GHEA Grapalat" w:cs="Sylfaen"/>
                <w:sz w:val="24"/>
                <w:szCs w:val="24"/>
                <w:lang w:val="hy-AM"/>
              </w:rPr>
              <w:lastRenderedPageBreak/>
              <w:t>Հիմք ընդունելով վերոգրյալը՝</w:t>
            </w:r>
            <w:r>
              <w:rPr>
                <w:rFonts w:ascii="GHEA Grapalat" w:hAnsi="GHEA Grapalat"/>
                <w:sz w:val="24"/>
                <w:szCs w:val="24"/>
                <w:lang w:val="hy-AM"/>
              </w:rPr>
              <w:t xml:space="preserve"> առաջարկում ենք Նախագծի </w:t>
            </w:r>
            <w:r>
              <w:rPr>
                <w:rFonts w:ascii="GHEA Grapalat" w:eastAsia="GHEA Grapalat" w:hAnsi="GHEA Grapalat" w:cs="GHEA Grapalat"/>
                <w:sz w:val="24"/>
                <w:szCs w:val="24"/>
                <w:lang w:val="hy-AM"/>
              </w:rPr>
              <w:t xml:space="preserve">հավելվածի </w:t>
            </w:r>
            <w:r>
              <w:rPr>
                <w:rFonts w:ascii="GHEA Grapalat" w:hAnsi="GHEA Grapalat"/>
                <w:sz w:val="24"/>
                <w:szCs w:val="24"/>
                <w:lang w:val="hy-AM"/>
              </w:rPr>
              <w:t xml:space="preserve">6-րդ կետի 1-ին ենթակետի  «բ.» և «գ.» պարբերություններում ավելացնել </w:t>
            </w:r>
            <w:r>
              <w:rPr>
                <w:rFonts w:ascii="GHEA Grapalat" w:hAnsi="GHEA Grapalat"/>
                <w:bCs/>
                <w:sz w:val="24"/>
                <w:szCs w:val="24"/>
                <w:lang w:val="hy-AM"/>
              </w:rPr>
              <w:t>սոցիալական</w:t>
            </w:r>
            <w:r>
              <w:rPr>
                <w:rFonts w:ascii="GHEA Grapalat" w:hAnsi="GHEA Grapalat"/>
                <w:sz w:val="24"/>
                <w:szCs w:val="24"/>
                <w:lang w:val="hy-AM"/>
              </w:rPr>
              <w:t xml:space="preserve"> մեդիաների օգտագործումը որպես ցուցակագրման և թիրախավորման միջոց։</w:t>
            </w:r>
          </w:p>
          <w:p>
            <w:pPr>
              <w:spacing w:after="0" w:line="360" w:lineRule="auto"/>
              <w:ind w:firstLine="540"/>
              <w:jc w:val="both"/>
              <w:rPr>
                <w:rFonts w:ascii="GHEA Grapalat" w:hAnsi="GHEA Grapalat"/>
                <w:sz w:val="24"/>
                <w:szCs w:val="24"/>
                <w:lang w:val="hy-AM"/>
              </w:rPr>
            </w:pPr>
          </w:p>
          <w:p>
            <w:pPr>
              <w:spacing w:after="0" w:line="360" w:lineRule="auto"/>
              <w:ind w:firstLine="540"/>
              <w:jc w:val="both"/>
              <w:rPr>
                <w:rFonts w:ascii="GHEA Grapalat" w:hAnsi="GHEA Grapalat"/>
                <w:sz w:val="24"/>
                <w:szCs w:val="24"/>
                <w:lang w:val="hy-AM"/>
              </w:rPr>
            </w:pPr>
          </w:p>
          <w:p>
            <w:pPr>
              <w:numPr>
                <w:ilvl w:val="0"/>
                <w:numId w:val="40"/>
              </w:numPr>
              <w:spacing w:after="0" w:line="360" w:lineRule="auto"/>
              <w:ind w:left="0" w:firstLine="540"/>
              <w:contextualSpacing/>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հավելվածի 7-րդ կետով սահմանվում են մարդկանց թրաֆիքինգի և շահագործման կ</w:t>
            </w:r>
            <w:r>
              <w:rPr>
                <w:rFonts w:ascii="GHEA Grapalat" w:eastAsia="GHEA Grapalat" w:hAnsi="GHEA Grapalat" w:cs="GHEA Grapalat"/>
                <w:sz w:val="24"/>
                <w:szCs w:val="24"/>
                <w:highlight w:val="white"/>
                <w:lang w:val="hy-AM"/>
              </w:rPr>
              <w:t xml:space="preserve">ատարման եղանակների ցուցիչները: Միևնույն ժամանակ, նույն կետի 1-ին ենթակետի </w:t>
            </w:r>
            <w:r>
              <w:rPr>
                <w:rFonts w:ascii="GHEA Grapalat" w:eastAsia="GHEA Grapalat" w:hAnsi="GHEA Grapalat" w:cs="GHEA Grapalat"/>
                <w:sz w:val="24"/>
                <w:szCs w:val="24"/>
                <w:lang w:val="hy-AM"/>
              </w:rPr>
              <w:t xml:space="preserve">«բ.» և «ե.» </w:t>
            </w:r>
            <w:r>
              <w:rPr>
                <w:rFonts w:ascii="GHEA Grapalat" w:hAnsi="GHEA Grapalat"/>
                <w:sz w:val="24"/>
                <w:szCs w:val="24"/>
                <w:lang w:val="hy-AM"/>
              </w:rPr>
              <w:t xml:space="preserve">պարբերությունները </w:t>
            </w:r>
            <w:r>
              <w:rPr>
                <w:rFonts w:ascii="GHEA Grapalat" w:eastAsia="GHEA Grapalat" w:hAnsi="GHEA Grapalat" w:cs="GHEA Grapalat"/>
                <w:sz w:val="24"/>
                <w:szCs w:val="24"/>
                <w:lang w:val="hy-AM"/>
              </w:rPr>
              <w:t xml:space="preserve">բովանդակային առումով համընկնում են։ </w:t>
            </w:r>
          </w:p>
          <w:p>
            <w:pPr>
              <w:spacing w:after="0" w:line="360" w:lineRule="auto"/>
              <w:ind w:firstLine="540"/>
              <w:jc w:val="both"/>
              <w:rPr>
                <w:rFonts w:ascii="GHEA Grapalat" w:hAnsi="GHEA Grapalat"/>
                <w:sz w:val="24"/>
                <w:szCs w:val="24"/>
                <w:lang w:val="hy-AM"/>
              </w:rPr>
            </w:pPr>
            <w:r>
              <w:rPr>
                <w:rFonts w:ascii="GHEA Grapalat" w:eastAsia="GHEA Grapalat" w:hAnsi="GHEA Grapalat" w:cs="GHEA Grapalat"/>
                <w:sz w:val="24"/>
                <w:szCs w:val="24"/>
                <w:lang w:val="hy-AM"/>
              </w:rPr>
              <w:t xml:space="preserve">Իրավական </w:t>
            </w:r>
            <w:r>
              <w:rPr>
                <w:rFonts w:ascii="GHEA Grapalat" w:hAnsi="GHEA Grapalat"/>
                <w:sz w:val="24"/>
                <w:szCs w:val="24"/>
                <w:lang w:val="hy-AM"/>
              </w:rPr>
              <w:t>որոշակիության տեսանկյունից նորմերի և ձևակերպումների անհարկի կրկնությունները շփոթություն են առաջացնում իրավակիրառ պրակտիկայում։</w:t>
            </w:r>
          </w:p>
          <w:p>
            <w:pPr>
              <w:spacing w:after="0" w:line="360" w:lineRule="auto"/>
              <w:ind w:firstLine="540"/>
              <w:jc w:val="both"/>
              <w:rPr>
                <w:rFonts w:ascii="GHEA Grapalat" w:eastAsia="GHEA Grapalat" w:hAnsi="GHEA Grapalat" w:cs="GHEA Grapalat"/>
                <w:sz w:val="24"/>
                <w:szCs w:val="24"/>
                <w:lang w:val="hy-AM"/>
              </w:rPr>
            </w:pPr>
            <w:r>
              <w:rPr>
                <w:rFonts w:ascii="GHEA Grapalat" w:hAnsi="GHEA Grapalat"/>
                <w:sz w:val="24"/>
                <w:szCs w:val="24"/>
                <w:lang w:val="hy-AM"/>
              </w:rPr>
              <w:t xml:space="preserve">Անտեղի կրկնությունից խուսափելու նպատակով՝ առաջարկում ենք Նախագծի </w:t>
            </w:r>
            <w:r>
              <w:rPr>
                <w:rFonts w:ascii="GHEA Grapalat" w:eastAsia="GHEA Grapalat" w:hAnsi="GHEA Grapalat" w:cs="GHEA Grapalat"/>
                <w:sz w:val="24"/>
                <w:szCs w:val="24"/>
                <w:lang w:val="hy-AM"/>
              </w:rPr>
              <w:t xml:space="preserve">հավելվածի </w:t>
            </w:r>
            <w:r>
              <w:rPr>
                <w:rFonts w:ascii="GHEA Grapalat" w:hAnsi="GHEA Grapalat"/>
                <w:sz w:val="24"/>
                <w:szCs w:val="24"/>
                <w:lang w:val="hy-AM"/>
              </w:rPr>
              <w:t>7-րդ կետի 1-ին ենթակետում սահմանել մեկ միասնական</w:t>
            </w:r>
            <w:r>
              <w:rPr>
                <w:rFonts w:ascii="GHEA Grapalat" w:eastAsia="GHEA Grapalat" w:hAnsi="GHEA Grapalat" w:cs="GHEA Grapalat"/>
                <w:sz w:val="24"/>
                <w:szCs w:val="24"/>
                <w:lang w:val="hy-AM"/>
              </w:rPr>
              <w:t xml:space="preserve"> ենթակետ, այն է՝ ֆիզիկական բռնության հետքերի առկայություն, այդ թվում՝ սպիներ և կպումներ։</w:t>
            </w:r>
          </w:p>
          <w:p>
            <w:pPr>
              <w:spacing w:after="0" w:line="360" w:lineRule="auto"/>
              <w:ind w:firstLine="540"/>
              <w:jc w:val="both"/>
              <w:rPr>
                <w:rFonts w:ascii="GHEA Grapalat" w:eastAsia="GHEA Grapalat" w:hAnsi="GHEA Grapalat" w:cs="GHEA Grapalat"/>
                <w:sz w:val="24"/>
                <w:szCs w:val="24"/>
                <w:lang w:val="hy-AM"/>
              </w:rPr>
            </w:pPr>
          </w:p>
          <w:p>
            <w:pPr>
              <w:numPr>
                <w:ilvl w:val="0"/>
                <w:numId w:val="40"/>
              </w:numPr>
              <w:spacing w:after="0" w:line="360" w:lineRule="auto"/>
              <w:ind w:left="0" w:firstLine="540"/>
              <w:contextualSpacing/>
              <w:jc w:val="both"/>
              <w:rPr>
                <w:rFonts w:ascii="GHEA Grapalat" w:eastAsia="GHEA Grapalat" w:hAnsi="GHEA Grapalat" w:cs="GHEA Grapalat"/>
                <w:sz w:val="24"/>
                <w:szCs w:val="24"/>
                <w:lang w:val="hy-AM"/>
              </w:rPr>
            </w:pPr>
            <w:r>
              <w:rPr>
                <w:rFonts w:ascii="GHEA Grapalat" w:eastAsia="Tahoma" w:hAnsi="GHEA Grapalat" w:cs="Tahoma"/>
                <w:sz w:val="24"/>
                <w:szCs w:val="24"/>
                <w:highlight w:val="white"/>
                <w:lang w:val="hy-AM"/>
              </w:rPr>
              <w:lastRenderedPageBreak/>
              <w:t xml:space="preserve">Նախագծի </w:t>
            </w:r>
            <w:r>
              <w:rPr>
                <w:rFonts w:ascii="GHEA Grapalat" w:eastAsia="GHEA Grapalat" w:hAnsi="GHEA Grapalat" w:cs="GHEA Grapalat"/>
                <w:sz w:val="24"/>
                <w:szCs w:val="24"/>
                <w:lang w:val="hy-AM"/>
              </w:rPr>
              <w:t xml:space="preserve">հավելվածում առկա որոշ ցուցիչների բովանդակությունից բխում է, որ դրանք իրենց բնույթից ելնելով առավելապես բնորոշ են նախանույնացման փուլին: Օրինակ՝ Նախագծի հավելվածի 8-րդ կետի 1-ին ենթակետի «բ.» պարբերությամբ որպես ցուցիչ է նախատեսվում պոռնկության շահագործման առնչությամբ դաջվածքների կամ շահագործողներին «պատկանելության» այլ նշանների առկայությունը, ինչը, կարծում ենք, </w:t>
            </w:r>
            <w:r>
              <w:rPr>
                <w:rFonts w:ascii="GHEA Grapalat" w:hAnsi="GHEA Grapalat"/>
                <w:sz w:val="24"/>
                <w:szCs w:val="24"/>
                <w:lang w:val="hy-AM"/>
              </w:rPr>
              <w:t>թրաֆիքինգի և շահագործման զոհերի</w:t>
            </w:r>
            <w:r>
              <w:rPr>
                <w:rFonts w:ascii="GHEA Grapalat" w:eastAsia="GHEA Grapalat" w:hAnsi="GHEA Grapalat" w:cs="GHEA Grapalat"/>
                <w:sz w:val="24"/>
                <w:szCs w:val="24"/>
                <w:lang w:val="hy-AM"/>
              </w:rPr>
              <w:t xml:space="preserve"> նախանույնացման փուլում առավել կիրառելի կարող է լինել:</w:t>
            </w:r>
          </w:p>
          <w:p>
            <w:pPr>
              <w:spacing w:after="0" w:line="360" w:lineRule="auto"/>
              <w:ind w:firstLine="540"/>
              <w:jc w:val="both"/>
              <w:rPr>
                <w:rFonts w:ascii="GHEA Grapalat" w:eastAsia="GHEA Grapalat" w:hAnsi="GHEA Grapalat" w:cs="GHEA Grapalat"/>
                <w:sz w:val="24"/>
                <w:szCs w:val="24"/>
                <w:lang w:val="hy-AM"/>
              </w:rPr>
            </w:pPr>
            <w:r>
              <w:rPr>
                <w:rFonts w:ascii="GHEA Grapalat" w:eastAsia="Tahoma" w:hAnsi="GHEA Grapalat" w:cs="Tahoma"/>
                <w:sz w:val="24"/>
                <w:szCs w:val="24"/>
                <w:highlight w:val="white"/>
                <w:lang w:val="hy-AM"/>
              </w:rPr>
              <w:t xml:space="preserve">Այս առումով հարկ է նշել, որ ՄԱԿ-ի Թմրամիջոցների և հանցագործության դեմ պայքարի գրասենյակի (ՄԱԹՀՊԳ) կողմից </w:t>
            </w:r>
            <w:r>
              <w:rPr>
                <w:rFonts w:ascii="GHEA Grapalat" w:eastAsia="GHEA Grapalat" w:hAnsi="GHEA Grapalat" w:cs="GHEA Grapalat"/>
                <w:sz w:val="24"/>
                <w:szCs w:val="24"/>
                <w:highlight w:val="white"/>
                <w:lang w:val="hy-AM"/>
              </w:rPr>
              <w:t xml:space="preserve">մշակվել է ուղենշային </w:t>
            </w:r>
            <w:r>
              <w:rPr>
                <w:rFonts w:ascii="GHEA Grapalat" w:eastAsia="Tahoma" w:hAnsi="GHEA Grapalat" w:cs="Tahoma"/>
                <w:sz w:val="24"/>
                <w:szCs w:val="24"/>
                <w:highlight w:val="white"/>
                <w:lang w:val="hy-AM"/>
              </w:rPr>
              <w:t>փաստաթուղթ</w:t>
            </w:r>
            <w:r>
              <w:rPr>
                <w:rFonts w:ascii="GHEA Grapalat" w:hAnsi="GHEA Grapalat"/>
                <w:sz w:val="24"/>
                <w:szCs w:val="24"/>
                <w:highlight w:val="white"/>
                <w:vertAlign w:val="superscript"/>
                <w:lang w:val="hy-AM"/>
              </w:rPr>
              <w:footnoteReference w:id="1"/>
            </w:r>
            <w:r>
              <w:rPr>
                <w:rFonts w:ascii="GHEA Grapalat" w:eastAsia="Tahoma" w:hAnsi="GHEA Grapalat" w:cs="Tahoma"/>
                <w:sz w:val="24"/>
                <w:szCs w:val="24"/>
                <w:highlight w:val="white"/>
                <w:lang w:val="hy-AM"/>
              </w:rPr>
              <w:t xml:space="preserve">, որը ներառում է այնպիսի ցուցիչներ, որոնք կարող են հիմք հանդիսանալ մարդկանց շահագործման դեպքերի առկայության վերաբերյալ հետաքննության: Դրանց շարքում՝ սեռական շահագործման ներքո որպես առանձին ցուցիչ սահմանվել է նաև </w:t>
            </w:r>
            <w:r>
              <w:rPr>
                <w:rFonts w:ascii="GHEA Grapalat" w:eastAsia="GHEA Grapalat" w:hAnsi="GHEA Grapalat" w:cs="GHEA Grapalat"/>
                <w:sz w:val="24"/>
                <w:szCs w:val="24"/>
                <w:lang w:val="hy-AM"/>
              </w:rPr>
              <w:t xml:space="preserve">այնպիսի հագուստի առկայությունը, որը հիմնականում կրում են սեռական աշխատանք կատարելու համար: Նույն փաստաթղթում որպես </w:t>
            </w:r>
            <w:r>
              <w:rPr>
                <w:rFonts w:ascii="GHEA Grapalat" w:eastAsia="GHEA Grapalat" w:hAnsi="GHEA Grapalat" w:cs="GHEA Grapalat"/>
                <w:sz w:val="24"/>
                <w:szCs w:val="24"/>
                <w:lang w:val="hy-AM"/>
              </w:rPr>
              <w:lastRenderedPageBreak/>
              <w:t>աշխատանքային շահագործման ցուցիչ է ամրագրված բնակության վայր ընտրելու անհնարինությունը և նվաստացուցիչ, բնակության համար ոչ պիտանի վայրերում ապրելը (օրինակ՝ գյուղատնտեսական կամ արդյունաբերական շենքերում)։</w:t>
            </w:r>
          </w:p>
          <w:p>
            <w:pPr>
              <w:spacing w:after="0" w:line="360" w:lineRule="auto"/>
              <w:ind w:firstLine="540"/>
              <w:jc w:val="both"/>
              <w:rPr>
                <w:rFonts w:ascii="GHEA Grapalat" w:eastAsia="GHEA Grapalat" w:hAnsi="GHEA Grapalat" w:cs="GHEA Grapalat"/>
                <w:sz w:val="24"/>
                <w:szCs w:val="24"/>
                <w:lang w:val="hy-AM"/>
              </w:rPr>
            </w:pPr>
          </w:p>
          <w:p>
            <w:pPr>
              <w:numPr>
                <w:ilvl w:val="0"/>
                <w:numId w:val="40"/>
              </w:numPr>
              <w:spacing w:after="0" w:line="360" w:lineRule="auto"/>
              <w:ind w:left="0" w:firstLine="540"/>
              <w:contextualSpacing/>
              <w:jc w:val="both"/>
              <w:rPr>
                <w:rFonts w:ascii="GHEA Grapalat" w:hAnsi="GHEA Grapalat"/>
                <w:sz w:val="24"/>
                <w:szCs w:val="24"/>
                <w:lang w:val="hy-AM"/>
              </w:rPr>
            </w:pPr>
            <w:r>
              <w:rPr>
                <w:rFonts w:ascii="GHEA Grapalat" w:eastAsia="GHEA Grapalat" w:hAnsi="GHEA Grapalat" w:cs="GHEA Grapalat"/>
                <w:sz w:val="24"/>
                <w:szCs w:val="24"/>
                <w:lang w:val="hy-AM"/>
              </w:rPr>
              <w:t xml:space="preserve">Հարկ է նշել, որ </w:t>
            </w:r>
            <w:r>
              <w:rPr>
                <w:rFonts w:ascii="GHEA Grapalat" w:eastAsia="Tahoma" w:hAnsi="GHEA Grapalat" w:cs="Tahoma"/>
                <w:sz w:val="24"/>
                <w:szCs w:val="24"/>
                <w:lang w:val="hy-AM"/>
              </w:rPr>
              <w:t xml:space="preserve">ԵԱՀԿ Թրաֆիքինգի դեմ պայքարի հարցերով հատուկ ներկայացուցչի և համակարգողի </w:t>
            </w:r>
            <w:r>
              <w:rPr>
                <w:rFonts w:ascii="GHEA Grapalat" w:eastAsia="GHEA Grapalat" w:hAnsi="GHEA Grapalat" w:cs="GHEA Grapalat"/>
                <w:sz w:val="24"/>
                <w:szCs w:val="24"/>
                <w:lang w:val="hy-AM"/>
              </w:rPr>
              <w:t>գրասենյակի</w:t>
            </w:r>
            <w:r>
              <w:rPr>
                <w:rFonts w:ascii="GHEA Grapalat" w:eastAsia="Tahoma" w:hAnsi="GHEA Grapalat" w:cs="Tahoma"/>
                <w:sz w:val="24"/>
                <w:szCs w:val="24"/>
                <w:lang w:val="hy-AM"/>
              </w:rPr>
              <w:t xml:space="preserve"> «Մարդկանց թրաֆիքինգի զոհերի նկատմամբ անպատժելիության սկզբունքի արդյունավետ կիրառմանն ուղղված քաղաքականությունը և օրենսդրական առաջարկություններում»  մարդկանց շահագործման զոհերի կողմից անձը հաստատող կեղծ փաստաթղթերի օգտագործման հետևանքով դատապարտման դեպքերը հիշատակվել են որպես շահագործումը հաստատող գործոն</w:t>
            </w:r>
            <w:r>
              <w:rPr>
                <w:rFonts w:ascii="GHEA Grapalat" w:hAnsi="GHEA Grapalat"/>
                <w:sz w:val="24"/>
                <w:szCs w:val="24"/>
                <w:vertAlign w:val="superscript"/>
                <w:lang w:val="hy-AM"/>
              </w:rPr>
              <w:footnoteReference w:id="2"/>
            </w:r>
            <w:r>
              <w:rPr>
                <w:rFonts w:ascii="GHEA Grapalat" w:eastAsia="Tahoma" w:hAnsi="GHEA Grapalat" w:cs="Tahoma"/>
                <w:sz w:val="24"/>
                <w:szCs w:val="24"/>
                <w:lang w:val="hy-AM"/>
              </w:rPr>
              <w:t>։</w:t>
            </w:r>
            <w:r>
              <w:rPr>
                <w:rFonts w:ascii="GHEA Grapalat" w:hAnsi="GHEA Grapalat"/>
                <w:sz w:val="24"/>
                <w:szCs w:val="24"/>
                <w:lang w:val="hy-AM"/>
              </w:rPr>
              <w:t xml:space="preserve"> </w:t>
            </w:r>
          </w:p>
          <w:p>
            <w:pPr>
              <w:tabs>
                <w:tab w:val="left" w:pos="284"/>
                <w:tab w:val="left" w:pos="709"/>
                <w:tab w:val="left" w:pos="993"/>
                <w:tab w:val="left" w:pos="1276"/>
              </w:tabs>
              <w:spacing w:after="0" w:line="360" w:lineRule="auto"/>
              <w:ind w:firstLine="567"/>
              <w:jc w:val="both"/>
              <w:rPr>
                <w:rFonts w:ascii="GHEA Grapalat" w:hAnsi="GHEA Grapalat"/>
                <w:sz w:val="24"/>
                <w:szCs w:val="24"/>
                <w:lang w:val="hy-AM"/>
              </w:rPr>
            </w:pPr>
            <w:r>
              <w:rPr>
                <w:rFonts w:ascii="GHEA Grapalat" w:eastAsia="Tahoma" w:hAnsi="GHEA Grapalat" w:cs="Tahoma"/>
                <w:sz w:val="24"/>
                <w:szCs w:val="24"/>
                <w:lang w:val="hy-AM"/>
              </w:rPr>
              <w:t xml:space="preserve">Հետևաբար, կարող ենք եզրահանգել, որ թրաֆիքինգի և շահագործման զոհերի, հատկապես՝ սեռական շահագործման նպատակով թրաֆիքինգի ենթարկված անձանց թրաֆիքինգ իրականացնողները </w:t>
            </w:r>
            <w:r>
              <w:rPr>
                <w:rFonts w:ascii="GHEA Grapalat" w:eastAsia="Tahoma" w:hAnsi="GHEA Grapalat" w:cs="Tahoma"/>
                <w:sz w:val="24"/>
                <w:szCs w:val="24"/>
                <w:lang w:val="hy-AM"/>
              </w:rPr>
              <w:lastRenderedPageBreak/>
              <w:t>հաճախ հարկադրում են օգտագործել անձը հաստատող կեղծ փաստաթղթեր:</w:t>
            </w:r>
          </w:p>
          <w:p>
            <w:pPr>
              <w:tabs>
                <w:tab w:val="left" w:pos="284"/>
                <w:tab w:val="left" w:pos="709"/>
                <w:tab w:val="left" w:pos="993"/>
                <w:tab w:val="left" w:pos="1276"/>
              </w:tabs>
              <w:spacing w:after="0" w:line="360" w:lineRule="auto"/>
              <w:ind w:firstLine="567"/>
              <w:jc w:val="both"/>
              <w:rPr>
                <w:rFonts w:ascii="GHEA Grapalat" w:eastAsia="Times New Roman" w:hAnsi="GHEA Grapalat"/>
                <w:sz w:val="24"/>
                <w:szCs w:val="24"/>
                <w:lang w:val="hy-AM"/>
              </w:rPr>
            </w:pPr>
            <w:r>
              <w:rPr>
                <w:rFonts w:ascii="GHEA Grapalat" w:eastAsia="Tahoma" w:hAnsi="GHEA Grapalat" w:cs="Tahoma"/>
                <w:sz w:val="24"/>
                <w:szCs w:val="24"/>
                <w:lang w:val="hy-AM"/>
              </w:rPr>
              <w:t>Հաշվի առնելով վերոգրյալը՝ առաջարկում ենք Նախագծում տեղ գտած ցուցիչների շարքում ավելացնել նաև կեղծ փաստաթղթերի օգտագործումը։</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pStyle w:val="ListParagraph"/>
              <w:numPr>
                <w:ilvl w:val="0"/>
                <w:numId w:val="44"/>
              </w:numPr>
              <w:spacing w:after="0" w:line="360" w:lineRule="auto"/>
              <w:ind w:left="112" w:firstLine="248"/>
              <w:jc w:val="both"/>
              <w:rPr>
                <w:rFonts w:ascii="GHEA Grapalat" w:eastAsia="Times New Roman" w:hAnsi="GHEA Grapalat"/>
                <w:b/>
                <w:color w:val="000000"/>
                <w:sz w:val="24"/>
                <w:szCs w:val="24"/>
                <w:lang w:val="hy-AM"/>
              </w:rPr>
            </w:pPr>
            <w:r>
              <w:rPr>
                <w:rFonts w:ascii="GHEA Grapalat" w:eastAsia="Times New Roman" w:hAnsi="GHEA Grapalat"/>
                <w:bCs/>
                <w:color w:val="000000"/>
                <w:sz w:val="24"/>
                <w:szCs w:val="24"/>
                <w:lang w:val="hy-AM"/>
              </w:rPr>
              <w:t>Չի ընդունվել, քանի որ</w:t>
            </w:r>
            <w:r>
              <w:rPr>
                <w:rFonts w:ascii="GHEA Grapalat" w:eastAsia="Times New Roman" w:hAnsi="GHEA Grapalat"/>
                <w:b/>
                <w:color w:val="000000"/>
                <w:sz w:val="24"/>
                <w:szCs w:val="24"/>
                <w:lang w:val="hy-AM"/>
              </w:rPr>
              <w:t xml:space="preserve"> </w:t>
            </w:r>
            <w:r>
              <w:rPr>
                <w:rFonts w:ascii="GHEA Grapalat" w:hAnsi="GHEA Grapalat"/>
                <w:sz w:val="24"/>
                <w:szCs w:val="24"/>
                <w:lang w:val="hy-AM"/>
              </w:rPr>
              <w:t xml:space="preserve">6-րդ կետի 1-ին ենթակետի «բ.» և «գ.» պարբերություններում նշվում են ոչ թե հավաքագրման համար կիրառվող եղանակները կամ միջոցները՝ համացանց, հարևան, բարեկամ, գործակալություն և այլն, այլ ներկայացվում են հավաքագրման բովանդակությունը բացող գործողությունները, հետևաբար </w:t>
            </w:r>
            <w:r>
              <w:rPr>
                <w:rFonts w:ascii="GHEA Grapalat" w:hAnsi="GHEA Grapalat"/>
                <w:sz w:val="24"/>
                <w:szCs w:val="24"/>
                <w:lang w:val="hy-AM"/>
              </w:rPr>
              <w:lastRenderedPageBreak/>
              <w:t>թիրախավորումը, անկախ այն հանգամանքից, թե այն ինչ եղանակով է կատարվել, համարվելու է այս պարբերությամբ քննարկվող ցուցիչ:</w:t>
            </w:r>
          </w:p>
          <w:p>
            <w:pPr>
              <w:pStyle w:val="ListParagraph"/>
              <w:numPr>
                <w:ilvl w:val="0"/>
                <w:numId w:val="44"/>
              </w:numPr>
              <w:spacing w:after="0" w:line="360" w:lineRule="auto"/>
              <w:ind w:left="112" w:firstLine="248"/>
              <w:jc w:val="both"/>
              <w:rPr>
                <w:rFonts w:ascii="GHEA Grapalat" w:eastAsia="Times New Roman" w:hAnsi="GHEA Grapalat"/>
                <w:b/>
                <w:color w:val="000000"/>
                <w:sz w:val="24"/>
                <w:szCs w:val="24"/>
                <w:lang w:val="hy-AM"/>
              </w:rPr>
            </w:pPr>
            <w:r>
              <w:rPr>
                <w:rFonts w:ascii="GHEA Grapalat" w:eastAsia="Times New Roman" w:hAnsi="GHEA Grapalat"/>
                <w:bCs/>
                <w:color w:val="000000"/>
                <w:sz w:val="24"/>
                <w:szCs w:val="24"/>
                <w:lang w:val="hy-AM"/>
              </w:rPr>
              <w:t>Ընդունվել է, կատարվել է համապատասխան փոփոխություն,</w:t>
            </w:r>
            <w:r>
              <w:rPr>
                <w:rFonts w:ascii="GHEA Grapalat" w:eastAsia="Times New Roman" w:hAnsi="GHEA Grapalat"/>
                <w:b/>
                <w:color w:val="000000"/>
                <w:sz w:val="24"/>
                <w:szCs w:val="24"/>
                <w:lang w:val="hy-AM"/>
              </w:rPr>
              <w:t xml:space="preserve"> </w:t>
            </w:r>
            <w:r>
              <w:rPr>
                <w:rFonts w:ascii="GHEA Grapalat" w:eastAsia="GHEA Grapalat" w:hAnsi="GHEA Grapalat" w:cs="GHEA Grapalat"/>
                <w:sz w:val="24"/>
                <w:szCs w:val="24"/>
                <w:lang w:val="hy-AM"/>
              </w:rPr>
              <w:t xml:space="preserve">«ե.» </w:t>
            </w:r>
            <w:r>
              <w:rPr>
                <w:rFonts w:ascii="GHEA Grapalat" w:hAnsi="GHEA Grapalat"/>
                <w:sz w:val="24"/>
                <w:szCs w:val="24"/>
                <w:lang w:val="hy-AM"/>
              </w:rPr>
              <w:t xml:space="preserve">պարբերությունը ներկայացվել է որպես </w:t>
            </w:r>
            <w:r>
              <w:rPr>
                <w:rFonts w:ascii="GHEA Grapalat" w:eastAsia="GHEA Grapalat" w:hAnsi="GHEA Grapalat" w:cs="GHEA Grapalat"/>
                <w:sz w:val="24"/>
                <w:szCs w:val="24"/>
                <w:lang w:val="hy-AM"/>
              </w:rPr>
              <w:t>«բ.» պարբերություն, ինչպես նաև փոխվել է հետագա համարակալումը:</w:t>
            </w: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pStyle w:val="ListParagraph"/>
              <w:numPr>
                <w:ilvl w:val="0"/>
                <w:numId w:val="44"/>
              </w:numPr>
              <w:spacing w:after="0" w:line="360" w:lineRule="auto"/>
              <w:ind w:left="112" w:firstLine="248"/>
              <w:jc w:val="both"/>
              <w:rPr>
                <w:rFonts w:ascii="GHEA Grapalat" w:eastAsia="Times New Roman" w:hAnsi="GHEA Grapalat"/>
                <w:b/>
                <w:color w:val="000000"/>
                <w:sz w:val="24"/>
                <w:szCs w:val="24"/>
                <w:lang w:val="hy-AM"/>
              </w:rPr>
            </w:pPr>
            <w:r>
              <w:rPr>
                <w:rFonts w:ascii="GHEA Grapalat" w:eastAsia="Times New Roman" w:hAnsi="GHEA Grapalat"/>
                <w:bCs/>
                <w:color w:val="000000"/>
                <w:sz w:val="24"/>
                <w:szCs w:val="24"/>
                <w:lang w:val="hy-AM"/>
              </w:rPr>
              <w:t xml:space="preserve">Չի ընդունվել: Ներկայացված ցուցիչները կարող են կիրառվել ինչպես </w:t>
            </w:r>
            <w:r>
              <w:rPr>
                <w:rFonts w:ascii="GHEA Grapalat" w:eastAsia="Times New Roman" w:hAnsi="GHEA Grapalat"/>
                <w:bCs/>
                <w:color w:val="000000"/>
                <w:sz w:val="24"/>
                <w:szCs w:val="24"/>
                <w:lang w:val="hy-AM"/>
              </w:rPr>
              <w:lastRenderedPageBreak/>
              <w:t>նույնացման, այնպես էլ նախանույնացման փուլում, քանի որ պարբերությունում նշվում է, որ</w:t>
            </w:r>
            <w:r>
              <w:rPr>
                <w:rFonts w:ascii="GHEA Grapalat" w:eastAsia="Times New Roman" w:hAnsi="GHEA Grapalat"/>
                <w:b/>
                <w:color w:val="000000"/>
                <w:sz w:val="24"/>
                <w:szCs w:val="24"/>
                <w:lang w:val="hy-AM"/>
              </w:rPr>
              <w:t xml:space="preserve"> </w:t>
            </w:r>
            <w:r>
              <w:rPr>
                <w:rFonts w:ascii="GHEA Grapalat" w:hAnsi="GHEA Grapalat"/>
                <w:sz w:val="24"/>
                <w:szCs w:val="24"/>
                <w:lang w:val="hy-AM"/>
              </w:rPr>
              <w:t>դաջվածքներն այլ նշանների հետ մեկտեղ պետք է ցույց տան շահագործողներին «պատկանելության» առկայությունը:</w:t>
            </w: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ind w:left="112" w:firstLine="248"/>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spacing w:after="0" w:line="360" w:lineRule="auto"/>
              <w:jc w:val="both"/>
              <w:rPr>
                <w:rFonts w:ascii="GHEA Grapalat" w:eastAsia="Times New Roman" w:hAnsi="GHEA Grapalat"/>
                <w:b/>
                <w:color w:val="000000"/>
                <w:sz w:val="24"/>
                <w:szCs w:val="24"/>
                <w:lang w:val="hy-AM"/>
              </w:rPr>
            </w:pPr>
          </w:p>
          <w:p>
            <w:pPr>
              <w:pStyle w:val="ListParagraph"/>
              <w:numPr>
                <w:ilvl w:val="0"/>
                <w:numId w:val="44"/>
              </w:numPr>
              <w:spacing w:after="0" w:line="360" w:lineRule="auto"/>
              <w:ind w:left="112" w:firstLine="248"/>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Չի ընդունվել, քանի որ քննարկվող հարցը վերաբերում է ոչ թե մարդու թրաֆիքինգի կամ շահագործման դեպքի կամ ենթարկված անձի նույնացմանը, այլ այդ անձանց քրեական պատասխանատվության չենթակելուն, այսինքն՝ հետհանցավոր վարքագծին տրվող իրավական գնահատականին ու դա հիմնավորող հանգամանքների առկայության: </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12. ՀՀ Սփյուռքի գործերի գլխավոր հանձնակատարի գրասենյակ</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29</w:t>
            </w:r>
            <w:r>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rPr>
              <w:t>06</w:t>
            </w:r>
            <w:r>
              <w:rPr>
                <w:rFonts w:ascii="GHEA Grapalat" w:eastAsia="Times New Roman" w:hAnsi="GHEA Grapalat" w:cs="Times New Roman"/>
                <w:b/>
                <w:color w:val="000000"/>
                <w:sz w:val="24"/>
                <w:szCs w:val="24"/>
                <w:lang w:val="hy-AM"/>
              </w:rPr>
              <w:t>.2022թ.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/43/20913-2022</w:t>
            </w:r>
          </w:p>
        </w:tc>
      </w:tr>
      <w:tr>
        <w:trPr>
          <w:trHeight w:val="525"/>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tabs>
                <w:tab w:val="left" w:pos="63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p>
            <w:pPr>
              <w:tabs>
                <w:tab w:val="left" w:pos="630"/>
              </w:tabs>
              <w:spacing w:after="0" w:line="360" w:lineRule="auto"/>
              <w:jc w:val="center"/>
              <w:rPr>
                <w:rFonts w:ascii="GHEA Grapalat" w:eastAsia="Times New Roman" w:hAnsi="GHEA Grapalat"/>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FFFFFF"/>
          </w:tcPr>
          <w:p>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bookmarkStart w:id="4" w:name="_GoBack"/>
            <w:bookmarkEnd w:id="4"/>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13. ՀՀ Առողջապահական և աշխատանքի տեսչական մարմին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30.</w:t>
            </w:r>
            <w:r>
              <w:rPr>
                <w:rFonts w:ascii="GHEA Grapalat" w:eastAsia="Times New Roman" w:hAnsi="GHEA Grapalat" w:cs="Times New Roman"/>
                <w:b/>
                <w:color w:val="000000"/>
                <w:sz w:val="24"/>
                <w:szCs w:val="24"/>
              </w:rPr>
              <w:t>06</w:t>
            </w:r>
            <w:r>
              <w:rPr>
                <w:rFonts w:ascii="GHEA Grapalat" w:eastAsia="Times New Roman" w:hAnsi="GHEA Grapalat" w:cs="Times New Roman"/>
                <w:b/>
                <w:color w:val="000000"/>
                <w:sz w:val="24"/>
                <w:szCs w:val="24"/>
                <w:lang w:val="hy-AM"/>
              </w:rPr>
              <w:t>.2022թ.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lang w:val="hy-AM"/>
              </w:rPr>
              <w:t xml:space="preserve"> 01/11596-2022</w:t>
            </w:r>
          </w:p>
        </w:tc>
      </w:tr>
      <w:tr>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tabs>
                <w:tab w:val="left" w:pos="630"/>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FFFFFF"/>
          </w:tcPr>
          <w:p>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trPr>
          <w:trHeight w:val="165"/>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t>14. ՀՀ Միգրացիոն ծառայություն</w:t>
            </w: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17.06.2022թ.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 01/02/2153-2022</w:t>
            </w:r>
          </w:p>
        </w:tc>
      </w:tr>
      <w:tr>
        <w:trPr>
          <w:trHeight w:val="369"/>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tabs>
                <w:tab w:val="left" w:pos="426"/>
                <w:tab w:val="left" w:pos="709"/>
                <w:tab w:val="left" w:pos="1276"/>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1.Նախագծի  հավելվածի 7-րդ  կետի (Մարդկանց թրաֆիքինգի և շահագործման կատարման եղանակների ցուցիչներ)  7-րդ  ենթակետի  ներքո  բերված    են  ցուցիչներ   անձի պաշտոնից կամ ծառայողական դիրքից կամ լիազորություններից բխող ազդեցությունը կամ հանցագործությունից տուժած անձի անձնական կախվածությունը կամ </w:t>
            </w:r>
            <w:r>
              <w:rPr>
                <w:rFonts w:ascii="GHEA Grapalat" w:hAnsi="GHEA Grapalat"/>
                <w:color w:val="000000"/>
                <w:sz w:val="24"/>
                <w:szCs w:val="24"/>
                <w:shd w:val="clear" w:color="auto" w:fill="FFFFFF"/>
                <w:lang w:val="hy-AM"/>
              </w:rPr>
              <w:lastRenderedPageBreak/>
              <w:t>վիճակի խոցելիությունն օգտագործելու առումով։  Նշված  ենթակետի  դ. ենթակետի ներքո որպես ցուցիչ նշված  է   պարտքային և ֆինանսական այլ կախվածության առկայությունը։ Մեր կարծիքով  պարտքային  և ֆինանսական այլ կախվածության առկայությունն  ինքնին չի կարող  դիտարկվել որպես ցուցիչ, փոխարենը ցուցիչ կարող  է լինել  պարտքային  և  ֆինանսական այլ կախվածության հետևանքով առաջացած վիճակի խոցելիության օգտագործումը,</w:t>
            </w:r>
          </w:p>
          <w:p>
            <w:pPr>
              <w:pStyle w:val="ListParagraph"/>
              <w:spacing w:after="0" w:line="360" w:lineRule="auto"/>
              <w:jc w:val="both"/>
              <w:rPr>
                <w:rFonts w:ascii="GHEA Grapalat" w:eastAsiaTheme="minorHAnsi" w:hAnsi="GHEA Grapalat" w:cstheme="minorBidi"/>
                <w:color w:val="000000"/>
                <w:sz w:val="24"/>
                <w:szCs w:val="24"/>
                <w:shd w:val="clear" w:color="auto" w:fill="FFFFFF"/>
                <w:lang w:val="hy-AM"/>
              </w:rPr>
            </w:pPr>
            <w:r>
              <w:rPr>
                <w:rFonts w:ascii="GHEA Grapalat" w:eastAsiaTheme="minorHAnsi" w:hAnsi="GHEA Grapalat" w:cstheme="minorBidi"/>
                <w:color w:val="000000"/>
                <w:sz w:val="24"/>
                <w:szCs w:val="24"/>
                <w:shd w:val="clear" w:color="auto" w:fill="FFFFFF"/>
                <w:lang w:val="hy-AM"/>
              </w:rPr>
              <w:t xml:space="preserve">2. նախագծի  հավելվածի  8-րդ  կետի (Մարդկանց շահագործման ձևերի ցուցիչներ) 3-րդ ենթակետի ներքո  բերված  են  ցուցիչներ  հարկադիր աշխատանքի կամ ծառայություն մատուցելուն կամ հակաիրավական գործողություններ կատարելուն հարկադրելու առումով։  Նշված ենթակետի ժա. ենթակետի ներքո  որպես  ցուցիչ նշված  է  անօրինական միգրանտ աշխատող լինելու փաստը։  Կարծում  ենք  որ  այս  դեպքում  ևս տեղին  չէ  անօրինական միգրանտ աշխատող լինելու փաստն  ինքնին  դիտարկել որպես  ցուցիչ,    չնայած  նրան  որ  աշխատողի  նման  կարգավիճակն,  անշուշտ, հավելյալ  պայման  է  նրա  շահագործման համար, միևնույն ժամանակ  հնարավոր չէ պնդել   որ անօրինական միգրանտ  </w:t>
            </w:r>
            <w:r>
              <w:rPr>
                <w:rFonts w:ascii="GHEA Grapalat" w:eastAsiaTheme="minorHAnsi" w:hAnsi="GHEA Grapalat" w:cstheme="minorBidi"/>
                <w:color w:val="000000"/>
                <w:sz w:val="24"/>
                <w:szCs w:val="24"/>
                <w:shd w:val="clear" w:color="auto" w:fill="FFFFFF"/>
                <w:lang w:val="hy-AM"/>
              </w:rPr>
              <w:lastRenderedPageBreak/>
              <w:t xml:space="preserve">աշխատողը պարտադիր պետք  է ենթարկվի  հարկադիր աշխատանքի կամ ծառայություն մատուցելուն կամ հակաիրավական գործողություններ կատարելուն հարկադրելուն։ Ելնելով   վերոհիշյալից  առաջարկում  ենք  որպես  ցուցիչ  դիտարկել </w:t>
            </w:r>
            <w:bookmarkStart w:id="5" w:name="_Hlk109078649"/>
            <w:r>
              <w:rPr>
                <w:rFonts w:ascii="GHEA Grapalat" w:eastAsiaTheme="minorHAnsi" w:hAnsi="GHEA Grapalat" w:cstheme="minorBidi"/>
                <w:color w:val="000000"/>
                <w:sz w:val="24"/>
                <w:szCs w:val="24"/>
                <w:shd w:val="clear" w:color="auto" w:fill="FFFFFF"/>
                <w:lang w:val="hy-AM"/>
              </w:rPr>
              <w:t>աշխատանքային միգրանտի կարգավիճակի օրինականացմանը  խոչընդոտելը։</w:t>
            </w:r>
            <w:bookmarkEnd w:id="5"/>
          </w:p>
        </w:tc>
        <w:tc>
          <w:tcPr>
            <w:tcW w:w="4590" w:type="dxa"/>
            <w:gridSpan w:val="3"/>
            <w:tcBorders>
              <w:top w:val="outset" w:sz="6" w:space="0" w:color="auto"/>
              <w:left w:val="outset" w:sz="6" w:space="0" w:color="auto"/>
              <w:bottom w:val="outset" w:sz="6" w:space="0" w:color="auto"/>
              <w:right w:val="outset" w:sz="6" w:space="0" w:color="auto"/>
            </w:tcBorders>
            <w:shd w:val="clear" w:color="auto" w:fill="FFFFFF"/>
          </w:tcPr>
          <w:p>
            <w:pPr>
              <w:tabs>
                <w:tab w:val="left" w:pos="709"/>
                <w:tab w:val="left" w:pos="993"/>
                <w:tab w:val="left" w:pos="1276"/>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1. Չի ընդունվել, քանի որ հավելվածի 7-րդ կետի 7-րդ ենթակետը վերաբերում է «անձի պաշտոնից կամ ծառայողական դիրքից կամ լիազորություններից բխող </w:t>
            </w:r>
            <w:r>
              <w:rPr>
                <w:rFonts w:ascii="GHEA Grapalat" w:hAnsi="GHEA Grapalat"/>
                <w:color w:val="000000"/>
                <w:sz w:val="24"/>
                <w:szCs w:val="24"/>
                <w:shd w:val="clear" w:color="auto" w:fill="FFFFFF"/>
                <w:lang w:val="hy-AM"/>
              </w:rPr>
              <w:lastRenderedPageBreak/>
              <w:t>ազդեցությունը կամ հանցագործությունից տուժած անձի անձնական կախվածությունը կամ վիճակի խոցելիությունն օգտագործելու առումով՝» ցուցիչին, հետևաբար չկա կարիք կրկնակի նշել վիճակի խոցելիության օգտագործումը:</w:t>
            </w:r>
          </w:p>
          <w:p>
            <w:pPr>
              <w:tabs>
                <w:tab w:val="left" w:pos="709"/>
                <w:tab w:val="left" w:pos="993"/>
                <w:tab w:val="left" w:pos="1276"/>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 Ընդունվել է, կատարվել է համապատասխան փոփոխություն:</w:t>
            </w:r>
          </w:p>
        </w:tc>
      </w:tr>
      <w:tr>
        <w:trPr>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lastRenderedPageBreak/>
              <w:t xml:space="preserve">15. </w:t>
            </w:r>
            <w:r>
              <w:rPr>
                <w:rFonts w:ascii="GHEA Grapalat" w:hAnsi="GHEA Grapalat"/>
                <w:b/>
                <w:sz w:val="24"/>
                <w:szCs w:val="24"/>
                <w:lang w:val="hy-AM"/>
              </w:rPr>
              <w:t>ՀՀ Արդարադատության նախարարություն</w:t>
            </w:r>
          </w:p>
          <w:p>
            <w:pPr>
              <w:spacing w:after="0" w:line="360" w:lineRule="auto"/>
              <w:jc w:val="center"/>
              <w:rPr>
                <w:rFonts w:ascii="GHEA Grapalat" w:hAnsi="GHEA Grapalat"/>
                <w:b/>
                <w:sz w:val="24"/>
                <w:szCs w:val="24"/>
              </w:rPr>
            </w:pPr>
            <w:r>
              <w:rPr>
                <w:rFonts w:ascii="GHEA Grapalat" w:hAnsi="GHEA Grapalat"/>
                <w:b/>
                <w:sz w:val="24"/>
                <w:szCs w:val="24"/>
                <w:lang w:val="hy-AM"/>
              </w:rPr>
              <w:t xml:space="preserve">Փորձագիտական եզրակացություն </w:t>
            </w:r>
          </w:p>
          <w:p>
            <w:pPr>
              <w:spacing w:after="0" w:line="360" w:lineRule="auto"/>
              <w:jc w:val="center"/>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25.</w:t>
            </w:r>
            <w:r>
              <w:rPr>
                <w:rFonts w:ascii="GHEA Grapalat" w:eastAsia="Times New Roman" w:hAnsi="GHEA Grapalat" w:cs="Times New Roman"/>
                <w:b/>
                <w:color w:val="000000"/>
                <w:sz w:val="24"/>
                <w:szCs w:val="24"/>
              </w:rPr>
              <w:t>08</w:t>
            </w:r>
            <w:r>
              <w:rPr>
                <w:rFonts w:ascii="GHEA Grapalat" w:eastAsia="Times New Roman" w:hAnsi="GHEA Grapalat" w:cs="Times New Roman"/>
                <w:b/>
                <w:color w:val="000000"/>
                <w:sz w:val="24"/>
                <w:szCs w:val="24"/>
                <w:lang w:val="hy-AM"/>
              </w:rPr>
              <w:t>.2022թ.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//37254-2022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360" w:lineRule="auto"/>
              <w:rPr>
                <w:rFonts w:ascii="GHEA Grapalat" w:hAnsi="GHEA Grapalat"/>
                <w:sz w:val="24"/>
                <w:szCs w:val="24"/>
                <w:lang w:val="hy-AM"/>
              </w:rPr>
            </w:pPr>
            <w:r>
              <w:rPr>
                <w:lang w:val="hy-AM"/>
              </w:rPr>
              <w:t xml:space="preserve">  </w:t>
            </w:r>
            <w:r>
              <w:rPr>
                <w:rFonts w:ascii="GHEA Grapalat" w:hAnsi="GHEA Grapalat" w:cs="Sylfaen"/>
                <w:bCs/>
                <w:sz w:val="24"/>
                <w:szCs w:val="24"/>
                <w:shd w:val="clear" w:color="auto" w:fill="FFFFFF"/>
                <w:lang w:val="hy-AM"/>
              </w:rPr>
              <w:t>«Մարդկանց թրաֆիքինգի և շահագործման զոհերի նույնացման հանձնաժողովի կողմից անձին որպես զոհ կամ հատուկ կատեգորիայի զոհ նույնացնելու ցուցիչները հաստատելու մասին» Հայաստանի Հանրապետության կառավարության որոշման նախագծի վերաբերյալ</w:t>
            </w:r>
            <w:r>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360"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rHeight w:val="165"/>
          <w:tblCellSpacing w:w="0" w:type="dxa"/>
          <w:jc w:val="center"/>
        </w:trPr>
        <w:tc>
          <w:tcPr>
            <w:tcW w:w="8362"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sz w:val="24"/>
                <w:szCs w:val="24"/>
                <w:lang w:val="hy-AM"/>
              </w:rPr>
              <w:t xml:space="preserve">16. </w:t>
            </w:r>
            <w:r>
              <w:rPr>
                <w:rFonts w:ascii="GHEA Grapalat" w:hAnsi="GHEA Grapalat"/>
                <w:b/>
                <w:sz w:val="24"/>
                <w:szCs w:val="24"/>
                <w:lang w:val="hy-AM"/>
              </w:rPr>
              <w:t xml:space="preserve">ՀՀ </w:t>
            </w:r>
            <w:r>
              <w:rPr>
                <w:rFonts w:ascii="GHEA Grapalat" w:hAnsi="GHEA Grapalat"/>
                <w:b/>
                <w:sz w:val="24"/>
                <w:szCs w:val="24"/>
              </w:rPr>
              <w:t>Վ</w:t>
            </w:r>
            <w:r>
              <w:rPr>
                <w:rFonts w:ascii="GHEA Grapalat" w:hAnsi="GHEA Grapalat"/>
                <w:b/>
                <w:sz w:val="24"/>
                <w:szCs w:val="24"/>
                <w:lang w:val="hy-AM"/>
              </w:rPr>
              <w:t>արչապետի աշխատակազմի սոցիալական հարցերի վարչություն</w:t>
            </w:r>
            <w:r>
              <w:rPr>
                <w:rFonts w:ascii="GHEA Grapalat" w:eastAsia="Times New Roman" w:hAnsi="GHEA Grapalat" w:cs="Times New Roman"/>
                <w:b/>
                <w:color w:val="000000"/>
                <w:sz w:val="24"/>
                <w:szCs w:val="24"/>
              </w:rPr>
              <w:t xml:space="preserve"> </w:t>
            </w:r>
          </w:p>
          <w:p>
            <w:pPr>
              <w:spacing w:after="0" w:line="360" w:lineRule="auto"/>
              <w:jc w:val="center"/>
              <w:rPr>
                <w:rFonts w:ascii="GHEA Grapalat" w:eastAsia="Times New Roman" w:hAnsi="GHEA Grapalat" w:cs="Times New Roman"/>
                <w:b/>
                <w:color w:val="000000"/>
                <w:sz w:val="24"/>
                <w:szCs w:val="24"/>
              </w:rPr>
            </w:pPr>
            <w:r>
              <w:rPr>
                <w:rFonts w:ascii="GHEA Grapalat" w:hAnsi="GHEA Grapalat"/>
                <w:b/>
                <w:sz w:val="24"/>
                <w:szCs w:val="24"/>
              </w:rPr>
              <w:t>Ե</w:t>
            </w:r>
            <w:r>
              <w:rPr>
                <w:rFonts w:ascii="GHEA Grapalat" w:hAnsi="GHEA Grapalat"/>
                <w:b/>
                <w:sz w:val="24"/>
                <w:szCs w:val="24"/>
                <w:lang w:val="hy-AM"/>
              </w:rPr>
              <w:t>զրակացություն</w:t>
            </w:r>
          </w:p>
          <w:p>
            <w:pPr>
              <w:spacing w:after="0" w:line="360" w:lineRule="auto"/>
              <w:jc w:val="center"/>
              <w:rPr>
                <w:rFonts w:ascii="GHEA Grapalat" w:eastAsia="Times New Roman" w:hAnsi="GHEA Grapalat" w:cs="Times New Roman"/>
                <w:b/>
                <w:color w:val="000000"/>
                <w:sz w:val="24"/>
                <w:szCs w:val="24"/>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09.09.2022թ.</w:t>
            </w:r>
          </w:p>
        </w:tc>
      </w:tr>
      <w:tr>
        <w:trPr>
          <w:tblCellSpacing w:w="0" w:type="dxa"/>
          <w:jc w:val="center"/>
        </w:trPr>
        <w:tc>
          <w:tcPr>
            <w:tcW w:w="83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360" w:lineRule="auto"/>
              <w:rPr>
                <w:rFonts w:ascii="GHEA Grapalat" w:eastAsia="Times New Roman" w:hAnsi="GHEA Grapalat" w:cs="Times New Roman"/>
                <w:b/>
                <w:color w:val="000000"/>
                <w:sz w:val="24"/>
                <w:szCs w:val="24"/>
                <w:lang w:val="hy-AM"/>
              </w:rPr>
            </w:pPr>
          </w:p>
        </w:tc>
        <w:tc>
          <w:tcPr>
            <w:tcW w:w="4590" w:type="dxa"/>
            <w:gridSpan w:val="3"/>
            <w:tcBorders>
              <w:top w:val="outset" w:sz="6" w:space="0" w:color="auto"/>
              <w:left w:val="outset" w:sz="6" w:space="0" w:color="auto"/>
              <w:bottom w:val="outset" w:sz="6" w:space="0" w:color="auto"/>
              <w:right w:val="outset" w:sz="6" w:space="0" w:color="auto"/>
            </w:tcBorders>
            <w:shd w:val="clear" w:color="auto" w:fill="D0D0D0"/>
            <w:hideMark/>
          </w:tcPr>
          <w:p>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 01/11.4/29610-2022</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spacing w:after="0" w:line="360" w:lineRule="auto"/>
              <w:jc w:val="both"/>
              <w:rPr>
                <w:rFonts w:ascii="GHEA Grapalat" w:hAnsi="GHEA Grapalat"/>
                <w:b/>
                <w:sz w:val="24"/>
                <w:szCs w:val="24"/>
                <w:lang w:val="hy-AM"/>
              </w:rPr>
            </w:pPr>
            <w:r>
              <w:rPr>
                <w:rFonts w:ascii="GHEA Grapalat" w:hAnsi="GHEA Grapalat" w:cs="Arial"/>
                <w:b/>
                <w:spacing w:val="-8"/>
                <w:sz w:val="24"/>
                <w:szCs w:val="24"/>
                <w:shd w:val="clear" w:color="auto" w:fill="FFFFFF"/>
                <w:lang w:val="hy-AM"/>
              </w:rPr>
              <w:lastRenderedPageBreak/>
              <w:t xml:space="preserve"> «</w:t>
            </w:r>
            <w:r>
              <w:rPr>
                <w:rFonts w:ascii="GHEA Grapalat" w:hAnsi="GHEA Grapalat"/>
                <w:bCs/>
                <w:color w:val="000000"/>
                <w:sz w:val="24"/>
                <w:szCs w:val="24"/>
                <w:lang w:val="hy-AM"/>
              </w:rPr>
              <w:t xml:space="preserve">Մարդկանց թրաֆիքինգի և շահագործման զոհերի նույնացման հանձնաժողովի կողմից </w:t>
            </w:r>
            <w:r>
              <w:rPr>
                <w:rFonts w:ascii="GHEA Grapalat" w:eastAsia="Times New Roman" w:hAnsi="GHEA Grapalat"/>
                <w:bCs/>
                <w:sz w:val="24"/>
                <w:szCs w:val="24"/>
                <w:lang w:val="hy-AM"/>
              </w:rPr>
              <w:t>անձին որպես զոհ կամ հատուկ կատեգորիայի զոհ նույնացնելու ցուցիչները հաստատելու մասին» ՀՀ կառավարության որոշման նախագծի վերաբերյալ առաջարկվում է.</w:t>
            </w:r>
          </w:p>
          <w:p>
            <w:pPr>
              <w:pStyle w:val="ListParagraph"/>
              <w:numPr>
                <w:ilvl w:val="0"/>
                <w:numId w:val="47"/>
              </w:numPr>
              <w:shd w:val="clear" w:color="auto" w:fill="FFFFFF"/>
              <w:tabs>
                <w:tab w:val="left" w:pos="1134"/>
              </w:tabs>
              <w:spacing w:after="0" w:line="360" w:lineRule="auto"/>
              <w:jc w:val="both"/>
              <w:rPr>
                <w:rFonts w:ascii="GHEA Grapalat" w:hAnsi="GHEA Grapalat"/>
                <w:sz w:val="24"/>
                <w:szCs w:val="24"/>
                <w:lang w:val="hy-AM"/>
              </w:rPr>
            </w:pPr>
            <w:r>
              <w:rPr>
                <w:rFonts w:ascii="GHEA Grapalat" w:eastAsia="Times New Roman" w:hAnsi="GHEA Grapalat" w:cstheme="minorBidi"/>
                <w:bCs/>
                <w:sz w:val="24"/>
                <w:szCs w:val="24"/>
                <w:lang w:val="hy-AM"/>
              </w:rPr>
              <w:t>Հավելվածի 6-րդ կետի 4-րդ ենթակետի դ. պարբերությունում անհասկանալի է «անձի պարտարկում» ձևակերպումը: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center"/>
              <w:rPr>
                <w:rFonts w:ascii="GHEA Grapalat" w:eastAsia="Times New Roman" w:hAnsi="GHEA Grapalat"/>
                <w:b/>
                <w:sz w:val="24"/>
                <w:szCs w:val="24"/>
                <w:lang w:val="hy-AM"/>
              </w:rPr>
            </w:pPr>
          </w:p>
          <w:p>
            <w:pPr>
              <w:spacing w:after="0" w:line="360" w:lineRule="auto"/>
              <w:jc w:val="center"/>
              <w:rPr>
                <w:rFonts w:ascii="GHEA Grapalat" w:eastAsia="Times New Roman" w:hAnsi="GHEA Grapalat"/>
                <w:b/>
                <w:sz w:val="24"/>
                <w:szCs w:val="24"/>
                <w:lang w:val="hy-AM"/>
              </w:rPr>
            </w:pPr>
          </w:p>
          <w:p>
            <w:pPr>
              <w:spacing w:after="0" w:line="360" w:lineRule="auto"/>
              <w:jc w:val="center"/>
              <w:rPr>
                <w:rFonts w:ascii="GHEA Grapalat" w:eastAsia="Times New Roman" w:hAnsi="GHEA Grapalat"/>
                <w:b/>
                <w:sz w:val="24"/>
                <w:szCs w:val="24"/>
                <w:lang w:val="hy-AM"/>
              </w:rPr>
            </w:pPr>
          </w:p>
          <w:p>
            <w:pPr>
              <w:spacing w:after="0" w:line="360" w:lineRule="auto"/>
              <w:rPr>
                <w:rFonts w:ascii="GHEA Grapalat" w:eastAsia="Times New Roman" w:hAnsi="GHEA Grapalat"/>
                <w:b/>
                <w:sz w:val="24"/>
                <w:szCs w:val="24"/>
                <w:lang w:val="hy-AM"/>
              </w:rPr>
            </w:pPr>
          </w:p>
          <w:p>
            <w:pPr>
              <w:spacing w:after="0" w:line="360" w:lineRule="auto"/>
              <w:rPr>
                <w:rFonts w:ascii="GHEA Grapalat" w:eastAsia="Times New Roman" w:hAnsi="GHEA Grapalat"/>
                <w:b/>
                <w:sz w:val="24"/>
                <w:szCs w:val="24"/>
                <w:lang w:val="hy-AM"/>
              </w:rPr>
            </w:pPr>
            <w:r>
              <w:rPr>
                <w:rFonts w:ascii="GHEA Grapalat" w:eastAsia="Times New Roman" w:hAnsi="GHEA Grapalat"/>
                <w:sz w:val="24"/>
                <w:szCs w:val="24"/>
                <w:lang w:val="hy-AM"/>
              </w:rPr>
              <w:t>1</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spacing w:after="0" w:line="36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«Պարտակել» եզրույթը լայնորեն կիրառելի է քրեաիրավական ոլորտում և իրենից ներկայացնում է թաքցնելու, քողարկելու, ծածկելու, գաղտնի պահելու հոմանիշ: Բացի այդ, ՀՀ քրեական օրենսգրքում անձի պարտակելու մասին հիշատակվում է</w:t>
            </w:r>
            <w:r>
              <w:rPr>
                <w:rFonts w:ascii="GHEA Grapalat" w:hAnsi="GHEA Grapalat"/>
                <w:bCs/>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Հանցակիցների տեսակները վերտառությամբ 46-րդ հոդվածում, Հանցանք կատարած անձին աջակցելը վերտառոջւթյամբ 474-րդ հոդվածում և այլուր:</w:t>
            </w:r>
            <w:r>
              <w:rPr>
                <w:rFonts w:ascii="GHEA Grapalat" w:eastAsia="Times New Roman" w:hAnsi="GHEA Grapalat"/>
                <w:bCs/>
                <w:sz w:val="24"/>
                <w:szCs w:val="24"/>
                <w:lang w:val="hy-AM"/>
              </w:rPr>
              <w:t xml:space="preserve"> </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cs="Arial"/>
                <w:spacing w:val="-8"/>
                <w:sz w:val="24"/>
                <w:szCs w:val="24"/>
                <w:shd w:val="clear" w:color="auto" w:fill="FFFFFF"/>
                <w:lang w:val="hy-AM"/>
              </w:rPr>
            </w:pPr>
            <w:r>
              <w:rPr>
                <w:rFonts w:ascii="GHEA Grapalat" w:eastAsiaTheme="minorHAnsi" w:hAnsi="GHEA Grapalat" w:cstheme="minorBidi"/>
                <w:spacing w:val="-1"/>
                <w:sz w:val="24"/>
                <w:szCs w:val="24"/>
                <w:lang w:val="hy-AM"/>
              </w:rPr>
              <w:lastRenderedPageBreak/>
              <w:t>Հավելվածի 6-րդ կետի 5-րդ ենթակետի դ. պարբերությունում անհասկանալի է, թե ինչպես է անձին դիտարկվելու որպես գույքի կամ տարածքի բաղկացուցիչ մաս:</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2.</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spacing w:after="0" w:line="360" w:lineRule="auto"/>
              <w:jc w:val="both"/>
              <w:rPr>
                <w:rFonts w:ascii="GHEA Grapalat" w:eastAsia="Times New Roman" w:hAnsi="GHEA Grapalat"/>
                <w:b/>
                <w:sz w:val="24"/>
                <w:szCs w:val="24"/>
                <w:lang w:val="hy-AM"/>
              </w:rPr>
            </w:pPr>
            <w:r>
              <w:rPr>
                <w:rFonts w:ascii="GHEA Grapalat" w:hAnsi="GHEA Grapalat"/>
                <w:spacing w:val="-1"/>
                <w:sz w:val="24"/>
                <w:szCs w:val="24"/>
                <w:lang w:val="hy-AM"/>
              </w:rPr>
              <w:t xml:space="preserve">Մարդկանց թրաֆիքինգը կամ շահագործումն ուղեկցվում է մարդու ապրանքայնացմամբ, մասնավորապես, եթե խոսվում է ստրկության կամ ստրկությանը նմանվող վիճակի մասին: Քննարկվող ցուցիչը, այն է՝ որպես գույքի կամ տարածքի բաղկացուցիչ մաս՝ անձի կամ նրա իրավունքների նկատմամբ վերահսկողության ընդունումը, վերաբերում է այն դեպքերին, երբ օրինակ՝ վաճառում են արտադրամաս, որտեղ աշխատող անձանց նույնպես փոխանցում են արտադրամասը գնորդին՝ առանց այդ աշխատողների կարծիքը հաշվի առնելու՝ անգամ այն դեպքում, եթե փոխվելու է աշխատանքի բնույթ ու պայմանները: Քանի որ </w:t>
            </w:r>
            <w:r>
              <w:rPr>
                <w:rFonts w:ascii="GHEA Grapalat" w:hAnsi="GHEA Grapalat"/>
                <w:spacing w:val="-1"/>
                <w:sz w:val="24"/>
                <w:szCs w:val="24"/>
                <w:lang w:val="hy-AM"/>
              </w:rPr>
              <w:lastRenderedPageBreak/>
              <w:t>ստրկությունն իրենից ներկայացնում է մարդուն որպես գույքի վերաբերվելը, ինչն ամրագրված է նաև Ստրկության մասին կոնվենցիայում, այս ցուցիչով որոշվելու է նման վերաբերմունքը թրաֆիքինգի կամ շահագործման զոհի նկատմամբ:</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lastRenderedPageBreak/>
              <w:t>Հավելվածի 7-րդ կետի 1-ին ենթակետում առաջարկում ենք քննարկել ա. և բ. պարբերությունների միավորման նպատակահարմարությունը: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rPr>
                <w:rFonts w:ascii="GHEA Grapalat" w:eastAsia="Times New Roman" w:hAnsi="GHEA Grapalat"/>
                <w:b/>
                <w:sz w:val="24"/>
                <w:szCs w:val="24"/>
                <w:lang w:val="hy-AM"/>
              </w:rPr>
            </w:pPr>
            <w:r>
              <w:rPr>
                <w:rFonts w:ascii="GHEA Grapalat" w:eastAsia="Times New Roman" w:hAnsi="GHEA Grapalat"/>
                <w:sz w:val="24"/>
                <w:szCs w:val="24"/>
                <w:lang w:val="hy-AM"/>
              </w:rPr>
              <w:t>3</w:t>
            </w:r>
            <w:r>
              <w:rPr>
                <w:rFonts w:ascii="GHEA Grapalat" w:eastAsia="Times New Roman" w:hAnsi="GHEA Grapalat"/>
                <w:b/>
                <w:sz w:val="24"/>
                <w:szCs w:val="24"/>
                <w:lang w:val="hy-AM"/>
              </w:rPr>
              <w:t>.</w:t>
            </w:r>
            <w:r>
              <w:rPr>
                <w:rFonts w:ascii="GHEA Grapalat" w:eastAsia="Times New Roman" w:hAnsi="GHEA Grapalat"/>
                <w:sz w:val="24"/>
                <w:szCs w:val="24"/>
                <w:lang w:val="hy-AM"/>
              </w:rPr>
              <w:t>Չի ընդունվել:</w:t>
            </w:r>
          </w:p>
          <w:p>
            <w:pPr>
              <w:tabs>
                <w:tab w:val="left" w:pos="426"/>
                <w:tab w:val="left" w:pos="709"/>
                <w:tab w:val="left" w:pos="1276"/>
              </w:tabs>
              <w:spacing w:after="0" w:line="360" w:lineRule="auto"/>
              <w:ind w:firstLine="567"/>
              <w:jc w:val="both"/>
              <w:rPr>
                <w:rFonts w:ascii="GHEA Grapalat" w:eastAsia="Times New Roman" w:hAnsi="GHEA Grapalat"/>
                <w:b/>
                <w:sz w:val="24"/>
                <w:szCs w:val="24"/>
                <w:lang w:val="hy-AM"/>
              </w:rPr>
            </w:pPr>
            <w:r>
              <w:rPr>
                <w:rFonts w:ascii="GHEA Grapalat" w:eastAsia="Times New Roman" w:hAnsi="GHEA Grapalat"/>
                <w:bCs/>
                <w:sz w:val="24"/>
                <w:szCs w:val="24"/>
                <w:lang w:val="hy-AM"/>
              </w:rPr>
              <w:t>ա</w:t>
            </w:r>
            <w:r>
              <w:rPr>
                <w:rFonts w:ascii="GHEA Grapalat" w:eastAsia="Times New Roman" w:hAnsi="GHEA Grapalat"/>
                <w:b/>
                <w:sz w:val="24"/>
                <w:szCs w:val="24"/>
                <w:lang w:val="hy-AM"/>
              </w:rPr>
              <w:t xml:space="preserve">. </w:t>
            </w:r>
            <w:r>
              <w:rPr>
                <w:rFonts w:ascii="GHEA Grapalat" w:eastAsia="Times New Roman" w:hAnsi="GHEA Grapalat"/>
                <w:bCs/>
                <w:sz w:val="24"/>
                <w:szCs w:val="24"/>
                <w:lang w:val="hy-AM"/>
              </w:rPr>
              <w:t>կետում ներկայացված են բռնության անմիջական հետևանքները՝</w:t>
            </w:r>
            <w:r>
              <w:rPr>
                <w:rFonts w:ascii="GHEA Grapalat" w:eastAsia="Times New Roman" w:hAnsi="GHEA Grapalat"/>
                <w:b/>
                <w:sz w:val="24"/>
                <w:szCs w:val="24"/>
                <w:lang w:val="hy-AM"/>
              </w:rPr>
              <w:t xml:space="preserve"> </w:t>
            </w:r>
            <w:r>
              <w:rPr>
                <w:rFonts w:ascii="GHEA Grapalat" w:hAnsi="GHEA Grapalat"/>
                <w:sz w:val="24"/>
                <w:szCs w:val="24"/>
                <w:lang w:val="hy-AM"/>
              </w:rPr>
              <w:t>մարմնական վնասվածքները. կոտրվածքներ, արյունազեղումներ, այտուցներ, քերծվածքներ, ցանկացած այլ վնասներ, իսկ բ. կետում ներկայացվում են</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ֆիզիկական բռնության հետքերի լավացման արդյունք-հետևանքները. սպիներ, կպումներ, այլ հետքեր: Զուդ </w:t>
            </w:r>
            <w:r>
              <w:rPr>
                <w:rFonts w:ascii="GHEA Grapalat" w:hAnsi="GHEA Grapalat"/>
                <w:sz w:val="24"/>
                <w:szCs w:val="24"/>
                <w:lang w:val="hy-AM"/>
              </w:rPr>
              <w:lastRenderedPageBreak/>
              <w:t>ցուցանիշային առումով դրանց տարանջատումը հնարավորություն է ընձեռում հասկանալ ֆիզիկական բռնության կիրառման վաղեմությունը և պարբերականությունը: Օրինակ, նույն անձի մոտ հայտնաբերվել են և սպիացած վնասվածքներ կամ կպումներ և 1-2 օրվա վաղեմությամբ արյունազեղումներ և քերծվածքներ:</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lastRenderedPageBreak/>
              <w:t>Հավելվածի 7-րդ կետի 1-ին ենթակետի ե. պարբերությունն արդյոք նախատեսում է նույն ենթակետի ա.-դ. ենթակետերի բացակայություն:</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4</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spacing w:after="0" w:line="36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Նույն ենթակետի սահմաններում ցուցիչները միմյանց չեն բացառում, այլ ընդհակառակը կարող են փոխլրացնել և հնարավոր է, որ նույնացման ընթացքում հիմնավորվեն նույն ենթակետում առկա մի քանի ցուցիչներ, օրինակ՝ Հավելվածի 7-րդ կետի 1-ին ենթակետի ա., բ., ե. Ենթակետերը կարող են հանդես գալ </w:t>
            </w:r>
            <w:r>
              <w:rPr>
                <w:rFonts w:ascii="GHEA Grapalat" w:eastAsia="Times New Roman" w:hAnsi="GHEA Grapalat"/>
                <w:bCs/>
                <w:sz w:val="24"/>
                <w:szCs w:val="24"/>
                <w:lang w:val="hy-AM"/>
              </w:rPr>
              <w:lastRenderedPageBreak/>
              <w:t>միաժամանակ նույն անձի նույնացման ընթացքում:</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cs="Arial"/>
                <w:spacing w:val="-8"/>
                <w:sz w:val="24"/>
                <w:szCs w:val="24"/>
                <w:shd w:val="clear" w:color="auto" w:fill="FFFFFF"/>
                <w:lang w:val="hy-AM"/>
              </w:rPr>
            </w:pPr>
            <w:r>
              <w:rPr>
                <w:rFonts w:ascii="GHEA Grapalat" w:eastAsia="Times New Roman" w:hAnsi="GHEA Grapalat" w:cstheme="minorBidi"/>
                <w:bCs/>
                <w:sz w:val="24"/>
                <w:szCs w:val="24"/>
                <w:lang w:val="hy-AM"/>
              </w:rPr>
              <w:lastRenderedPageBreak/>
              <w:t>Հավելվածի 7-րդ կետի 2-րդ ենթակետի ա. պարբերությունն արդյոք նախատեսում է ականատեսին ևս որպես մարդկանց թրաֆիքինգի և շահագործման զոհ դիտարկելու հարցը: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5</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tabs>
                <w:tab w:val="left" w:pos="709"/>
                <w:tab w:val="left" w:pos="993"/>
                <w:tab w:val="left" w:pos="1276"/>
              </w:tabs>
              <w:spacing w:after="0" w:line="360" w:lineRule="auto"/>
              <w:jc w:val="both"/>
              <w:rPr>
                <w:rFonts w:ascii="GHEA Grapalat" w:hAnsi="GHEA Grapalat"/>
                <w:sz w:val="24"/>
                <w:szCs w:val="24"/>
                <w:lang w:val="hy-AM"/>
              </w:rPr>
            </w:pPr>
            <w:r>
              <w:rPr>
                <w:rFonts w:ascii="GHEA Grapalat" w:eastAsia="Times New Roman" w:hAnsi="GHEA Grapalat"/>
                <w:bCs/>
                <w:sz w:val="24"/>
                <w:szCs w:val="24"/>
                <w:lang w:val="hy-AM"/>
              </w:rPr>
              <w:t>Քննարկվող ցուցիչը հետևյալն է՝</w:t>
            </w:r>
            <w:r>
              <w:rPr>
                <w:rFonts w:ascii="GHEA Grapalat" w:eastAsia="Times New Roman" w:hAnsi="GHEA Grapalat"/>
                <w:b/>
                <w:sz w:val="24"/>
                <w:szCs w:val="24"/>
                <w:lang w:val="hy-AM"/>
              </w:rPr>
              <w:t xml:space="preserve"> </w:t>
            </w:r>
            <w:r>
              <w:rPr>
                <w:rFonts w:ascii="GHEA Grapalat" w:hAnsi="GHEA Grapalat"/>
                <w:sz w:val="24"/>
                <w:szCs w:val="24"/>
                <w:lang w:val="hy-AM"/>
              </w:rPr>
              <w:t xml:space="preserve">ֆիզիկական կամ հոգեբանական բռնության կիրառման ականատես լինելը՝ ականատեսի նկատմամբ գործադրելու սպառնալիքով: Այդ ցուցիչը վերաբերում է բռնության սպառնալիքին, այսինքն՝ հոգեբանական բռնությանը, երբ օրինակ՝ նոր բերված անձանց ներկայությամբ շատ դաժան ծեծի են ենթարկում մի անձի, ասելով, որ նա հրաժարվել է աշխատանք կատարելուց կամ ծառայություններ մատուցելուց, և եթե նորեկներն էլ հրաժարվեն՝ նույնը սպասում է նրանց: Այսինքն, առկա է բռնության ականատես լինելը և </w:t>
            </w:r>
            <w:r>
              <w:rPr>
                <w:rFonts w:ascii="GHEA Grapalat" w:hAnsi="GHEA Grapalat"/>
                <w:sz w:val="24"/>
                <w:szCs w:val="24"/>
                <w:lang w:val="hy-AM"/>
              </w:rPr>
              <w:lastRenderedPageBreak/>
              <w:t xml:space="preserve">հետագայում բռնության կիրառման հավանականությունը: Երկու հանգամանքն էլ նշված են քննարկվող ցուցիչում: </w:t>
            </w:r>
          </w:p>
          <w:p>
            <w:pPr>
              <w:tabs>
                <w:tab w:val="left" w:pos="709"/>
                <w:tab w:val="left" w:pos="993"/>
                <w:tab w:val="left" w:pos="1276"/>
              </w:tabs>
              <w:spacing w:after="0" w:line="360" w:lineRule="auto"/>
              <w:jc w:val="both"/>
              <w:rPr>
                <w:rFonts w:ascii="GHEA Grapalat" w:eastAsia="Times New Roman" w:hAnsi="GHEA Grapalat"/>
                <w:b/>
                <w:sz w:val="24"/>
                <w:szCs w:val="24"/>
                <w:lang w:val="hy-AM"/>
              </w:rPr>
            </w:pPr>
            <w:r>
              <w:rPr>
                <w:rFonts w:ascii="GHEA Grapalat" w:hAnsi="GHEA Grapalat"/>
                <w:sz w:val="24"/>
                <w:szCs w:val="24"/>
                <w:lang w:val="hy-AM"/>
              </w:rPr>
              <w:t>Անձին զոհ ճանաչելու համար, բացի այս ցուցիչից պետք է լինեն նաև գործողության և շահագործման մեկական ցուցիչներ:</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lastRenderedPageBreak/>
              <w:t>Առաջարկում ենք ևս մեկ անգամ վերանայել ցուցիչները՝ բացառելու համար հնարավոր կրկնությունները (օրինակ՝ հավելվածի 7-րդ կետի 2-րդ ենթակետի դ., զ. պարբերությունների և նույն կետի 3-րդ ենթակետի ա. պարբերությունը և այլն):</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6</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spacing w:after="0" w:line="360" w:lineRule="auto"/>
              <w:rPr>
                <w:rFonts w:ascii="GHEA Grapalat" w:eastAsia="Times New Roman" w:hAnsi="GHEA Grapalat"/>
                <w:b/>
                <w:sz w:val="24"/>
                <w:szCs w:val="24"/>
                <w:lang w:val="hy-AM"/>
              </w:rPr>
            </w:pPr>
            <w:r>
              <w:rPr>
                <w:rFonts w:ascii="GHEA Grapalat" w:eastAsia="Times New Roman" w:hAnsi="GHEA Grapalat"/>
                <w:bCs/>
                <w:sz w:val="24"/>
                <w:szCs w:val="24"/>
                <w:lang w:val="hy-AM"/>
              </w:rPr>
              <w:t>Այստեղ կրկնությունները բացակայում են, քանի որ նույն ցուցիչները կարող են լինել մարդկանց թրաֆիքինգի կամ շահագործման տարբեր բաղկացուցիչների վերաբերյալ: Քննարկվող ենթակետերում դրանք են՝</w:t>
            </w:r>
            <w:r>
              <w:rPr>
                <w:rFonts w:ascii="GHEA Grapalat" w:eastAsia="Times New Roman" w:hAnsi="GHEA Grapalat"/>
                <w:b/>
                <w:sz w:val="24"/>
                <w:szCs w:val="24"/>
                <w:lang w:val="hy-AM"/>
              </w:rPr>
              <w:t xml:space="preserve"> </w:t>
            </w:r>
            <w:r>
              <w:rPr>
                <w:rFonts w:ascii="GHEA Grapalat" w:hAnsi="GHEA Grapalat"/>
                <w:color w:val="000000"/>
                <w:sz w:val="24"/>
                <w:szCs w:val="24"/>
                <w:shd w:val="clear" w:color="auto" w:fill="FFFFFF"/>
                <w:lang w:val="hy-AM"/>
              </w:rPr>
              <w:t>բռնություն գործադրելու սպառնալիքը և հարկադրանքի այլ ձևերը:</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lastRenderedPageBreak/>
              <w:t>Առաջարկում ենք վերանայել հավելվածի 7-րդ կետի 4-րդ ենթակետի տարբերակները՝ հաշվի առնելով, որ դրանք կարող են նաև կիրառվել՝ առանց անձի առևանգման:</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7</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Չի ընդունվել:</w:t>
            </w:r>
          </w:p>
          <w:p>
            <w:pPr>
              <w:spacing w:after="0" w:line="360" w:lineRule="auto"/>
              <w:jc w:val="both"/>
              <w:rPr>
                <w:rFonts w:ascii="GHEA Grapalat" w:eastAsia="Times New Roman" w:hAnsi="GHEA Grapalat"/>
                <w:b/>
                <w:sz w:val="24"/>
                <w:szCs w:val="24"/>
                <w:lang w:val="hy-AM"/>
              </w:rPr>
            </w:pPr>
            <w:r>
              <w:rPr>
                <w:rFonts w:ascii="GHEA Grapalat" w:eastAsia="Times New Roman" w:hAnsi="GHEA Grapalat"/>
                <w:bCs/>
                <w:sz w:val="24"/>
                <w:szCs w:val="24"/>
                <w:lang w:val="hy-AM"/>
              </w:rPr>
              <w:t>Այն, որ Հավելվածի 7</w:t>
            </w:r>
            <w:r>
              <w:rPr>
                <w:rFonts w:ascii="GHEA Grapalat" w:hAnsi="GHEA Grapalat" w:cs="Arial"/>
                <w:bCs/>
                <w:spacing w:val="-8"/>
                <w:sz w:val="24"/>
                <w:szCs w:val="24"/>
                <w:shd w:val="clear" w:color="auto" w:fill="FFFFFF"/>
                <w:lang w:val="hy-AM"/>
              </w:rPr>
              <w:t>-րդ</w:t>
            </w:r>
            <w:r>
              <w:rPr>
                <w:rFonts w:ascii="GHEA Grapalat" w:hAnsi="GHEA Grapalat" w:cs="Arial"/>
                <w:spacing w:val="-8"/>
                <w:sz w:val="24"/>
                <w:szCs w:val="24"/>
                <w:shd w:val="clear" w:color="auto" w:fill="FFFFFF"/>
                <w:lang w:val="hy-AM"/>
              </w:rPr>
              <w:t xml:space="preserve"> կետի 4-րդ ենթակետի ցուցիչները կարող են նաև կիրառվել՝ առանց անձի առևանգման, ընդունելի է և չի վիճարկվում, սակայն այստեղ դրանք դիտարկվում են հենց առևանգման առնչությամբ՝ որպես առևանգման, այլ ոչ թե այլ բաղկացուցիչի ցուցիչներ:</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t>Հավելվածի 7-րդ կետի 7-րդ ենթակետի դ. պարբերությունում անհրաժեշտ է հստակեցնել, թե պարտքային կախվածությունը ինչին է վերաբերում՝ ֆինանսին, թե այլ տարբերակների: Միևնույն դիտարկումը վերաբերում է նաև նույն ենթակետի ե. պարբերությանը: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8</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p>
            <w:pPr>
              <w:spacing w:after="0" w:line="360" w:lineRule="auto"/>
              <w:jc w:val="both"/>
              <w:rPr>
                <w:rFonts w:ascii="GHEA Grapalat" w:eastAsia="Times New Roman" w:hAnsi="GHEA Grapalat"/>
                <w:bCs/>
                <w:sz w:val="24"/>
                <w:szCs w:val="24"/>
                <w:lang w:val="hy-AM"/>
              </w:rPr>
            </w:pPr>
            <w:r>
              <w:rPr>
                <w:rFonts w:ascii="GHEA Grapalat" w:hAnsi="GHEA Grapalat" w:cs="Arial"/>
                <w:spacing w:val="-8"/>
                <w:sz w:val="24"/>
                <w:szCs w:val="24"/>
                <w:shd w:val="clear" w:color="auto" w:fill="FFFFFF"/>
                <w:lang w:val="hy-AM"/>
              </w:rPr>
              <w:t xml:space="preserve">Հավելվածի 7-րդ կետի 7-րդ ենթակետի դ. պարբերությունում խոսվում է </w:t>
            </w:r>
            <w:r>
              <w:rPr>
                <w:rFonts w:ascii="GHEA Grapalat" w:hAnsi="GHEA Grapalat"/>
                <w:sz w:val="24"/>
                <w:szCs w:val="24"/>
                <w:lang w:val="hy-AM"/>
              </w:rPr>
              <w:t xml:space="preserve">պարտքային և ֆինանսական այլ </w:t>
            </w:r>
            <w:r>
              <w:rPr>
                <w:rFonts w:ascii="GHEA Grapalat" w:hAnsi="GHEA Grapalat" w:cs="Arial"/>
                <w:spacing w:val="-8"/>
                <w:sz w:val="24"/>
                <w:szCs w:val="24"/>
                <w:shd w:val="clear" w:color="auto" w:fill="FFFFFF"/>
                <w:lang w:val="hy-AM"/>
              </w:rPr>
              <w:t>ցանկացած</w:t>
            </w:r>
            <w:r>
              <w:rPr>
                <w:rFonts w:ascii="GHEA Grapalat" w:hAnsi="GHEA Grapalat"/>
                <w:sz w:val="24"/>
                <w:szCs w:val="24"/>
                <w:lang w:val="hy-AM"/>
              </w:rPr>
              <w:t xml:space="preserve"> կախվածության</w:t>
            </w:r>
            <w:r>
              <w:rPr>
                <w:rFonts w:ascii="GHEA Grapalat" w:hAnsi="GHEA Grapalat" w:cs="Arial"/>
                <w:spacing w:val="-8"/>
                <w:sz w:val="24"/>
                <w:szCs w:val="24"/>
                <w:shd w:val="clear" w:color="auto" w:fill="FFFFFF"/>
                <w:lang w:val="hy-AM"/>
              </w:rPr>
              <w:t xml:space="preserve"> մասին, ինչի վերաբերյալ ուղղակիորեն նշված է ցուցիչում:</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cs="Arial"/>
                <w:spacing w:val="-8"/>
                <w:sz w:val="24"/>
                <w:szCs w:val="24"/>
                <w:shd w:val="clear" w:color="auto" w:fill="FFFFFF"/>
                <w:lang w:val="hy-AM"/>
              </w:rPr>
            </w:pPr>
            <w:r>
              <w:rPr>
                <w:rFonts w:ascii="GHEA Grapalat" w:eastAsia="Times New Roman" w:hAnsi="GHEA Grapalat" w:cstheme="minorBidi"/>
                <w:bCs/>
                <w:sz w:val="24"/>
                <w:szCs w:val="24"/>
                <w:lang w:val="hy-AM"/>
              </w:rPr>
              <w:t>Իմաստային առումով խմբագրման կարիք ունի հավելվածի 7-րդ կետի 7-րդ ենթակետի ժբ. պարբերությունը: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9</w:t>
            </w: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Չի ընդունվել,</w:t>
            </w:r>
            <w:r>
              <w:rPr>
                <w:rFonts w:ascii="GHEA Grapalat" w:eastAsia="Times New Roman" w:hAnsi="GHEA Grapalat"/>
                <w:b/>
                <w:sz w:val="24"/>
                <w:szCs w:val="24"/>
                <w:lang w:val="hy-AM"/>
              </w:rPr>
              <w:t xml:space="preserve"> </w:t>
            </w:r>
            <w:r>
              <w:rPr>
                <w:rFonts w:ascii="GHEA Grapalat" w:eastAsia="Times New Roman" w:hAnsi="GHEA Grapalat"/>
                <w:bCs/>
                <w:sz w:val="24"/>
                <w:szCs w:val="24"/>
                <w:lang w:val="hy-AM"/>
              </w:rPr>
              <w:t>քանի որ նաև ՀՀ քրեական օրենսգիրքն է կիրառում «ի</w:t>
            </w:r>
            <w:r>
              <w:rPr>
                <w:rFonts w:ascii="GHEA Grapalat" w:hAnsi="GHEA Grapalat"/>
                <w:bCs/>
                <w:color w:val="000000"/>
                <w:sz w:val="24"/>
                <w:szCs w:val="24"/>
                <w:shd w:val="clear" w:color="auto" w:fill="FFFFFF"/>
                <w:lang w:val="hy-AM"/>
              </w:rPr>
              <w:t xml:space="preserve">շխանական կամ ծառայողական </w:t>
            </w:r>
            <w:r>
              <w:rPr>
                <w:rFonts w:ascii="GHEA Grapalat" w:hAnsi="GHEA Grapalat"/>
                <w:bCs/>
                <w:color w:val="000000"/>
                <w:sz w:val="24"/>
                <w:szCs w:val="24"/>
                <w:shd w:val="clear" w:color="auto" w:fill="FFFFFF"/>
                <w:lang w:val="hy-AM"/>
              </w:rPr>
              <w:lastRenderedPageBreak/>
              <w:t>լիազորությունները</w:t>
            </w:r>
            <w:r>
              <w:rPr>
                <w:rFonts w:ascii="GHEA Grapalat" w:eastAsia="Times New Roman" w:hAnsi="GHEA Grapalat"/>
                <w:bCs/>
                <w:sz w:val="24"/>
                <w:szCs w:val="24"/>
                <w:lang w:val="hy-AM"/>
              </w:rPr>
              <w:t>» ձևակերպումը, որոնք կարող են այդ լիազորություններ ունեցող անձի կողմից կա՛մ չարաշահվեն, կա՛մ վերազանցվեն:</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lastRenderedPageBreak/>
              <w:t>Անհասկանալի է հավելվածի 7-րդ կետի 7-րդ ենթակետի ժդ. պարբերությունը: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10. Ընդունվել է ի գիտություն:</w:t>
            </w:r>
          </w:p>
          <w:p>
            <w:pPr>
              <w:spacing w:after="0" w:line="360" w:lineRule="auto"/>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Այդ ցուցիչը վերաբերում է այն դեպքերին, երբ անձի նկատմամբ արված լավությունը կամ տրամադրված օգնությունը կամ աջակցությունը, հետագայում չարաշահվում է և հիմք հանդիսանում անձին շահագործելու համար: Օրինակ՝ փողոցային կռվում կնոջը փրկած անձը, շահարկելով իր «փրկիչ» լինելը, և իր բացակայության դեպքում հնարավոր ծանր հետևանքների առաջացումը, կարողանում է ազդել կնոջ վրա և </w:t>
            </w:r>
            <w:r>
              <w:rPr>
                <w:rFonts w:ascii="GHEA Grapalat" w:eastAsia="Times New Roman" w:hAnsi="GHEA Grapalat"/>
                <w:bCs/>
                <w:sz w:val="24"/>
                <w:szCs w:val="24"/>
                <w:lang w:val="hy-AM"/>
              </w:rPr>
              <w:lastRenderedPageBreak/>
              <w:t>ներգրավվել շահագործման որևէ ձևի մեջ:</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sz w:val="24"/>
                <w:szCs w:val="24"/>
                <w:lang w:val="hy-AM"/>
              </w:rPr>
            </w:pPr>
            <w:r>
              <w:rPr>
                <w:rFonts w:ascii="GHEA Grapalat" w:eastAsia="Times New Roman" w:hAnsi="GHEA Grapalat" w:cstheme="minorBidi"/>
                <w:bCs/>
                <w:sz w:val="24"/>
                <w:szCs w:val="24"/>
                <w:lang w:val="hy-AM"/>
              </w:rPr>
              <w:lastRenderedPageBreak/>
              <w:t>Անհրաժեշտ է հստակեցնել հավելվածի 7-րդ կետի 8-րդ ենթակետի ե. պարբերությունն այն առումով, որ խոսք է գնում բնակության վայրի պայմանների ընտրության մասին, մինչդեռ ենթակետը վերաբերում է հանցագործությունից տուժած անձին վերահսկող անձի հետ փոխհամաձայնության մասին:</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11. Ընդունվել է ի գիտություն:</w:t>
            </w:r>
          </w:p>
          <w:p>
            <w:pPr>
              <w:spacing w:after="0" w:line="360" w:lineRule="auto"/>
              <w:jc w:val="both"/>
              <w:rPr>
                <w:rFonts w:ascii="GHEA Grapalat" w:eastAsia="Times New Roman" w:hAnsi="GHEA Grapalat"/>
                <w:b/>
                <w:sz w:val="24"/>
                <w:szCs w:val="24"/>
                <w:lang w:val="hy-AM"/>
              </w:rPr>
            </w:pPr>
            <w:r>
              <w:rPr>
                <w:rFonts w:ascii="GHEA Grapalat" w:hAnsi="GHEA Grapalat" w:cs="Arial"/>
                <w:spacing w:val="-8"/>
                <w:sz w:val="24"/>
                <w:szCs w:val="24"/>
                <w:shd w:val="clear" w:color="auto" w:fill="FFFFFF"/>
                <w:lang w:val="hy-AM"/>
              </w:rPr>
              <w:t xml:space="preserve">Հանցագործությունից տուժած անձին վերահսկող անձի հետ փոխհամաձայնությունը կարող է դրսևորվել տարբեր ձևերով ու վերահսկողական մեխանիզմներով, որոնց մեջ ներառվում է նաև </w:t>
            </w:r>
            <w:r>
              <w:rPr>
                <w:rFonts w:ascii="GHEA Grapalat" w:hAnsi="GHEA Grapalat"/>
                <w:sz w:val="24"/>
                <w:szCs w:val="24"/>
                <w:lang w:val="hy-AM"/>
              </w:rPr>
              <w:t>վերահսկող անձի կողմից անձի աշխատանքի, բնակության վայրի կամ այլ պայմանների ընտրությունն ու դրանց վերահսկումը: Այսինքն՝ վերահսկող անձը զոհի փոխարեն որոշել է թե՛ նրա աշխատանքի վայրը, թե՛ բնակության:</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cs="Arial"/>
                <w:spacing w:val="-8"/>
                <w:sz w:val="24"/>
                <w:szCs w:val="24"/>
                <w:shd w:val="clear" w:color="auto" w:fill="FFFFFF"/>
                <w:lang w:val="hy-AM"/>
              </w:rPr>
            </w:pPr>
            <w:r>
              <w:rPr>
                <w:rFonts w:ascii="GHEA Grapalat" w:eastAsia="Times New Roman" w:hAnsi="GHEA Grapalat" w:cstheme="minorBidi"/>
                <w:bCs/>
                <w:sz w:val="24"/>
                <w:szCs w:val="24"/>
                <w:lang w:val="hy-AM"/>
              </w:rPr>
              <w:t>Առաջարկում ենք քննարկել հավելվածի 8-րդ կետի 1-ին և 2-րդ ենթակետերի միավորման հարցը՝ հաշվի առնելով, որ խոսքը մարդկանց շահագործման նույնաբովանդակ ձևերի մասին է:</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12. Չի ընդունվել</w:t>
            </w:r>
            <w:r>
              <w:rPr>
                <w:rFonts w:ascii="GHEA Grapalat" w:eastAsia="Times New Roman" w:hAnsi="GHEA Grapalat"/>
                <w:b/>
                <w:sz w:val="24"/>
                <w:szCs w:val="24"/>
                <w:lang w:val="hy-AM"/>
              </w:rPr>
              <w:t xml:space="preserve">, </w:t>
            </w:r>
            <w:r>
              <w:rPr>
                <w:rFonts w:ascii="GHEA Grapalat" w:eastAsia="Times New Roman" w:hAnsi="GHEA Grapalat"/>
                <w:bCs/>
                <w:sz w:val="24"/>
                <w:szCs w:val="24"/>
                <w:lang w:val="hy-AM"/>
              </w:rPr>
              <w:t xml:space="preserve">քանի որ պոռնկության շահագործումը և սեռական շահագործման այլ ձևերն իրարից տարբերվում են ոչ միայն </w:t>
            </w:r>
            <w:r>
              <w:rPr>
                <w:rFonts w:ascii="GHEA Grapalat" w:eastAsia="Times New Roman" w:hAnsi="GHEA Grapalat"/>
                <w:bCs/>
                <w:sz w:val="24"/>
                <w:szCs w:val="24"/>
                <w:lang w:val="hy-AM"/>
              </w:rPr>
              <w:lastRenderedPageBreak/>
              <w:t>բովանդակությամբ, այլ նաև բնութագրիչներով, ինչից ելնելով գործնականում անհրաժեշտություն է առաջանում տարբերակված մոտեցում դրսևորել սեռական շահագործման երկու ձևերի նկատմամբ՝ պոռնկության և սեռական շահագործման այլ ձևերի: Նման տարբերակված մոտըեցումն ամրագրված է թե՛ ՀՀ քրեական օրենսգրքում, թե՛ Օրենքում:</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cs="Arial"/>
                <w:spacing w:val="-8"/>
                <w:sz w:val="24"/>
                <w:szCs w:val="24"/>
                <w:shd w:val="clear" w:color="auto" w:fill="FFFFFF"/>
                <w:lang w:val="hy-AM"/>
              </w:rPr>
            </w:pPr>
            <w:r>
              <w:rPr>
                <w:rFonts w:ascii="GHEA Grapalat" w:eastAsia="Times New Roman" w:hAnsi="GHEA Grapalat" w:cstheme="minorBidi"/>
                <w:bCs/>
                <w:sz w:val="24"/>
                <w:szCs w:val="24"/>
                <w:lang w:val="hy-AM"/>
              </w:rPr>
              <w:lastRenderedPageBreak/>
              <w:t>Անհասկանալի է հավելվածի 9-րդ կետի 5-րդ ենթակետը, քանի որ ցուցիչը մեկնաբանված է թերի և անհասկանալի է, թե օրինակ տարբեր երեխաների՝ բնակության մեկ վայրում պահելը, որ դեպքերում կարող է պատճառ դառնալ՝ երեխային որպես հատուկ կատեգորիայի զոհ դիտարկելու համար:</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13. Չի ընդունվել:</w:t>
            </w:r>
          </w:p>
          <w:p>
            <w:pPr>
              <w:spacing w:after="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r>
              <w:rPr>
                <w:rFonts w:ascii="GHEA Grapalat" w:eastAsia="Times New Roman" w:hAnsi="GHEA Grapalat"/>
                <w:bCs/>
                <w:sz w:val="24"/>
                <w:szCs w:val="24"/>
                <w:lang w:val="hy-AM"/>
              </w:rPr>
              <w:t>Անհասկանալիությունը կարող է պայմանավոր</w:t>
            </w:r>
            <w:r>
              <w:rPr>
                <w:rFonts w:ascii="GHEA Grapalat" w:eastAsia="Calibri" w:hAnsi="GHEA Grapalat" w:cs="Times New Roman"/>
                <w:color w:val="000000"/>
                <w:sz w:val="24"/>
                <w:szCs w:val="24"/>
                <w:shd w:val="clear" w:color="auto" w:fill="FFFFFF"/>
                <w:lang w:val="hy-AM"/>
              </w:rPr>
              <w:t xml:space="preserve">ված լինի այդ ցուցիչը մեկուսացված դիտարկելու հանգամանքով: Քանի որ Հավելվածի 9-րդ կետը նշում է, որ Հատուկ կատեգորիայի զոհերի վերաբերյալ 6-րդ և 8-րդ կետերում ներկայացված </w:t>
            </w:r>
            <w:r>
              <w:rPr>
                <w:rFonts w:ascii="GHEA Grapalat" w:eastAsia="Calibri" w:hAnsi="GHEA Grapalat" w:cs="Times New Roman"/>
                <w:color w:val="000000"/>
                <w:sz w:val="24"/>
                <w:szCs w:val="24"/>
                <w:shd w:val="clear" w:color="auto" w:fill="FFFFFF"/>
                <w:lang w:val="hy-AM"/>
              </w:rPr>
              <w:lastRenderedPageBreak/>
              <w:t>ցուցիչներից զատ, կիրառելի են նաև հետևյալ ցուցիչները…. ձևակերպումը: Հետևաբար եթե առկա է միայն տարբեր երեխաների՝ բնակության մեկ վայրում պահելու ցուցիչը, այն չի կարող պատճառ դառնալ՝ երեխային որպես հատուկ կատեգորիայի զոհ դիտարկելու համար, անհրաժեշտ է լինելու նաև այլ ցուցիչների առկայություն: Ավելին, 9-րդ կետում թվարկված ցուցիչները համարվում են հավելյալ ցուցիչներ, այլ ոչ թե հիմնական, իսկ հիմնական ցուցիչները երեխաների առնչությամբ տրված են Հավելվածի</w:t>
            </w:r>
            <w:r>
              <w:rPr>
                <w:rFonts w:ascii="GHEA Grapalat" w:hAnsi="GHEA Grapalat" w:cs="Arial"/>
                <w:spacing w:val="-8"/>
                <w:sz w:val="24"/>
                <w:szCs w:val="24"/>
                <w:shd w:val="clear" w:color="auto" w:fill="FFFFFF"/>
                <w:lang w:val="hy-AM"/>
              </w:rPr>
              <w:t xml:space="preserve"> 6-րդ և 8-րդ կետերում:</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shd w:val="clear" w:color="auto" w:fill="FFFFFF"/>
              <w:tabs>
                <w:tab w:val="left" w:pos="1134"/>
              </w:tabs>
              <w:spacing w:after="0" w:line="360" w:lineRule="auto"/>
              <w:ind w:left="0" w:firstLine="567"/>
              <w:jc w:val="both"/>
              <w:rPr>
                <w:rFonts w:ascii="GHEA Grapalat" w:hAnsi="GHEA Grapalat" w:cs="Arial"/>
                <w:spacing w:val="-8"/>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Հավելվածի 9-րդ կետում առաջարկում ենք քննարկել նաև այն տարբերակը, երբ երեխան որդեգրվել է օրինական եղանակով, սակայն </w:t>
            </w:r>
            <w:r>
              <w:rPr>
                <w:rFonts w:ascii="GHEA Grapalat" w:hAnsi="GHEA Grapalat"/>
                <w:color w:val="000000"/>
                <w:sz w:val="24"/>
                <w:szCs w:val="24"/>
                <w:shd w:val="clear" w:color="auto" w:fill="FFFFFF"/>
                <w:lang w:val="hy-AM"/>
              </w:rPr>
              <w:lastRenderedPageBreak/>
              <w:t>ենթարկվել է շահագործման և առկա են նաև այլ պայմաններ՝ երեխային հատուկ կատեգորիայի զոհ դիտարկելու համար:</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14. Ընդունվել է ի գիտություն:</w:t>
            </w:r>
          </w:p>
          <w:p>
            <w:pPr>
              <w:spacing w:after="0" w:line="360" w:lineRule="auto"/>
              <w:jc w:val="both"/>
              <w:rPr>
                <w:rFonts w:ascii="GHEA Grapalat" w:eastAsia="Times New Roman" w:hAnsi="GHEA Grapalat"/>
                <w:b/>
                <w:sz w:val="24"/>
                <w:szCs w:val="24"/>
                <w:lang w:val="hy-AM"/>
              </w:rPr>
            </w:pPr>
            <w:r>
              <w:rPr>
                <w:rFonts w:ascii="GHEA Grapalat" w:eastAsia="Times New Roman" w:hAnsi="GHEA Grapalat"/>
                <w:bCs/>
                <w:sz w:val="24"/>
                <w:szCs w:val="24"/>
                <w:lang w:val="hy-AM"/>
              </w:rPr>
              <w:t xml:space="preserve">Նախկին որդեգորւմն այս դեպքում շահագործման հետ կապ չունի և </w:t>
            </w:r>
            <w:r>
              <w:rPr>
                <w:rFonts w:ascii="GHEA Grapalat" w:eastAsia="Times New Roman" w:hAnsi="GHEA Grapalat"/>
                <w:bCs/>
                <w:sz w:val="24"/>
                <w:szCs w:val="24"/>
                <w:lang w:val="hy-AM"/>
              </w:rPr>
              <w:lastRenderedPageBreak/>
              <w:t>շահագործման դիտավորության առաջացման պահից միայն կքննարկվի երեխայի թրաֆիքինգը կամ շահագործումը՝ Հավելվածի 6-րդ և 8-րդ կետերին համապատասխան:</w:t>
            </w: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tabs>
                <w:tab w:val="left" w:pos="1134"/>
              </w:tabs>
              <w:spacing w:after="0" w:line="360" w:lineRule="auto"/>
              <w:ind w:left="0" w:firstLine="567"/>
              <w:jc w:val="both"/>
              <w:rPr>
                <w:rFonts w:ascii="GHEA Grapalat" w:hAnsi="GHEA Grapalat"/>
                <w:sz w:val="24"/>
                <w:szCs w:val="24"/>
                <w:lang w:val="hy-AM"/>
              </w:rPr>
            </w:pPr>
            <w:r>
              <w:rPr>
                <w:rFonts w:ascii="GHEA Grapalat" w:hAnsi="GHEA Grapalat"/>
                <w:color w:val="000000"/>
                <w:sz w:val="24"/>
                <w:szCs w:val="24"/>
                <w:shd w:val="clear" w:color="auto" w:fill="FFFFFF"/>
                <w:lang w:val="hy-AM"/>
              </w:rPr>
              <w:lastRenderedPageBreak/>
              <w:t>Նախագծին կից ներկայացված հիմնավորման 1-ին կետի 1-ին պարբերությունը վերանայման կարիք ունի, քանի որ օրենքով սահմանված ժամկետում նախագիծը ոչ թե պետք է ներկայացվեր վարչապետի աշխատակազմ, այլ պետք է ընդունված լիներ:</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15. Ընդունվել է, կատարվել է համապատասխան փոփոխություն:</w:t>
            </w:r>
          </w:p>
          <w:p>
            <w:pPr>
              <w:spacing w:after="0" w:line="360" w:lineRule="auto"/>
              <w:jc w:val="center"/>
              <w:rPr>
                <w:rFonts w:ascii="GHEA Grapalat" w:eastAsia="Calibri" w:hAnsi="GHEA Grapalat" w:cs="Times New Roman"/>
                <w:color w:val="000000"/>
                <w:sz w:val="24"/>
                <w:szCs w:val="24"/>
                <w:shd w:val="clear" w:color="auto" w:fill="FFFFFF"/>
                <w:lang w:val="hy-AM"/>
              </w:rPr>
            </w:pPr>
          </w:p>
        </w:tc>
      </w:tr>
      <w:tr>
        <w:trPr>
          <w:gridAfter w:val="1"/>
          <w:wAfter w:w="54" w:type="dxa"/>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pPr>
              <w:pStyle w:val="ListParagraph"/>
              <w:numPr>
                <w:ilvl w:val="0"/>
                <w:numId w:val="47"/>
              </w:numPr>
              <w:tabs>
                <w:tab w:val="left" w:pos="1134"/>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հիմնավորման մեջ պետք է ներառել տեղեկատվություն լրացուցիչ ֆինանսական միջոցների անհրաժեշտության և պետական բյուջեի եկամուտներում և ծախսերում սպասվելիք փոփոխությունների մասին՝ հիմք ընդունելով Կառավարության՝ 25.02.2021թ. N 252-Լ որոշմամբ հաստատված հավելվածի 20-րդ կետի 2-րդ ենթակետը:</w:t>
            </w:r>
          </w:p>
        </w:tc>
        <w:tc>
          <w:tcPr>
            <w:tcW w:w="35" w:type="dxa"/>
            <w:tcBorders>
              <w:top w:val="outset" w:sz="6" w:space="0" w:color="auto"/>
              <w:left w:val="outset" w:sz="6" w:space="0" w:color="auto"/>
              <w:bottom w:val="outset" w:sz="6" w:space="0" w:color="auto"/>
              <w:right w:val="nil"/>
            </w:tcBorders>
            <w:shd w:val="clear" w:color="auto" w:fill="FFFFFF"/>
          </w:tcPr>
          <w:p>
            <w:pPr>
              <w:spacing w:after="0" w:line="360" w:lineRule="auto"/>
              <w:rPr>
                <w:rFonts w:ascii="Calibri" w:eastAsia="Times New Roman" w:hAnsi="Calibri"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360" w:lineRule="auto"/>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16. Ընդունվել է, կատարվել է համապատասխան փոփոխություն:</w:t>
            </w:r>
          </w:p>
          <w:p>
            <w:pPr>
              <w:spacing w:after="0" w:line="360" w:lineRule="auto"/>
              <w:jc w:val="center"/>
              <w:rPr>
                <w:rFonts w:ascii="GHEA Grapalat" w:eastAsia="Calibri" w:hAnsi="GHEA Grapalat" w:cs="Times New Roman"/>
                <w:color w:val="000000"/>
                <w:sz w:val="24"/>
                <w:szCs w:val="24"/>
                <w:shd w:val="clear" w:color="auto" w:fill="FFFFFF"/>
                <w:lang w:val="hy-AM"/>
              </w:rPr>
            </w:pPr>
          </w:p>
        </w:tc>
      </w:tr>
    </w:tbl>
    <w:p>
      <w:pPr>
        <w:spacing w:after="0" w:line="360" w:lineRule="auto"/>
        <w:jc w:val="center"/>
        <w:rPr>
          <w:rFonts w:ascii="GHEA Grapalat" w:hAnsi="GHEA Grapalat"/>
          <w:sz w:val="24"/>
          <w:szCs w:val="24"/>
          <w:lang w:val="hy-AM"/>
        </w:rPr>
      </w:pPr>
    </w:p>
    <w:sectPr>
      <w:foot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805106"/>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spacing w:line="240" w:lineRule="auto"/>
        <w:jc w:val="both"/>
        <w:rPr>
          <w:rFonts w:ascii="GHEA Grapalat" w:hAnsi="GHEA Grapalat"/>
          <w:sz w:val="20"/>
          <w:szCs w:val="20"/>
          <w:lang w:val="hy-AM"/>
        </w:rPr>
      </w:pPr>
      <w:r>
        <w:rPr>
          <w:rFonts w:ascii="GHEA Grapalat" w:hAnsi="GHEA Grapalat"/>
          <w:sz w:val="20"/>
          <w:szCs w:val="20"/>
          <w:vertAlign w:val="superscript"/>
        </w:rPr>
        <w:footnoteRef/>
      </w:r>
      <w:r>
        <w:rPr>
          <w:rFonts w:ascii="GHEA Grapalat" w:hAnsi="GHEA Grapalat"/>
          <w:sz w:val="20"/>
          <w:szCs w:val="20"/>
          <w:lang w:val="hy-AM"/>
        </w:rPr>
        <w:t xml:space="preserve"> </w:t>
      </w:r>
      <w:r>
        <w:rPr>
          <w:rFonts w:ascii="GHEA Grapalat" w:eastAsia="Tahoma" w:hAnsi="GHEA Grapalat" w:cs="Tahoma"/>
          <w:sz w:val="20"/>
          <w:szCs w:val="20"/>
          <w:highlight w:val="white"/>
          <w:lang w:val="hy-AM"/>
        </w:rPr>
        <w:t xml:space="preserve">ՄԱԿ-ի Թմրամիջոցների և հանցագործության դեմ պայքարի գրասենյակի (ՄԱԹՀՊԳ) կողմից մշակված ցուցիչները հասանելի են հետևյալ հղումով՝ </w:t>
      </w:r>
      <w:hyperlink r:id="rId1">
        <w:r>
          <w:rPr>
            <w:rFonts w:ascii="GHEA Grapalat" w:hAnsi="GHEA Grapalat"/>
            <w:color w:val="1155CC"/>
            <w:sz w:val="20"/>
            <w:szCs w:val="20"/>
            <w:u w:val="single"/>
            <w:lang w:val="hy-AM"/>
          </w:rPr>
          <w:t>https://www.unodc.org/pdf/HT_indicators_E_LOWRES.pdf</w:t>
        </w:r>
      </w:hyperlink>
      <w:r>
        <w:rPr>
          <w:rFonts w:ascii="GHEA Grapalat" w:hAnsi="GHEA Grapalat"/>
          <w:sz w:val="20"/>
          <w:szCs w:val="20"/>
          <w:lang w:val="hy-AM"/>
        </w:rPr>
        <w:t xml:space="preserve"> </w:t>
      </w:r>
    </w:p>
  </w:footnote>
  <w:footnote w:id="2">
    <w:p>
      <w:pPr>
        <w:spacing w:line="240" w:lineRule="auto"/>
        <w:rPr>
          <w:rFonts w:ascii="GHEA Grapalat" w:hAnsi="GHEA Grapalat"/>
          <w:sz w:val="20"/>
          <w:szCs w:val="20"/>
          <w:lang w:val="hy-AM"/>
        </w:rPr>
      </w:pPr>
      <w:r>
        <w:rPr>
          <w:rFonts w:ascii="GHEA Grapalat" w:hAnsi="GHEA Grapalat"/>
          <w:sz w:val="20"/>
          <w:szCs w:val="20"/>
          <w:vertAlign w:val="superscript"/>
        </w:rPr>
        <w:footnoteRef/>
      </w:r>
      <w:r>
        <w:rPr>
          <w:rFonts w:ascii="GHEA Grapalat" w:hAnsi="GHEA Grapalat"/>
          <w:sz w:val="20"/>
          <w:szCs w:val="20"/>
          <w:lang w:val="hy-AM"/>
        </w:rPr>
        <w:t xml:space="preserve"> </w:t>
      </w:r>
      <w:hyperlink r:id="rId2">
        <w:r>
          <w:rPr>
            <w:rFonts w:ascii="GHEA Grapalat" w:hAnsi="GHEA Grapalat"/>
            <w:color w:val="1155CC"/>
            <w:sz w:val="20"/>
            <w:szCs w:val="20"/>
            <w:u w:val="single"/>
            <w:lang w:val="hy-AM"/>
          </w:rPr>
          <w:t>https://www.osce.org/files/f/documents/f/c/117833.pdf</w:t>
        </w:r>
      </w:hyperlink>
      <w:r>
        <w:rPr>
          <w:rFonts w:ascii="GHEA Grapalat" w:hAnsi="GHEA Grapalat"/>
          <w:sz w:val="20"/>
          <w:szCs w:val="20"/>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44DD4"/>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3B47"/>
    <w:multiLevelType w:val="hybridMultilevel"/>
    <w:tmpl w:val="91923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060D9"/>
    <w:multiLevelType w:val="hybridMultilevel"/>
    <w:tmpl w:val="9AD2D710"/>
    <w:lvl w:ilvl="0" w:tplc="FDF0653E">
      <w:start w:val="1"/>
      <w:numFmt w:val="decimal"/>
      <w:lvlText w:val="%1."/>
      <w:lvlJc w:val="left"/>
      <w:pPr>
        <w:ind w:left="840" w:hanging="765"/>
      </w:pPr>
      <w:rPr>
        <w:rFonts w:eastAsiaTheme="minorHAnsi" w:cstheme="minorBidi"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07527BA4"/>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8A5464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6" w15:restartNumberingAfterBreak="0">
    <w:nsid w:val="0C013910"/>
    <w:multiLevelType w:val="hybridMultilevel"/>
    <w:tmpl w:val="639AA26C"/>
    <w:lvl w:ilvl="0" w:tplc="31EEF6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94899"/>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66461E"/>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0F4872A3"/>
    <w:multiLevelType w:val="hybridMultilevel"/>
    <w:tmpl w:val="3BBE5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915F05"/>
    <w:multiLevelType w:val="hybridMultilevel"/>
    <w:tmpl w:val="E7B0C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6F4ABA"/>
    <w:multiLevelType w:val="hybridMultilevel"/>
    <w:tmpl w:val="31FC0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D5678B"/>
    <w:multiLevelType w:val="hybridMultilevel"/>
    <w:tmpl w:val="1B58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155460"/>
    <w:multiLevelType w:val="hybridMultilevel"/>
    <w:tmpl w:val="17E27984"/>
    <w:lvl w:ilvl="0" w:tplc="0CFEC174">
      <w:start w:val="1"/>
      <w:numFmt w:val="decimal"/>
      <w:lvlText w:val="%1."/>
      <w:lvlJc w:val="left"/>
      <w:pPr>
        <w:ind w:left="450" w:hanging="39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1DC40F1C"/>
    <w:multiLevelType w:val="hybridMultilevel"/>
    <w:tmpl w:val="94DEA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D47291"/>
    <w:multiLevelType w:val="hybridMultilevel"/>
    <w:tmpl w:val="C24C7D46"/>
    <w:lvl w:ilvl="0" w:tplc="6CA09F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BB0565"/>
    <w:multiLevelType w:val="hybridMultilevel"/>
    <w:tmpl w:val="7190159A"/>
    <w:lvl w:ilvl="0" w:tplc="A816E6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A85150"/>
    <w:multiLevelType w:val="hybridMultilevel"/>
    <w:tmpl w:val="CAB08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B4677D"/>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3315D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B94825"/>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2C6F47D8"/>
    <w:multiLevelType w:val="multilevel"/>
    <w:tmpl w:val="BF36F854"/>
    <w:lvl w:ilvl="0">
      <w:start w:val="1"/>
      <w:numFmt w:val="decimal"/>
      <w:lvlText w:val="%1."/>
      <w:lvlJc w:val="left"/>
      <w:pPr>
        <w:ind w:left="1287" w:hanging="360"/>
      </w:pPr>
    </w:lvl>
    <w:lvl w:ilvl="1">
      <w:start w:val="1"/>
      <w:numFmt w:val="decimal"/>
      <w:lvlText w:val="%2)"/>
      <w:lvlJc w:val="left"/>
      <w:pPr>
        <w:ind w:left="1070" w:hanging="360"/>
      </w:pPr>
    </w:lvl>
    <w:lvl w:ilvl="2">
      <w:start w:val="1"/>
      <w:numFmt w:val="decimal"/>
      <w:isLgl/>
      <w:lvlText w:val="%1.%2.%3."/>
      <w:lvlJc w:val="left"/>
      <w:pPr>
        <w:ind w:left="1713"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4" w15:restartNumberingAfterBreak="0">
    <w:nsid w:val="2E1C24C7"/>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1C31B7"/>
    <w:multiLevelType w:val="hybridMultilevel"/>
    <w:tmpl w:val="3BBE5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9E47D0"/>
    <w:multiLevelType w:val="multilevel"/>
    <w:tmpl w:val="C576EC5A"/>
    <w:lvl w:ilvl="0">
      <w:start w:val="1"/>
      <w:numFmt w:val="decimal"/>
      <w:lvlText w:val="%1."/>
      <w:lvlJc w:val="left"/>
      <w:pPr>
        <w:ind w:left="852" w:hanging="216"/>
      </w:pPr>
      <w:rPr>
        <w:rFonts w:hint="default"/>
        <w:spacing w:val="0"/>
        <w:w w:val="75"/>
        <w:sz w:val="24"/>
        <w:szCs w:val="24"/>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7" w15:restartNumberingAfterBreak="0">
    <w:nsid w:val="33965026"/>
    <w:multiLevelType w:val="hybridMultilevel"/>
    <w:tmpl w:val="B560C912"/>
    <w:lvl w:ilvl="0" w:tplc="96F265CC">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38C17609"/>
    <w:multiLevelType w:val="hybridMultilevel"/>
    <w:tmpl w:val="B608E006"/>
    <w:lvl w:ilvl="0" w:tplc="0A968102">
      <w:start w:val="1"/>
      <w:numFmt w:val="decimal"/>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3CE73B58"/>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976DC9"/>
    <w:multiLevelType w:val="hybridMultilevel"/>
    <w:tmpl w:val="12489BB6"/>
    <w:lvl w:ilvl="0" w:tplc="FDF0653E">
      <w:start w:val="1"/>
      <w:numFmt w:val="decimal"/>
      <w:lvlText w:val="%1."/>
      <w:lvlJc w:val="left"/>
      <w:pPr>
        <w:ind w:left="890" w:hanging="765"/>
      </w:pPr>
      <w:rPr>
        <w:rFonts w:eastAsiaTheme="minorHAnsi" w:cstheme="minorBidi"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33" w15:restartNumberingAfterBreak="0">
    <w:nsid w:val="45E234CC"/>
    <w:multiLevelType w:val="hybridMultilevel"/>
    <w:tmpl w:val="801E6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C27BAD"/>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4E8E6286"/>
    <w:multiLevelType w:val="hybridMultilevel"/>
    <w:tmpl w:val="AEBE6408"/>
    <w:lvl w:ilvl="0" w:tplc="4FA49972">
      <w:start w:val="1"/>
      <w:numFmt w:val="decimal"/>
      <w:lvlText w:val="%1."/>
      <w:lvlJc w:val="left"/>
      <w:pPr>
        <w:ind w:left="990" w:hanging="360"/>
      </w:pPr>
      <w:rPr>
        <w:rFonts w:cs="Times New Roman" w:hint="default"/>
        <w:b/>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00F0A7B"/>
    <w:multiLevelType w:val="hybridMultilevel"/>
    <w:tmpl w:val="DB0880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C10BDA"/>
    <w:multiLevelType w:val="hybridMultilevel"/>
    <w:tmpl w:val="4738983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38"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0E2CFB"/>
    <w:multiLevelType w:val="hybridMultilevel"/>
    <w:tmpl w:val="C7A6B428"/>
    <w:lvl w:ilvl="0" w:tplc="0FF0CB5E">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8052A9"/>
    <w:multiLevelType w:val="hybridMultilevel"/>
    <w:tmpl w:val="A52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CF77A5"/>
    <w:multiLevelType w:val="hybridMultilevel"/>
    <w:tmpl w:val="392E27B0"/>
    <w:lvl w:ilvl="0" w:tplc="3FCAB3B2">
      <w:start w:val="1"/>
      <w:numFmt w:val="decimal"/>
      <w:lvlText w:val="%1."/>
      <w:lvlJc w:val="left"/>
      <w:pPr>
        <w:ind w:left="810" w:hanging="360"/>
      </w:pPr>
      <w:rPr>
        <w:rFonts w:hint="default"/>
      </w:rPr>
    </w:lvl>
    <w:lvl w:ilvl="1" w:tplc="04090019" w:tentative="1">
      <w:start w:val="1"/>
      <w:numFmt w:val="lowerLetter"/>
      <w:lvlText w:val="%2."/>
      <w:lvlJc w:val="left"/>
      <w:pPr>
        <w:ind w:left="1216" w:hanging="360"/>
      </w:pPr>
    </w:lvl>
    <w:lvl w:ilvl="2" w:tplc="0409001B" w:tentative="1">
      <w:start w:val="1"/>
      <w:numFmt w:val="lowerRoman"/>
      <w:lvlText w:val="%3."/>
      <w:lvlJc w:val="right"/>
      <w:pPr>
        <w:ind w:left="1936" w:hanging="180"/>
      </w:pPr>
    </w:lvl>
    <w:lvl w:ilvl="3" w:tplc="0409000F" w:tentative="1">
      <w:start w:val="1"/>
      <w:numFmt w:val="decimal"/>
      <w:lvlText w:val="%4."/>
      <w:lvlJc w:val="left"/>
      <w:pPr>
        <w:ind w:left="2656" w:hanging="360"/>
      </w:pPr>
    </w:lvl>
    <w:lvl w:ilvl="4" w:tplc="04090019" w:tentative="1">
      <w:start w:val="1"/>
      <w:numFmt w:val="lowerLetter"/>
      <w:lvlText w:val="%5."/>
      <w:lvlJc w:val="left"/>
      <w:pPr>
        <w:ind w:left="3376" w:hanging="360"/>
      </w:pPr>
    </w:lvl>
    <w:lvl w:ilvl="5" w:tplc="0409001B" w:tentative="1">
      <w:start w:val="1"/>
      <w:numFmt w:val="lowerRoman"/>
      <w:lvlText w:val="%6."/>
      <w:lvlJc w:val="right"/>
      <w:pPr>
        <w:ind w:left="4096" w:hanging="180"/>
      </w:pPr>
    </w:lvl>
    <w:lvl w:ilvl="6" w:tplc="0409000F" w:tentative="1">
      <w:start w:val="1"/>
      <w:numFmt w:val="decimal"/>
      <w:lvlText w:val="%7."/>
      <w:lvlJc w:val="left"/>
      <w:pPr>
        <w:ind w:left="4816" w:hanging="360"/>
      </w:pPr>
    </w:lvl>
    <w:lvl w:ilvl="7" w:tplc="04090019" w:tentative="1">
      <w:start w:val="1"/>
      <w:numFmt w:val="lowerLetter"/>
      <w:lvlText w:val="%8."/>
      <w:lvlJc w:val="left"/>
      <w:pPr>
        <w:ind w:left="5536" w:hanging="360"/>
      </w:pPr>
    </w:lvl>
    <w:lvl w:ilvl="8" w:tplc="0409001B" w:tentative="1">
      <w:start w:val="1"/>
      <w:numFmt w:val="lowerRoman"/>
      <w:lvlText w:val="%9."/>
      <w:lvlJc w:val="right"/>
      <w:pPr>
        <w:ind w:left="6256" w:hanging="180"/>
      </w:pPr>
    </w:lvl>
  </w:abstractNum>
  <w:abstractNum w:abstractNumId="42" w15:restartNumberingAfterBreak="0">
    <w:nsid w:val="633534D9"/>
    <w:multiLevelType w:val="hybridMultilevel"/>
    <w:tmpl w:val="28F24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602AB6"/>
    <w:multiLevelType w:val="hybridMultilevel"/>
    <w:tmpl w:val="888ABB64"/>
    <w:lvl w:ilvl="0" w:tplc="13F88A42">
      <w:start w:val="1"/>
      <w:numFmt w:val="decimal"/>
      <w:lvlText w:val="%1."/>
      <w:lvlJc w:val="left"/>
      <w:pPr>
        <w:ind w:left="900" w:hanging="36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6D4B15A2"/>
    <w:multiLevelType w:val="hybridMultilevel"/>
    <w:tmpl w:val="AF585D2E"/>
    <w:lvl w:ilvl="0" w:tplc="2BEC4C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4144F8"/>
    <w:multiLevelType w:val="hybridMultilevel"/>
    <w:tmpl w:val="2D3A54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1"/>
  </w:num>
  <w:num w:numId="2">
    <w:abstractNumId w:val="45"/>
  </w:num>
  <w:num w:numId="3">
    <w:abstractNumId w:val="2"/>
  </w:num>
  <w:num w:numId="4">
    <w:abstractNumId w:val="32"/>
  </w:num>
  <w:num w:numId="5">
    <w:abstractNumId w:val="15"/>
  </w:num>
  <w:num w:numId="6">
    <w:abstractNumId w:val="7"/>
  </w:num>
  <w:num w:numId="7">
    <w:abstractNumId w:val="12"/>
  </w:num>
  <w:num w:numId="8">
    <w:abstractNumId w:val="20"/>
  </w:num>
  <w:num w:numId="9">
    <w:abstractNumId w:val="21"/>
  </w:num>
  <w:num w:numId="10">
    <w:abstractNumId w:val="33"/>
  </w:num>
  <w:num w:numId="11">
    <w:abstractNumId w:val="42"/>
  </w:num>
  <w:num w:numId="12">
    <w:abstractNumId w:val="24"/>
  </w:num>
  <w:num w:numId="13">
    <w:abstractNumId w:val="30"/>
  </w:num>
  <w:num w:numId="14">
    <w:abstractNumId w:val="0"/>
  </w:num>
  <w:num w:numId="15">
    <w:abstractNumId w:val="36"/>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2"/>
  </w:num>
  <w:num w:numId="19">
    <w:abstractNumId w:val="4"/>
  </w:num>
  <w:num w:numId="20">
    <w:abstractNumId w:val="3"/>
  </w:num>
  <w:num w:numId="21">
    <w:abstractNumId w:val="34"/>
  </w:num>
  <w:num w:numId="22">
    <w:abstractNumId w:val="35"/>
  </w:num>
  <w:num w:numId="23">
    <w:abstractNumId w:val="8"/>
  </w:num>
  <w:num w:numId="24">
    <w:abstractNumId w:val="26"/>
  </w:num>
  <w:num w:numId="25">
    <w:abstractNumId w:val="16"/>
  </w:num>
  <w:num w:numId="26">
    <w:abstractNumId w:val="13"/>
  </w:num>
  <w:num w:numId="27">
    <w:abstractNumId w:val="10"/>
  </w:num>
  <w:num w:numId="28">
    <w:abstractNumId w:val="39"/>
  </w:num>
  <w:num w:numId="29">
    <w:abstractNumId w:val="27"/>
  </w:num>
  <w:num w:numId="30">
    <w:abstractNumId w:val="40"/>
  </w:num>
  <w:num w:numId="31">
    <w:abstractNumId w:val="19"/>
  </w:num>
  <w:num w:numId="32">
    <w:abstractNumId w:val="38"/>
  </w:num>
  <w:num w:numId="33">
    <w:abstractNumId w:val="14"/>
  </w:num>
  <w:num w:numId="34">
    <w:abstractNumId w:val="5"/>
  </w:num>
  <w:num w:numId="35">
    <w:abstractNumId w:val="37"/>
  </w:num>
  <w:num w:numId="36">
    <w:abstractNumId w:val="28"/>
  </w:num>
  <w:num w:numId="37">
    <w:abstractNumId w:val="31"/>
  </w:num>
  <w:num w:numId="38">
    <w:abstractNumId w:val="11"/>
  </w:num>
  <w:num w:numId="39">
    <w:abstractNumId w:val="6"/>
  </w:num>
  <w:num w:numId="40">
    <w:abstractNumId w:val="43"/>
  </w:num>
  <w:num w:numId="41">
    <w:abstractNumId w:val="44"/>
  </w:num>
  <w:num w:numId="42">
    <w:abstractNumId w:val="18"/>
  </w:num>
  <w:num w:numId="43">
    <w:abstractNumId w:val="23"/>
  </w:num>
  <w:num w:numId="44">
    <w:abstractNumId w:val="17"/>
  </w:num>
  <w:num w:numId="45">
    <w:abstractNumId w:val="41"/>
  </w:num>
  <w:num w:numId="46">
    <w:abstractNumId w:val="25"/>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97CED-980C-4A06-B056-9A88F023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p1,References"/>
    <w:basedOn w:val="Normal"/>
    <w:link w:val="ListParagraphChar"/>
    <w:uiPriority w:val="34"/>
    <w:qFormat/>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Pr>
      <w:rFonts w:ascii="Calibri" w:eastAsia="Calibri" w:hAnsi="Calibri" w:cs="Times New Roma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Emphasis">
    <w:name w:val="Emphasis"/>
    <w:uiPriority w:val="20"/>
    <w:qFormat/>
    <w:rPr>
      <w:i/>
      <w:iCs/>
    </w:rPr>
  </w:style>
  <w:style w:type="character" w:customStyle="1" w:styleId="normChar">
    <w:name w:val="norm Char"/>
    <w:link w:val="norm"/>
    <w:locked/>
    <w:rPr>
      <w:rFonts w:ascii="Arial Armenian" w:eastAsia="Times New Roman" w:hAnsi="Arial Armenian"/>
    </w:rPr>
  </w:style>
  <w:style w:type="paragraph" w:customStyle="1" w:styleId="norm">
    <w:name w:val="norm"/>
    <w:basedOn w:val="Normal"/>
    <w:link w:val="normChar"/>
    <w:pPr>
      <w:spacing w:after="0" w:line="480" w:lineRule="auto"/>
      <w:ind w:firstLine="709"/>
      <w:jc w:val="both"/>
    </w:pPr>
    <w:rPr>
      <w:rFonts w:ascii="Arial Armenian" w:eastAsia="Times New Roman" w:hAnsi="Arial Armenian"/>
    </w:rPr>
  </w:style>
  <w:style w:type="character" w:styleId="IntenseEmphasis">
    <w:name w:val="Intense Emphasis"/>
    <w:basedOn w:val="DefaultParagraphFont"/>
    <w:uiPriority w:val="21"/>
    <w:qFormat/>
    <w:rPr>
      <w:i/>
      <w:iCs/>
      <w:color w:val="5B9BD5" w:themeColor="accent1"/>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uiPriority w:val="99"/>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qFormat/>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pPr>
      <w:spacing w:line="240" w:lineRule="exact"/>
      <w:jc w:val="both"/>
    </w:pPr>
    <w:rPr>
      <w:vertAlign w:val="superscript"/>
    </w:rPr>
  </w:style>
  <w:style w:type="character" w:styleId="Hyperlink">
    <w:name w:val="Hyperlink"/>
    <w:basedOn w:val="DefaultParagraphFont"/>
    <w:uiPriority w:val="99"/>
    <w:unhideWhenUsed/>
    <w:rPr>
      <w:color w:val="0563C1" w:themeColor="hyperlink"/>
      <w:u w:val="single"/>
    </w:rPr>
  </w:style>
  <w:style w:type="paragraph" w:styleId="BodyText">
    <w:name w:val="Body Text"/>
    <w:basedOn w:val="Normal"/>
    <w:link w:val="BodyTextChar"/>
    <w:semiHidden/>
    <w:unhideWhenUse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semiHidden/>
    <w:rPr>
      <w:rFonts w:ascii="Calibri" w:eastAsia="Calibri" w:hAnsi="Calibri" w:cs="Times New Roman"/>
      <w:lang w:val="ru-RU"/>
    </w:rPr>
  </w:style>
  <w:style w:type="paragraph" w:customStyle="1" w:styleId="gmail-msocommenttext">
    <w:name w:val="gmail-msocommenttext"/>
    <w:basedOn w:val="Normal"/>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4779">
      <w:bodyDiv w:val="1"/>
      <w:marLeft w:val="0"/>
      <w:marRight w:val="0"/>
      <w:marTop w:val="0"/>
      <w:marBottom w:val="0"/>
      <w:divBdr>
        <w:top w:val="none" w:sz="0" w:space="0" w:color="auto"/>
        <w:left w:val="none" w:sz="0" w:space="0" w:color="auto"/>
        <w:bottom w:val="none" w:sz="0" w:space="0" w:color="auto"/>
        <w:right w:val="none" w:sz="0" w:space="0" w:color="auto"/>
      </w:divBdr>
    </w:div>
    <w:div w:id="199755559">
      <w:bodyDiv w:val="1"/>
      <w:marLeft w:val="0"/>
      <w:marRight w:val="0"/>
      <w:marTop w:val="0"/>
      <w:marBottom w:val="0"/>
      <w:divBdr>
        <w:top w:val="none" w:sz="0" w:space="0" w:color="auto"/>
        <w:left w:val="none" w:sz="0" w:space="0" w:color="auto"/>
        <w:bottom w:val="none" w:sz="0" w:space="0" w:color="auto"/>
        <w:right w:val="none" w:sz="0" w:space="0" w:color="auto"/>
      </w:divBdr>
    </w:div>
    <w:div w:id="388039625">
      <w:bodyDiv w:val="1"/>
      <w:marLeft w:val="0"/>
      <w:marRight w:val="0"/>
      <w:marTop w:val="0"/>
      <w:marBottom w:val="0"/>
      <w:divBdr>
        <w:top w:val="none" w:sz="0" w:space="0" w:color="auto"/>
        <w:left w:val="none" w:sz="0" w:space="0" w:color="auto"/>
        <w:bottom w:val="none" w:sz="0" w:space="0" w:color="auto"/>
        <w:right w:val="none" w:sz="0" w:space="0" w:color="auto"/>
      </w:divBdr>
    </w:div>
    <w:div w:id="763453152">
      <w:bodyDiv w:val="1"/>
      <w:marLeft w:val="0"/>
      <w:marRight w:val="0"/>
      <w:marTop w:val="0"/>
      <w:marBottom w:val="0"/>
      <w:divBdr>
        <w:top w:val="none" w:sz="0" w:space="0" w:color="auto"/>
        <w:left w:val="none" w:sz="0" w:space="0" w:color="auto"/>
        <w:bottom w:val="none" w:sz="0" w:space="0" w:color="auto"/>
        <w:right w:val="none" w:sz="0" w:space="0" w:color="auto"/>
      </w:divBdr>
      <w:divsChild>
        <w:div w:id="686640834">
          <w:marLeft w:val="0"/>
          <w:marRight w:val="0"/>
          <w:marTop w:val="0"/>
          <w:marBottom w:val="0"/>
          <w:divBdr>
            <w:top w:val="none" w:sz="0" w:space="0" w:color="auto"/>
            <w:left w:val="none" w:sz="0" w:space="0" w:color="auto"/>
            <w:bottom w:val="none" w:sz="0" w:space="0" w:color="auto"/>
            <w:right w:val="none" w:sz="0" w:space="0" w:color="auto"/>
          </w:divBdr>
          <w:divsChild>
            <w:div w:id="8778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96415">
      <w:bodyDiv w:val="1"/>
      <w:marLeft w:val="0"/>
      <w:marRight w:val="0"/>
      <w:marTop w:val="0"/>
      <w:marBottom w:val="0"/>
      <w:divBdr>
        <w:top w:val="none" w:sz="0" w:space="0" w:color="auto"/>
        <w:left w:val="none" w:sz="0" w:space="0" w:color="auto"/>
        <w:bottom w:val="none" w:sz="0" w:space="0" w:color="auto"/>
        <w:right w:val="none" w:sz="0" w:space="0" w:color="auto"/>
      </w:divBdr>
    </w:div>
    <w:div w:id="1291548684">
      <w:bodyDiv w:val="1"/>
      <w:marLeft w:val="0"/>
      <w:marRight w:val="0"/>
      <w:marTop w:val="0"/>
      <w:marBottom w:val="0"/>
      <w:divBdr>
        <w:top w:val="none" w:sz="0" w:space="0" w:color="auto"/>
        <w:left w:val="none" w:sz="0" w:space="0" w:color="auto"/>
        <w:bottom w:val="none" w:sz="0" w:space="0" w:color="auto"/>
        <w:right w:val="none" w:sz="0" w:space="0" w:color="auto"/>
      </w:divBdr>
    </w:div>
    <w:div w:id="1296332298">
      <w:bodyDiv w:val="1"/>
      <w:marLeft w:val="0"/>
      <w:marRight w:val="0"/>
      <w:marTop w:val="0"/>
      <w:marBottom w:val="0"/>
      <w:divBdr>
        <w:top w:val="none" w:sz="0" w:space="0" w:color="auto"/>
        <w:left w:val="none" w:sz="0" w:space="0" w:color="auto"/>
        <w:bottom w:val="none" w:sz="0" w:space="0" w:color="auto"/>
        <w:right w:val="none" w:sz="0" w:space="0" w:color="auto"/>
      </w:divBdr>
      <w:divsChild>
        <w:div w:id="1841384573">
          <w:marLeft w:val="0"/>
          <w:marRight w:val="0"/>
          <w:marTop w:val="0"/>
          <w:marBottom w:val="0"/>
          <w:divBdr>
            <w:top w:val="none" w:sz="0" w:space="0" w:color="auto"/>
            <w:left w:val="none" w:sz="0" w:space="0" w:color="auto"/>
            <w:bottom w:val="none" w:sz="0" w:space="0" w:color="auto"/>
            <w:right w:val="none" w:sz="0" w:space="0" w:color="auto"/>
          </w:divBdr>
          <w:divsChild>
            <w:div w:id="15418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8166">
      <w:bodyDiv w:val="1"/>
      <w:marLeft w:val="0"/>
      <w:marRight w:val="0"/>
      <w:marTop w:val="0"/>
      <w:marBottom w:val="0"/>
      <w:divBdr>
        <w:top w:val="none" w:sz="0" w:space="0" w:color="auto"/>
        <w:left w:val="none" w:sz="0" w:space="0" w:color="auto"/>
        <w:bottom w:val="none" w:sz="0" w:space="0" w:color="auto"/>
        <w:right w:val="none" w:sz="0" w:space="0" w:color="auto"/>
      </w:divBdr>
    </w:div>
    <w:div w:id="197683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osce.org/files/f/documents/f/c/117833.pdf" TargetMode="External"/><Relationship Id="rId1" Type="http://schemas.openxmlformats.org/officeDocument/2006/relationships/hyperlink" Target="https://www.unodc.org/pdf/HT_indicators_E_LOW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1</Pages>
  <Words>3765</Words>
  <Characters>21463</Characters>
  <Application>Microsoft Office Word</Application>
  <DocSecurity>0</DocSecurity>
  <Lines>178</Lines>
  <Paragraphs>50</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https://mul2.gov.am/tasks/673773/oneclick/ampopatert  -traf.cucich 12.09.2022.docx?token=83e8f4daabec1fc926d9b7291a1237d5</cp:keywords>
  <dc:description/>
  <cp:lastModifiedBy>Ani.Sahakyan</cp:lastModifiedBy>
  <cp:revision>224</cp:revision>
  <cp:lastPrinted>2021-06-11T12:20:00Z</cp:lastPrinted>
  <dcterms:created xsi:type="dcterms:W3CDTF">2022-07-12T07:21:00Z</dcterms:created>
  <dcterms:modified xsi:type="dcterms:W3CDTF">2022-09-14T10:34:00Z</dcterms:modified>
</cp:coreProperties>
</file>