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F2" w:rsidRPr="00081C83" w:rsidRDefault="00653BF2" w:rsidP="00AB22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45D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  <w:r w:rsidRPr="00081C83">
        <w:rPr>
          <w:rFonts w:ascii="Courier New" w:eastAsia="Times New Roman" w:hAnsi="Courier New" w:cs="Courier New"/>
          <w:color w:val="000000"/>
          <w:sz w:val="24"/>
          <w:szCs w:val="24"/>
        </w:rPr>
        <w:t>  </w:t>
      </w:r>
    </w:p>
    <w:p w:rsidR="00653BF2" w:rsidRPr="00D327CF" w:rsidRDefault="00D327CF" w:rsidP="00653BF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327C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2010 ԹՎԱԿԱՆԻ ՀՈԿՏԵՄԲԵՐԻ  21-Ի N 1442-Ն ՈՐՈՇՄԱՆ ՄԵՋ </w:t>
      </w:r>
      <w:r w:rsidR="005C7D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D327C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ՄԱՍԻՆ» </w:t>
      </w:r>
      <w:r w:rsidRPr="00D327CF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D327C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327CF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327C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327CF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D327C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327CF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327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ՆԱԽԱԳԾԻ</w:t>
      </w:r>
    </w:p>
    <w:p w:rsidR="00653BF2" w:rsidRPr="00D327CF" w:rsidRDefault="00D327CF" w:rsidP="00653BF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D327CF">
        <w:rPr>
          <w:rFonts w:ascii="Courier New" w:eastAsia="Times New Roman" w:hAnsi="Courier New" w:cs="Courier New"/>
          <w:b/>
          <w:color w:val="000000"/>
          <w:sz w:val="24"/>
          <w:szCs w:val="24"/>
        </w:rPr>
        <w:t>     </w:t>
      </w:r>
      <w:r w:rsidRPr="00D327C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D327CF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tbl>
      <w:tblPr>
        <w:tblW w:w="152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55"/>
        <w:gridCol w:w="105"/>
        <w:gridCol w:w="8173"/>
        <w:gridCol w:w="22"/>
      </w:tblGrid>
      <w:tr w:rsidR="00DC321E" w:rsidRPr="00A91BFA" w:rsidTr="007C3191">
        <w:trPr>
          <w:gridAfter w:val="1"/>
          <w:wAfter w:w="22" w:type="dxa"/>
          <w:tblCellSpacing w:w="0" w:type="dxa"/>
          <w:jc w:val="center"/>
        </w:trPr>
        <w:tc>
          <w:tcPr>
            <w:tcW w:w="69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A91BFA" w:rsidRDefault="00653BF2" w:rsidP="00536C0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A91BFA" w:rsidRPr="00A91BFA">
              <w:rPr>
                <w:rFonts w:ascii="GHEA Grapalat" w:hAnsi="GHEA Grapalat"/>
                <w:sz w:val="24"/>
                <w:szCs w:val="24"/>
                <w:lang w:val="hy-AM"/>
              </w:rPr>
              <w:t>վարչապետի աշխատակազմ</w:t>
            </w:r>
          </w:p>
          <w:p w:rsidR="00A91BFA" w:rsidRPr="00A91BFA" w:rsidRDefault="00A91BFA" w:rsidP="00536C08">
            <w:pPr>
              <w:spacing w:before="100" w:beforeAutospacing="1" w:after="100" w:afterAutospacing="1" w:line="360" w:lineRule="auto"/>
              <w:ind w:left="1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Տեսչական մարմինների</w:t>
            </w:r>
            <w:r w:rsidR="00536C08" w:rsidRPr="00536C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536C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համակարգման գրասենյակ</w:t>
            </w: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A91BFA" w:rsidRDefault="00DF7893" w:rsidP="00450A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53BF2" w:rsidRPr="00A45DD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="00A91BFA">
              <w:rPr>
                <w:rFonts w:ascii="GHEA Grapalat" w:hAnsi="GHEA Grapalat"/>
                <w:sz w:val="24"/>
                <w:szCs w:val="24"/>
                <w:lang w:val="hy-AM"/>
              </w:rPr>
              <w:t>.2022</w:t>
            </w:r>
            <w:r w:rsidR="00653BF2" w:rsidRPr="00A91B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թ.</w:t>
            </w:r>
          </w:p>
        </w:tc>
      </w:tr>
      <w:tr w:rsidR="00DC321E" w:rsidRPr="00A91BFA" w:rsidTr="007C3191">
        <w:trPr>
          <w:gridAfter w:val="1"/>
          <w:wAfter w:w="22" w:type="dxa"/>
          <w:tblCellSpacing w:w="0" w:type="dxa"/>
          <w:jc w:val="center"/>
        </w:trPr>
        <w:tc>
          <w:tcPr>
            <w:tcW w:w="69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BF2" w:rsidRPr="00A91BFA" w:rsidRDefault="00653BF2" w:rsidP="00450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A91BFA" w:rsidRDefault="00653BF2" w:rsidP="00DF78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1B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 w:rsidR="00DF7893" w:rsidRPr="00DF7893">
              <w:rPr>
                <w:rFonts w:ascii="GHEA Grapalat" w:hAnsi="GHEA Grapalat"/>
                <w:sz w:val="24"/>
                <w:szCs w:val="24"/>
              </w:rPr>
              <w:t>/48.56/17585-2022</w:t>
            </w:r>
          </w:p>
        </w:tc>
      </w:tr>
      <w:tr w:rsidR="00DC321E" w:rsidRPr="007C3191" w:rsidTr="007C3191">
        <w:trPr>
          <w:tblCellSpacing w:w="0" w:type="dxa"/>
          <w:jc w:val="center"/>
        </w:trPr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7893" w:rsidRPr="006363F8" w:rsidRDefault="00EA5736" w:rsidP="00DF7893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Courier New"/>
                <w:color w:val="000000"/>
                <w:lang w:val="hy-AM"/>
              </w:rPr>
              <w:t xml:space="preserve"> </w:t>
            </w:r>
            <w:r w:rsidR="00A91BFA" w:rsidRPr="006D4BFC">
              <w:rPr>
                <w:rFonts w:ascii="GHEA Grapalat" w:hAnsi="GHEA Grapalat" w:cs="GHEA Grapalat"/>
                <w:color w:val="00000A"/>
                <w:lang w:val="hy-AM"/>
              </w:rPr>
              <w:t xml:space="preserve"> </w:t>
            </w:r>
            <w:r w:rsidR="00DF7893"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Նախագծի 1-ին կետով </w:t>
            </w:r>
            <w:proofErr w:type="spellStart"/>
            <w:r w:rsidR="00DF7893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խմբագրվող</w:t>
            </w:r>
            <w:proofErr w:type="spellEnd"/>
            <w:r w:rsidR="00DF7893"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աղյուսակում</w:t>
            </w:r>
            <w:r w:rsidR="00DF7893" w:rsidRPr="00865B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</w:p>
          <w:p w:rsidR="00DF7893" w:rsidRPr="006363F8" w:rsidRDefault="00DF7893" w:rsidP="00DF7893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363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1-ին սյունակում «1203 00 000» թիվը փոխարինել  «1203 00 000 0» թվով, «1604 32» թիվը՝ «1604 32 00» թվով, «1704 1» թիվը՝ «1704 10» թվով</w:t>
            </w:r>
            <w:r w:rsidRPr="006363F8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</w:p>
          <w:p w:rsidR="00DF7893" w:rsidRPr="006363F8" w:rsidRDefault="00DF7893" w:rsidP="00DF7893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6363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2-րդ սյունակում «Կենդանական կամ բուսական ծագման ճարպեր և յուղեր, դրանց </w:t>
            </w:r>
            <w:proofErr w:type="spellStart"/>
            <w:r w:rsidRPr="006363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ճեղքումից</w:t>
            </w:r>
            <w:proofErr w:type="spellEnd"/>
            <w:r w:rsidRPr="006363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ստացված նյութեր, պատրաստի </w:t>
            </w:r>
            <w:proofErr w:type="spellStart"/>
            <w:r w:rsidRPr="006363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սննդայուղեր</w:t>
            </w:r>
            <w:proofErr w:type="spellEnd"/>
            <w:r w:rsidRPr="006363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 բուսական կամ կենդանական ծագման մոմեր»  բառերը փոխարինել «Կենդանական, բուսական կամ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միկրոբիոլոգիական</w:t>
            </w:r>
            <w:proofErr w:type="spellEnd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ծագման ճարպեր և յուղեր, դրանց </w:t>
            </w:r>
            <w:proofErr w:type="spellStart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ճեղքումից</w:t>
            </w:r>
            <w:proofErr w:type="spellEnd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ստացված նյութեր, պատրաստի </w:t>
            </w:r>
            <w:proofErr w:type="spellStart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սննդայուղեր</w:t>
            </w:r>
            <w:proofErr w:type="spellEnd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բուսական կամ կենդանական 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ծագման մոմեր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» բառերով, ինչպես նաև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Պատրաստի մթերք մսից, ձկից կամ </w:t>
            </w:r>
            <w:proofErr w:type="spellStart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խեցգետնակերպերից</w:t>
            </w:r>
            <w:proofErr w:type="spellEnd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կակղամորթներից</w:t>
            </w:r>
            <w:proofErr w:type="spellEnd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կամ ջրային այլ </w:t>
            </w:r>
            <w:proofErr w:type="spellStart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անողնաշարավորներից</w:t>
            </w:r>
            <w:proofErr w:type="spellEnd"/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» բառերը՝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Պատրաստի մթերք մսից, ձկից կամ </w:t>
            </w:r>
            <w:proofErr w:type="spellStart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խեցգետնակերպերից</w:t>
            </w:r>
            <w:proofErr w:type="spellEnd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կակղամորթներից</w:t>
            </w:r>
            <w:proofErr w:type="spellEnd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կամ ջրային այլ </w:t>
            </w:r>
            <w:proofErr w:type="spellStart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անողնաշարավորներից</w:t>
            </w:r>
            <w:proofErr w:type="spellEnd"/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կամ միջատներից» բառերով</w:t>
            </w:r>
            <w:r w:rsidRPr="006363F8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  <w:lang w:val="hy-AM"/>
              </w:rPr>
              <w:t>․</w:t>
            </w:r>
          </w:p>
          <w:p w:rsidR="00DF7893" w:rsidRPr="006363F8" w:rsidRDefault="00DF7893" w:rsidP="00DF7893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</w:pP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Միաժամանակ, առաջարկում եմ Նախագծի 1-ին սյունակի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1203 00 000 0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»,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1204 00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»,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1205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» և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1208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proofErr w:type="spellStart"/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ծածկագրերով</w:t>
            </w:r>
            <w:proofErr w:type="spellEnd"/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ապրանքների բնաիրային չափը սահմանել «20 կգ», հիմք ընդունելով Նախագծի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1604 31 000 0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» և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1604 32 00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»,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1905 31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» և «</w:t>
            </w:r>
            <w:r w:rsidRPr="006363F8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1905 32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proofErr w:type="spellStart"/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ծածկագրերով</w:t>
            </w:r>
            <w:proofErr w:type="spellEnd"/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ապրանքների բնաիրային չափերի սահմանման, ինչպես նաև գործող </w:t>
            </w:r>
            <w:proofErr w:type="spellStart"/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իրավակարգավորու</w:t>
            </w:r>
            <w:r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մ</w:t>
            </w:r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>ների</w:t>
            </w:r>
            <w:proofErr w:type="spellEnd"/>
            <w:r w:rsidRPr="006363F8">
              <w:rPr>
                <w:rFonts w:ascii="GHEA Grapalat" w:hAnsi="GHEA Grapalat" w:cs="GHEA Grapalat"/>
                <w:color w:val="000000" w:themeColor="text1"/>
                <w:sz w:val="24"/>
                <w:szCs w:val="24"/>
                <w:lang w:val="hy-AM"/>
              </w:rPr>
              <w:t xml:space="preserve"> տրամաբանությունը։ </w:t>
            </w:r>
          </w:p>
          <w:p w:rsidR="00A91BFA" w:rsidRPr="006D4BFC" w:rsidRDefault="00A91BFA" w:rsidP="00EA573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13"/>
              <w:jc w:val="both"/>
              <w:rPr>
                <w:rFonts w:ascii="GHEA Grapalat" w:hAnsi="GHEA Grapalat" w:cs="GHEA Grapalat"/>
                <w:color w:val="00000A"/>
                <w:lang w:val="hy-AM"/>
              </w:rPr>
            </w:pPr>
          </w:p>
          <w:p w:rsidR="00653BF2" w:rsidRPr="001A72BE" w:rsidRDefault="00653BF2" w:rsidP="00A91BF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081C83" w:rsidRPr="00A91BFA" w:rsidRDefault="00653BF2" w:rsidP="00450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1B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lastRenderedPageBreak/>
              <w:t> </w:t>
            </w: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3BF2" w:rsidRPr="0054085D" w:rsidRDefault="00296FEA" w:rsidP="007C681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 մասամբ:</w:t>
            </w:r>
          </w:p>
          <w:p w:rsidR="0054085D" w:rsidRPr="0054085D" w:rsidRDefault="0054085D" w:rsidP="007C681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96FE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Ապրանքների ներմուծ</w:t>
            </w:r>
            <w:r w:rsidRPr="00296FE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ման չափաքանակների համար հիմք է հանդիսացել  ՀՀ կառավարության 2020 թվականի N 171-Ն որոշումը</w:t>
            </w:r>
            <w:r w:rsidRPr="00A373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:</w:t>
            </w:r>
          </w:p>
        </w:tc>
        <w:bookmarkStart w:id="0" w:name="_GoBack"/>
        <w:bookmarkEnd w:id="0"/>
      </w:tr>
      <w:tr w:rsidR="00DC321E" w:rsidRPr="00081C83" w:rsidTr="007C3191">
        <w:trPr>
          <w:gridAfter w:val="1"/>
          <w:wAfter w:w="22" w:type="dxa"/>
          <w:tblCellSpacing w:w="0" w:type="dxa"/>
          <w:jc w:val="center"/>
        </w:trPr>
        <w:tc>
          <w:tcPr>
            <w:tcW w:w="69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DF7893" w:rsidRDefault="00653BF2" w:rsidP="00DF78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1B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DF78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2. </w:t>
            </w:r>
            <w:r w:rsidR="00DF7893" w:rsidRPr="00A45DD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ՀՀ </w:t>
            </w:r>
            <w:r w:rsidR="00DF7893" w:rsidRPr="00A45DD5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Սննդամթերքի անվտանգության տեսչական մարմին</w:t>
            </w: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081C83" w:rsidRDefault="00DF7893" w:rsidP="00450A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Arial Unicode MS" w:hAnsi="GHEA Grapalat" w:cs="Sylfaen"/>
                <w:color w:val="000000"/>
                <w:sz w:val="24"/>
                <w:szCs w:val="24"/>
                <w:lang w:val="hy-AM"/>
              </w:rPr>
              <w:t>3</w:t>
            </w:r>
            <w:r w:rsidR="00653BF2" w:rsidRPr="00A45DD5">
              <w:rPr>
                <w:rFonts w:ascii="GHEA Grapalat" w:eastAsia="Arial Unicode MS" w:hAnsi="GHEA Grapalat" w:cs="Sylfae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Arial Unicode MS" w:hAnsi="GHEA Grapalat" w:cs="Sylfaen"/>
                <w:color w:val="000000"/>
                <w:sz w:val="24"/>
                <w:szCs w:val="24"/>
                <w:lang w:val="hy-AM"/>
              </w:rPr>
              <w:t>06</w:t>
            </w:r>
            <w:r w:rsidR="005F25D2">
              <w:rPr>
                <w:rFonts w:ascii="GHEA Grapalat" w:eastAsia="Arial Unicode MS" w:hAnsi="GHEA Grapalat" w:cs="Sylfaen"/>
                <w:color w:val="000000"/>
                <w:sz w:val="24"/>
                <w:szCs w:val="24"/>
                <w:lang w:val="hy-AM"/>
              </w:rPr>
              <w:t>.2022</w:t>
            </w:r>
            <w:r w:rsidR="00653BF2" w:rsidRPr="00081C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DC321E" w:rsidRPr="005F25D2" w:rsidTr="007C3191">
        <w:trPr>
          <w:gridAfter w:val="1"/>
          <w:wAfter w:w="22" w:type="dxa"/>
          <w:tblCellSpacing w:w="0" w:type="dxa"/>
          <w:jc w:val="center"/>
        </w:trPr>
        <w:tc>
          <w:tcPr>
            <w:tcW w:w="69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BF2" w:rsidRPr="00081C83" w:rsidRDefault="00653BF2" w:rsidP="00450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DF7893" w:rsidRDefault="00653BF2" w:rsidP="00DF78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F789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DF7893" w:rsidRPr="00DF7893">
              <w:rPr>
                <w:rFonts w:ascii="GHEA Grapalat" w:hAnsi="GHEA Grapalat"/>
                <w:sz w:val="24"/>
                <w:szCs w:val="24"/>
              </w:rPr>
              <w:t>02/06.1/2/5853-2022</w:t>
            </w:r>
          </w:p>
        </w:tc>
      </w:tr>
      <w:tr w:rsidR="00DC321E" w:rsidRPr="00DC321E" w:rsidTr="007C3191">
        <w:trPr>
          <w:tblCellSpacing w:w="0" w:type="dxa"/>
          <w:jc w:val="center"/>
        </w:trPr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7893" w:rsidRDefault="00296FEA" w:rsidP="00DF7893">
            <w:pPr>
              <w:pStyle w:val="NormalWeb"/>
              <w:shd w:val="clear" w:color="auto" w:fill="FFFFFF"/>
              <w:spacing w:after="0" w:line="360" w:lineRule="auto"/>
              <w:ind w:firstLine="708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lang w:val="en-US"/>
              </w:rPr>
              <w:t>2.</w:t>
            </w:r>
            <w:r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  <w:r w:rsidR="00DF7893" w:rsidRPr="009C5CBD">
              <w:rPr>
                <w:rFonts w:ascii="GHEA Grapalat" w:eastAsia="NSimSun" w:hAnsi="GHEA Grapalat" w:cs="Lucida Sans"/>
                <w:bCs/>
                <w:color w:val="000000"/>
                <w:kern w:val="2"/>
                <w:shd w:val="clear" w:color="auto" w:fill="FFFFFF"/>
                <w:lang w:val="hy-AM" w:eastAsia="zh-CN" w:bidi="hi-IN"/>
              </w:rPr>
              <w:t xml:space="preserve">«Հայաստանի Հանրապետության կառավարության </w:t>
            </w:r>
            <w:r w:rsidR="00DF7893" w:rsidRPr="009C5CBD">
              <w:rPr>
                <w:rFonts w:ascii="GHEA Grapalat" w:eastAsia="NSimSun" w:hAnsi="GHEA Grapalat" w:cs="Lucida Sans"/>
                <w:bCs/>
                <w:color w:val="000000"/>
                <w:kern w:val="2"/>
                <w:shd w:val="clear" w:color="auto" w:fill="FFFFFF"/>
                <w:lang w:val="hy-AM" w:eastAsia="zh-CN" w:bidi="hi-IN"/>
              </w:rPr>
              <w:lastRenderedPageBreak/>
              <w:t xml:space="preserve">2010 թվականի հոկտեմբերի  21-ի N 1442-ն որոշման մեջ փոփոխություններ և լրացումներ կատարելու մասին» </w:t>
            </w:r>
            <w:r w:rsidR="00DF7893" w:rsidRPr="009C5CBD">
              <w:rPr>
                <w:rFonts w:ascii="GHEA Grapalat" w:eastAsia="NSimSun" w:hAnsi="GHEA Grapalat" w:cs="Sylfaen"/>
                <w:kern w:val="2"/>
                <w:lang w:val="hy-AM" w:eastAsia="zh-CN" w:bidi="hi-IN"/>
              </w:rPr>
              <w:t>Հայաստանի</w:t>
            </w:r>
            <w:r w:rsidR="00DF7893" w:rsidRPr="009C5CBD">
              <w:rPr>
                <w:rFonts w:ascii="GHEA Grapalat" w:eastAsia="NSimSun" w:hAnsi="GHEA Grapalat" w:cs="Sylfaen"/>
                <w:kern w:val="2"/>
                <w:lang w:val="fr-FR" w:eastAsia="zh-CN" w:bidi="hi-IN"/>
              </w:rPr>
              <w:t xml:space="preserve"> </w:t>
            </w:r>
            <w:r w:rsidR="00DF7893" w:rsidRPr="009C5CBD">
              <w:rPr>
                <w:rFonts w:ascii="GHEA Grapalat" w:eastAsia="NSimSun" w:hAnsi="GHEA Grapalat" w:cs="Sylfaen"/>
                <w:kern w:val="2"/>
                <w:lang w:val="hy-AM" w:eastAsia="zh-CN" w:bidi="hi-IN"/>
              </w:rPr>
              <w:t>Հանրապետության</w:t>
            </w:r>
            <w:r w:rsidR="00DF7893" w:rsidRPr="009C5CBD">
              <w:rPr>
                <w:rFonts w:ascii="GHEA Grapalat" w:eastAsia="NSimSun" w:hAnsi="GHEA Grapalat" w:cs="Sylfaen"/>
                <w:kern w:val="2"/>
                <w:lang w:val="fr-FR" w:eastAsia="zh-CN" w:bidi="hi-IN"/>
              </w:rPr>
              <w:t xml:space="preserve"> </w:t>
            </w:r>
            <w:r w:rsidR="00DF7893" w:rsidRPr="009C5CBD">
              <w:rPr>
                <w:rFonts w:ascii="GHEA Grapalat" w:eastAsia="NSimSun" w:hAnsi="GHEA Grapalat" w:cs="Sylfaen"/>
                <w:kern w:val="2"/>
                <w:lang w:val="hy-AM" w:eastAsia="zh-CN" w:bidi="hi-IN"/>
              </w:rPr>
              <w:t>կառավարության</w:t>
            </w:r>
            <w:r w:rsidR="00DF7893" w:rsidRPr="009C5CBD">
              <w:rPr>
                <w:rFonts w:ascii="GHEA Grapalat" w:eastAsia="NSimSun" w:hAnsi="GHEA Grapalat" w:cs="Sylfaen"/>
                <w:kern w:val="2"/>
                <w:lang w:val="fr-FR" w:eastAsia="zh-CN" w:bidi="hi-IN"/>
              </w:rPr>
              <w:t xml:space="preserve"> </w:t>
            </w:r>
            <w:r w:rsidR="00DF7893" w:rsidRPr="009C5CBD">
              <w:rPr>
                <w:rFonts w:ascii="GHEA Grapalat" w:eastAsia="NSimSun" w:hAnsi="GHEA Grapalat" w:cs="Sylfaen"/>
                <w:kern w:val="2"/>
                <w:lang w:val="hy-AM" w:eastAsia="zh-CN" w:bidi="hi-IN"/>
              </w:rPr>
              <w:t>որոշման</w:t>
            </w:r>
            <w:r w:rsidR="00DF7893" w:rsidRPr="009C5CBD">
              <w:rPr>
                <w:rFonts w:ascii="GHEA Grapalat" w:eastAsia="NSimSun" w:hAnsi="GHEA Grapalat" w:cs="Sylfaen"/>
                <w:kern w:val="2"/>
                <w:lang w:val="fr-FR" w:eastAsia="zh-CN" w:bidi="hi-IN"/>
              </w:rPr>
              <w:t xml:space="preserve"> </w:t>
            </w:r>
            <w:r w:rsidR="00DF7893" w:rsidRPr="002A121E">
              <w:rPr>
                <w:rFonts w:ascii="GHEA Grapalat" w:eastAsiaTheme="minorHAnsi" w:hAnsi="GHEA Grapalat" w:cstheme="minorBidi"/>
                <w:color w:val="000000"/>
                <w:szCs w:val="21"/>
                <w:shd w:val="clear" w:color="auto" w:fill="FFFFFF"/>
                <w:lang w:val="hy-AM"/>
              </w:rPr>
              <w:t xml:space="preserve">նախագծի վերաբերյալ </w:t>
            </w:r>
            <w:r w:rsidR="00DF7893" w:rsidRPr="009C5CBD">
              <w:rPr>
                <w:rFonts w:ascii="GHEA Grapalat" w:eastAsiaTheme="minorHAnsi" w:hAnsi="GHEA Grapalat" w:cstheme="minorBidi"/>
                <w:color w:val="000000"/>
                <w:szCs w:val="21"/>
                <w:shd w:val="clear" w:color="auto" w:fill="FFFFFF"/>
                <w:lang w:val="hy-AM"/>
              </w:rPr>
              <w:t xml:space="preserve">հայտնում ենք, որ </w:t>
            </w:r>
            <w:r w:rsidR="00DF7893">
              <w:rPr>
                <w:rFonts w:ascii="GHEA Grapalat" w:hAnsi="GHEA Grapalat" w:cs="Sylfaen"/>
                <w:lang w:val="hy-AM"/>
              </w:rPr>
              <w:t>ապրանքի ծածկա</w:t>
            </w:r>
            <w:r w:rsidR="00DF7893" w:rsidRPr="009C5CBD">
              <w:rPr>
                <w:rFonts w:ascii="GHEA Grapalat" w:hAnsi="GHEA Grapalat" w:cs="Sylfaen"/>
                <w:lang w:val="hy-AM"/>
              </w:rPr>
              <w:t xml:space="preserve">գիրը՝ ըստ </w:t>
            </w:r>
            <w:proofErr w:type="spellStart"/>
            <w:r w:rsidR="00DF7893" w:rsidRPr="009C5CBD">
              <w:rPr>
                <w:rFonts w:ascii="GHEA Grapalat" w:hAnsi="GHEA Grapalat" w:cs="Sylfaen"/>
                <w:lang w:val="hy-AM"/>
              </w:rPr>
              <w:t>ապրանքատնտեսագիտական</w:t>
            </w:r>
            <w:proofErr w:type="spellEnd"/>
            <w:r w:rsidR="00DF7893" w:rsidRPr="009C5CBD">
              <w:rPr>
                <w:rFonts w:ascii="GHEA Grapalat" w:hAnsi="GHEA Grapalat" w:cs="Sylfaen"/>
                <w:lang w:val="hy-AM"/>
              </w:rPr>
              <w:t xml:space="preserve"> գործունեության դասակարգչի </w:t>
            </w:r>
            <w:r w:rsidR="00DF7893">
              <w:rPr>
                <w:rFonts w:ascii="GHEA Grapalat" w:hAnsi="GHEA Grapalat" w:cs="Sylfaen"/>
                <w:lang w:val="hy-AM"/>
              </w:rPr>
              <w:t>21-ի դիմաց՝ սննդամթերք</w:t>
            </w:r>
            <w:r w:rsidR="00DF7893" w:rsidRPr="009C5CBD">
              <w:rPr>
                <w:rFonts w:ascii="GHEA Grapalat" w:hAnsi="GHEA Grapalat" w:cs="Sylfaen"/>
                <w:lang w:val="hy-AM"/>
              </w:rPr>
              <w:t>ներ</w:t>
            </w:r>
            <w:r w:rsidR="00DF7893">
              <w:rPr>
                <w:rFonts w:ascii="GHEA Grapalat" w:hAnsi="GHEA Grapalat" w:cs="Sylfaen"/>
                <w:lang w:val="hy-AM"/>
              </w:rPr>
              <w:t xml:space="preserve"> տարբեր </w:t>
            </w:r>
            <w:r w:rsidR="00DF7893" w:rsidRPr="00C70F08">
              <w:rPr>
                <w:rFonts w:ascii="GHEA Grapalat" w:hAnsi="GHEA Grapalat" w:cs="Sylfaen"/>
                <w:lang w:val="hy-AM"/>
              </w:rPr>
              <w:t xml:space="preserve">ապրանքի անվանումով </w:t>
            </w:r>
            <w:r w:rsidR="00DF7893" w:rsidRPr="009C5CBD">
              <w:rPr>
                <w:rFonts w:ascii="GHEA Grapalat" w:hAnsi="GHEA Grapalat" w:cs="Sylfaen"/>
                <w:lang w:val="hy-AM"/>
              </w:rPr>
              <w:t xml:space="preserve">բնաիրային չափը </w:t>
            </w:r>
            <w:r w:rsidR="00DF7893">
              <w:rPr>
                <w:rFonts w:ascii="GHEA Grapalat" w:hAnsi="GHEA Grapalat" w:cs="Sylfaen"/>
                <w:lang w:val="hy-AM"/>
              </w:rPr>
              <w:t xml:space="preserve">սահմանված է 5կգ, որը սակայն անընդունելի է կենսաբանական ակտիվ հավելումների </w:t>
            </w:r>
            <w:r w:rsidR="00DF7893" w:rsidRPr="009C7662">
              <w:rPr>
                <w:rFonts w:ascii="GHEA Grapalat" w:hAnsi="GHEA Grapalat" w:cs="Sylfaen"/>
                <w:lang w:val="hy-AM"/>
              </w:rPr>
              <w:t>(</w:t>
            </w:r>
            <w:r w:rsidR="00DF7893">
              <w:rPr>
                <w:rFonts w:ascii="GHEA Grapalat" w:hAnsi="GHEA Grapalat" w:cs="Sylfaen"/>
                <w:lang w:val="hy-AM"/>
              </w:rPr>
              <w:t>ապրանքի ծածկագ</w:t>
            </w:r>
            <w:r w:rsidR="00DF7893" w:rsidRPr="004F6604">
              <w:rPr>
                <w:rFonts w:ascii="GHEA Grapalat" w:hAnsi="GHEA Grapalat" w:cs="Sylfaen"/>
                <w:lang w:val="hy-AM"/>
              </w:rPr>
              <w:t>ի</w:t>
            </w:r>
            <w:r w:rsidR="00DF7893" w:rsidRPr="000F5F19">
              <w:rPr>
                <w:rFonts w:ascii="GHEA Grapalat" w:hAnsi="GHEA Grapalat" w:cs="Sylfaen"/>
                <w:lang w:val="hy-AM"/>
              </w:rPr>
              <w:t>ր՝</w:t>
            </w:r>
            <w:r w:rsidR="00DF7893">
              <w:rPr>
                <w:rFonts w:ascii="GHEA Grapalat" w:hAnsi="GHEA Grapalat" w:cs="Sylfaen"/>
                <w:lang w:val="hy-AM"/>
              </w:rPr>
              <w:t xml:space="preserve"> 2106</w:t>
            </w:r>
            <w:r w:rsidR="00DF7893" w:rsidRPr="009C7662">
              <w:rPr>
                <w:rFonts w:ascii="GHEA Grapalat" w:hAnsi="GHEA Grapalat" w:cs="Sylfaen"/>
                <w:lang w:val="hy-AM"/>
              </w:rPr>
              <w:t>)</w:t>
            </w:r>
            <w:r w:rsidR="00DF7893">
              <w:rPr>
                <w:rFonts w:ascii="GHEA Grapalat" w:hAnsi="GHEA Grapalat" w:cs="Sylfaen"/>
                <w:lang w:val="hy-AM"/>
              </w:rPr>
              <w:t xml:space="preserve"> համար</w:t>
            </w:r>
            <w:r w:rsidR="00DF7893" w:rsidRPr="009C7662">
              <w:rPr>
                <w:rFonts w:ascii="GHEA Grapalat" w:hAnsi="GHEA Grapalat" w:cs="Sylfaen"/>
                <w:lang w:val="hy-AM"/>
              </w:rPr>
              <w:t>:</w:t>
            </w:r>
            <w:r w:rsidR="00DF7893">
              <w:rPr>
                <w:rFonts w:ascii="GHEA Grapalat" w:hAnsi="GHEA Grapalat" w:cs="Sylfaen"/>
                <w:lang w:val="hy-AM"/>
              </w:rPr>
              <w:t xml:space="preserve"> Կենսաբանական ակտիվ հավելումներ կան նաև նախագծի ա</w:t>
            </w:r>
            <w:r w:rsidR="00DF7893" w:rsidRPr="004741F6">
              <w:rPr>
                <w:rFonts w:ascii="GHEA Grapalat" w:hAnsi="GHEA Grapalat" w:cs="Sylfaen"/>
                <w:lang w:val="hy-AM"/>
              </w:rPr>
              <w:t>պրանքի ծածկագիրը</w:t>
            </w:r>
            <w:r w:rsidR="00DF7893">
              <w:rPr>
                <w:rFonts w:ascii="GHEA Grapalat" w:hAnsi="GHEA Grapalat" w:cs="Sylfaen"/>
                <w:lang w:val="hy-AM"/>
              </w:rPr>
              <w:t xml:space="preserve"> սյունակում նշված մի շարք ապրանքների թվում, որտեղ նույնպես </w:t>
            </w:r>
            <w:r w:rsidR="00DF7893" w:rsidRPr="004741F6">
              <w:rPr>
                <w:rFonts w:ascii="GHEA Grapalat" w:hAnsi="GHEA Grapalat" w:cs="Sylfaen"/>
                <w:lang w:val="hy-AM"/>
              </w:rPr>
              <w:t>բնաիրային չափը</w:t>
            </w:r>
            <w:r w:rsidR="00DF7893">
              <w:rPr>
                <w:rFonts w:ascii="GHEA Grapalat" w:hAnsi="GHEA Grapalat" w:cs="Sylfaen"/>
                <w:lang w:val="hy-AM"/>
              </w:rPr>
              <w:t xml:space="preserve"> անընդունելի է</w:t>
            </w:r>
            <w:r w:rsidR="00DF7893" w:rsidRPr="004741F6">
              <w:rPr>
                <w:lang w:val="hy-AM"/>
              </w:rPr>
              <w:t xml:space="preserve"> </w:t>
            </w:r>
            <w:r w:rsidR="00DF7893" w:rsidRPr="004741F6">
              <w:rPr>
                <w:rFonts w:ascii="GHEA Grapalat" w:hAnsi="GHEA Grapalat" w:cs="Sylfaen"/>
                <w:lang w:val="hy-AM"/>
              </w:rPr>
              <w:t>կենսաբանական ակտիվ հավելումների</w:t>
            </w:r>
            <w:r w:rsidR="00DF7893">
              <w:rPr>
                <w:rFonts w:ascii="GHEA Grapalat" w:hAnsi="GHEA Grapalat" w:cs="Sylfaen"/>
                <w:lang w:val="hy-AM"/>
              </w:rPr>
              <w:t xml:space="preserve"> համար՝ հաշվի առնելով այն հանգամանքը, որ 5</w:t>
            </w:r>
            <w:r w:rsidR="00DF7893" w:rsidRPr="00480518">
              <w:rPr>
                <w:rFonts w:ascii="GHEA Grapalat" w:hAnsi="GHEA Grapalat" w:cs="Sylfaen"/>
                <w:lang w:val="hy-AM"/>
              </w:rPr>
              <w:t xml:space="preserve"> </w:t>
            </w:r>
            <w:r w:rsidR="00DF7893">
              <w:rPr>
                <w:rFonts w:ascii="GHEA Grapalat" w:hAnsi="GHEA Grapalat" w:cs="Sylfaen"/>
                <w:lang w:val="hy-AM"/>
              </w:rPr>
              <w:t xml:space="preserve">կգ </w:t>
            </w:r>
            <w:r w:rsidR="00DF7893" w:rsidRPr="00480518">
              <w:rPr>
                <w:rFonts w:ascii="GHEA Grapalat" w:hAnsi="GHEA Grapalat" w:cs="Sylfaen"/>
                <w:lang w:val="hy-AM"/>
              </w:rPr>
              <w:t>քա</w:t>
            </w:r>
            <w:r w:rsidR="00DF7893">
              <w:rPr>
                <w:rFonts w:ascii="GHEA Grapalat" w:hAnsi="GHEA Grapalat" w:cs="Sylfaen"/>
                <w:lang w:val="hy-AM"/>
              </w:rPr>
              <w:t>շ</w:t>
            </w:r>
            <w:r w:rsidR="00DF7893" w:rsidRPr="00480518">
              <w:rPr>
                <w:rFonts w:ascii="GHEA Grapalat" w:hAnsi="GHEA Grapalat" w:cs="Sylfaen"/>
                <w:lang w:val="hy-AM"/>
              </w:rPr>
              <w:t xml:space="preserve">ով կենսաբանական ակտիվ հավելումները հանդիսանում են </w:t>
            </w:r>
            <w:proofErr w:type="spellStart"/>
            <w:r w:rsidR="00DF7893" w:rsidRPr="00480518">
              <w:rPr>
                <w:rFonts w:ascii="GHEA Grapalat" w:hAnsi="GHEA Grapalat" w:cs="Sylfaen"/>
                <w:lang w:val="hy-AM"/>
              </w:rPr>
              <w:t>առևտրային</w:t>
            </w:r>
            <w:proofErr w:type="spellEnd"/>
            <w:r w:rsidR="00DF7893" w:rsidRPr="00480518">
              <w:rPr>
                <w:rFonts w:ascii="GHEA Grapalat" w:hAnsi="GHEA Grapalat" w:cs="Sylfaen"/>
                <w:lang w:val="hy-AM"/>
              </w:rPr>
              <w:t xml:space="preserve"> քանակություն, որը որպես սեփական </w:t>
            </w:r>
            <w:proofErr w:type="spellStart"/>
            <w:r w:rsidR="00DF7893" w:rsidRPr="00480518">
              <w:rPr>
                <w:rFonts w:ascii="GHEA Grapalat" w:hAnsi="GHEA Grapalat" w:cs="Sylfaen"/>
                <w:lang w:val="hy-AM"/>
              </w:rPr>
              <w:t>կարիքներով</w:t>
            </w:r>
            <w:proofErr w:type="spellEnd"/>
            <w:r w:rsidR="00DF7893" w:rsidRPr="00480518">
              <w:rPr>
                <w:rFonts w:ascii="GHEA Grapalat" w:hAnsi="GHEA Grapalat" w:cs="Sylfaen"/>
                <w:lang w:val="hy-AM"/>
              </w:rPr>
              <w:t xml:space="preserve"> ներմուծվող քանակություն ենթակա չէ հսկողության և հետագայում շրջանառության մեջ </w:t>
            </w:r>
            <w:r w:rsidR="00DF7893" w:rsidRPr="00480518">
              <w:rPr>
                <w:rFonts w:ascii="GHEA Grapalat" w:hAnsi="GHEA Grapalat" w:cs="Sylfaen"/>
                <w:lang w:val="hy-AM"/>
              </w:rPr>
              <w:lastRenderedPageBreak/>
              <w:t xml:space="preserve">է դրվում Հայաստանի Հանրապետության տարածքում ինչպես դեղատնային ցանցի միջոցով, այնպես էլ </w:t>
            </w:r>
            <w:proofErr w:type="spellStart"/>
            <w:r w:rsidR="00DF7893" w:rsidRPr="00480518">
              <w:rPr>
                <w:rFonts w:ascii="GHEA Grapalat" w:hAnsi="GHEA Grapalat" w:cs="Sylfaen"/>
                <w:lang w:val="hy-AM"/>
              </w:rPr>
              <w:t>առցանց</w:t>
            </w:r>
            <w:proofErr w:type="spellEnd"/>
            <w:r w:rsidR="00DF7893" w:rsidRPr="0048051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="00DF7893" w:rsidRPr="00480518">
              <w:rPr>
                <w:rFonts w:ascii="GHEA Grapalat" w:hAnsi="GHEA Grapalat" w:cs="Sylfaen"/>
                <w:lang w:val="hy-AM"/>
              </w:rPr>
              <w:t>առևտր</w:t>
            </w:r>
            <w:r w:rsidR="00DF7893">
              <w:rPr>
                <w:rFonts w:ascii="GHEA Grapalat" w:hAnsi="GHEA Grapalat" w:cs="Sylfaen"/>
                <w:lang w:val="hy-AM"/>
              </w:rPr>
              <w:t>ի</w:t>
            </w:r>
            <w:proofErr w:type="spellEnd"/>
            <w:r w:rsidR="00DF7893" w:rsidRPr="00480518">
              <w:rPr>
                <w:rFonts w:ascii="GHEA Grapalat" w:hAnsi="GHEA Grapalat" w:cs="Sylfaen"/>
                <w:lang w:val="hy-AM"/>
              </w:rPr>
              <w:t xml:space="preserve">։ </w:t>
            </w:r>
            <w:r w:rsidR="00DF7893">
              <w:rPr>
                <w:rFonts w:ascii="GHEA Grapalat" w:hAnsi="GHEA Grapalat" w:cs="Sylfaen"/>
                <w:lang w:val="hy-AM"/>
              </w:rPr>
              <w:t xml:space="preserve">Ուստի </w:t>
            </w:r>
            <w:r w:rsidR="00DF7893" w:rsidRPr="00480518">
              <w:rPr>
                <w:rFonts w:ascii="GHEA Grapalat" w:hAnsi="GHEA Grapalat" w:cs="Sylfaen"/>
                <w:lang w:val="hy-AM"/>
              </w:rPr>
              <w:t xml:space="preserve">առաջարկում ենք </w:t>
            </w:r>
            <w:r w:rsidR="00DF7893">
              <w:rPr>
                <w:rFonts w:ascii="GHEA Grapalat" w:hAnsi="GHEA Grapalat" w:cs="Sylfaen"/>
                <w:lang w:val="hy-AM"/>
              </w:rPr>
              <w:t>բնաիրային չ</w:t>
            </w:r>
            <w:r w:rsidR="00DF7893" w:rsidRPr="00480518">
              <w:rPr>
                <w:rFonts w:ascii="GHEA Grapalat" w:hAnsi="GHEA Grapalat" w:cs="Sylfaen"/>
                <w:lang w:val="hy-AM"/>
              </w:rPr>
              <w:t>ափը նվազեցնել</w:t>
            </w:r>
            <w:r w:rsidR="00DF7893">
              <w:rPr>
                <w:rFonts w:ascii="GHEA Grapalat" w:hAnsi="GHEA Grapalat" w:cs="Sylfaen"/>
                <w:lang w:val="hy-AM"/>
              </w:rPr>
              <w:t>՝</w:t>
            </w:r>
            <w:r w:rsidR="00DF7893" w:rsidRPr="00480518">
              <w:rPr>
                <w:rFonts w:ascii="GHEA Grapalat" w:hAnsi="GHEA Grapalat" w:cs="Sylfaen"/>
                <w:lang w:val="hy-AM"/>
              </w:rPr>
              <w:t xml:space="preserve"> սահմանելով դեղերի ներմուծման կարգից փոքր ինչ ավելի մեղմ </w:t>
            </w:r>
            <w:proofErr w:type="spellStart"/>
            <w:r w:rsidR="00DF7893" w:rsidRPr="00480518">
              <w:rPr>
                <w:rFonts w:ascii="GHEA Grapalat" w:hAnsi="GHEA Grapalat" w:cs="Sylfaen"/>
                <w:lang w:val="hy-AM"/>
              </w:rPr>
              <w:t>կարգավորումներ</w:t>
            </w:r>
            <w:proofErr w:type="spellEnd"/>
            <w:r w:rsidR="00DF7893">
              <w:rPr>
                <w:rFonts w:ascii="GHEA Grapalat" w:hAnsi="GHEA Grapalat" w:cs="Sylfaen"/>
                <w:lang w:val="hy-AM"/>
              </w:rPr>
              <w:t>։</w:t>
            </w:r>
          </w:p>
          <w:p w:rsidR="00A91BFA" w:rsidRPr="000C272B" w:rsidRDefault="00A91BFA" w:rsidP="00A91BFA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  <w:p w:rsidR="00653BF2" w:rsidRPr="001A72BE" w:rsidRDefault="00653BF2" w:rsidP="00A91BFA">
            <w:pPr>
              <w:spacing w:after="0" w:line="360" w:lineRule="auto"/>
              <w:ind w:right="-168" w:firstLine="35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081C83" w:rsidRPr="00DF7893" w:rsidRDefault="00653BF2" w:rsidP="00450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F789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lastRenderedPageBreak/>
              <w:t> </w:t>
            </w: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3BF2" w:rsidRPr="00DF7893" w:rsidRDefault="00B76DFD" w:rsidP="00450A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է:</w:t>
            </w:r>
          </w:p>
        </w:tc>
      </w:tr>
      <w:tr w:rsidR="00DC321E" w:rsidRPr="00081C83" w:rsidTr="007C3191">
        <w:trPr>
          <w:gridAfter w:val="1"/>
          <w:wAfter w:w="22" w:type="dxa"/>
          <w:tblCellSpacing w:w="0" w:type="dxa"/>
          <w:jc w:val="center"/>
        </w:trPr>
        <w:tc>
          <w:tcPr>
            <w:tcW w:w="69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081C83" w:rsidRDefault="00653BF2" w:rsidP="002312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F789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A45DD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Pr="00081C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Pr="00A45DD5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ՀՀ </w:t>
            </w:r>
            <w:r w:rsidR="002312CD">
              <w:rPr>
                <w:rFonts w:ascii="GHEA Grapalat" w:hAnsi="GHEA Grapalat"/>
                <w:color w:val="000000"/>
                <w:sz w:val="24"/>
                <w:szCs w:val="24"/>
                <w:lang w:val="hy-AM" w:eastAsia="hy-AM" w:bidi="hy-AM"/>
              </w:rPr>
              <w:t>Պետական եկամուտների կոմիտե</w:t>
            </w: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63493F" w:rsidRDefault="0063493F" w:rsidP="00450A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3493F">
              <w:rPr>
                <w:rFonts w:ascii="GHEA Grapalat" w:eastAsia="Arial Unicode MS" w:hAnsi="GHEA Grapalat" w:cs="Sylfaen"/>
                <w:i/>
                <w:color w:val="000000"/>
                <w:sz w:val="24"/>
                <w:szCs w:val="24"/>
                <w:lang w:val="hy-AM"/>
              </w:rPr>
              <w:t>09</w:t>
            </w:r>
            <w:r w:rsidR="00653BF2" w:rsidRPr="0063493F">
              <w:rPr>
                <w:rFonts w:ascii="GHEA Grapalat" w:eastAsia="Arial Unicode MS" w:hAnsi="GHEA Grapalat" w:cs="Sylfaen"/>
                <w:i/>
                <w:color w:val="000000"/>
                <w:sz w:val="24"/>
                <w:szCs w:val="24"/>
                <w:lang w:val="hy-AM"/>
              </w:rPr>
              <w:t>.</w:t>
            </w:r>
            <w:r w:rsidRPr="0063493F">
              <w:rPr>
                <w:rFonts w:ascii="GHEA Grapalat" w:eastAsia="Arial Unicode MS" w:hAnsi="GHEA Grapalat" w:cs="Sylfaen"/>
                <w:i/>
                <w:color w:val="000000"/>
                <w:sz w:val="24"/>
                <w:szCs w:val="24"/>
              </w:rPr>
              <w:t>0</w:t>
            </w:r>
            <w:r w:rsidRPr="0063493F">
              <w:rPr>
                <w:rFonts w:ascii="GHEA Grapalat" w:eastAsia="Arial Unicode MS" w:hAnsi="GHEA Grapalat" w:cs="Sylfaen"/>
                <w:i/>
                <w:color w:val="000000"/>
                <w:sz w:val="24"/>
                <w:szCs w:val="24"/>
                <w:lang w:val="hy-AM"/>
              </w:rPr>
              <w:t>6</w:t>
            </w:r>
            <w:r w:rsidR="00A4021A" w:rsidRPr="0063493F">
              <w:rPr>
                <w:rFonts w:ascii="GHEA Grapalat" w:eastAsia="Arial Unicode MS" w:hAnsi="GHEA Grapalat" w:cs="Sylfaen"/>
                <w:i/>
                <w:color w:val="000000"/>
                <w:sz w:val="24"/>
                <w:szCs w:val="24"/>
                <w:lang w:val="hy-AM"/>
              </w:rPr>
              <w:t>.202</w:t>
            </w:r>
            <w:r w:rsidR="00A4021A" w:rsidRPr="0063493F">
              <w:rPr>
                <w:rFonts w:ascii="GHEA Grapalat" w:eastAsia="Arial Unicode MS" w:hAnsi="GHEA Grapalat" w:cs="Sylfaen"/>
                <w:i/>
                <w:color w:val="000000"/>
                <w:sz w:val="24"/>
                <w:szCs w:val="24"/>
              </w:rPr>
              <w:t>2</w:t>
            </w:r>
            <w:r w:rsidR="00653BF2" w:rsidRPr="0063493F">
              <w:rPr>
                <w:rFonts w:ascii="GHEA Grapalat" w:eastAsia="Arial Unicode MS" w:hAnsi="GHEA Grapalat" w:cs="Sylfaen"/>
                <w:i/>
                <w:color w:val="000000"/>
                <w:sz w:val="24"/>
                <w:szCs w:val="24"/>
                <w:lang w:val="hy-AM"/>
              </w:rPr>
              <w:t>թ</w:t>
            </w:r>
            <w:r w:rsidR="00653BF2" w:rsidRPr="006349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C321E" w:rsidRPr="00081C83" w:rsidTr="007C3191">
        <w:trPr>
          <w:gridAfter w:val="1"/>
          <w:wAfter w:w="22" w:type="dxa"/>
          <w:tblCellSpacing w:w="0" w:type="dxa"/>
          <w:jc w:val="center"/>
        </w:trPr>
        <w:tc>
          <w:tcPr>
            <w:tcW w:w="69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BF2" w:rsidRPr="00081C83" w:rsidRDefault="00653BF2" w:rsidP="00450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081C83" w:rsidRPr="0063493F" w:rsidRDefault="00653BF2" w:rsidP="00634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3493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63493F" w:rsidRPr="0063493F">
              <w:rPr>
                <w:rFonts w:ascii="GHEA Grapalat" w:hAnsi="GHEA Grapalat"/>
                <w:sz w:val="24"/>
                <w:szCs w:val="24"/>
              </w:rPr>
              <w:t>01/3-2/40108-2022</w:t>
            </w:r>
          </w:p>
        </w:tc>
      </w:tr>
      <w:tr w:rsidR="00DC321E" w:rsidRPr="007C3191" w:rsidTr="007C3191">
        <w:trPr>
          <w:tblCellSpacing w:w="0" w:type="dxa"/>
          <w:jc w:val="center"/>
        </w:trPr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12CD" w:rsidRDefault="00653BF2" w:rsidP="002312CD">
            <w:pPr>
              <w:spacing w:line="360" w:lineRule="auto"/>
              <w:ind w:firstLine="629"/>
              <w:jc w:val="both"/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</w:pPr>
            <w:r w:rsidRPr="00A45DD5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3.</w:t>
            </w:r>
            <w:r w:rsidRPr="00A45DD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</w:t>
            </w:r>
            <w:proofErr w:type="spellStart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Եվրասիական</w:t>
            </w:r>
            <w:proofErr w:type="spellEnd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տնտեսական միության մասին 2014 թվականի մայիսի 29-ի պայմանագրի (այսուհետ՝ Պայմանագիր) 58-րդ հոդվածի 1-ին մասի համաձայն՝ </w:t>
            </w:r>
            <w:proofErr w:type="spellStart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անասնաբուժասանիտարական</w:t>
            </w:r>
            <w:proofErr w:type="spellEnd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միջոցառումներն իրականացվում են </w:t>
            </w:r>
            <w:proofErr w:type="spellStart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Եվրասիական</w:t>
            </w:r>
            <w:proofErr w:type="spellEnd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տնտեսական միության (այսուհետ՝ Միություն) մաքսային տարածք ներմուծվող և Միության մաքսային տարածքով տեղափոխվող ապրանքների (այդ թվում՝ անձնական օգտագործման ապրանքների) նկատմամբ, որոնք ներառված են անասնաբուժական հսկողության (վերահսկողության) ենթակա ապրանքների՝ </w:t>
            </w:r>
            <w:proofErr w:type="spellStart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Եվրասիական</w:t>
            </w:r>
            <w:proofErr w:type="spellEnd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</w:t>
            </w:r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lastRenderedPageBreak/>
              <w:t xml:space="preserve">տնտեսական հանձնաժողովի կողմից հաստատվող միասնական ցանկում, ինչպես նաև անասնաբուժական հսկողության (վերահսկողության) ենթակա օբյեկտների նկատմամբ։ Նույն հոդվածի 2-րդ մասի համաձայն՝ անասնաբուժական հսկողության (վերահսկողության) ենթակա ապրանքների և օբյեկտների նկատմամբ կիրառվում են </w:t>
            </w:r>
            <w:proofErr w:type="spellStart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Եվրասիական</w:t>
            </w:r>
            <w:proofErr w:type="spellEnd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տնտեսական հանձնաժողովի կողմից հաստատվող միասնական անասնաբուժական (</w:t>
            </w:r>
            <w:proofErr w:type="spellStart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անասնաբուժասանիտարական</w:t>
            </w:r>
            <w:proofErr w:type="spellEnd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) պահանջներ։ Մասնավորապես, </w:t>
            </w:r>
            <w:r w:rsidR="002312CD" w:rsidRPr="00104B2E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վերոնշյալ </w:t>
            </w:r>
            <w:proofErr w:type="spellStart"/>
            <w:r w:rsidR="002312CD" w:rsidRPr="00104B2E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կարգավորումները</w:t>
            </w:r>
            <w:proofErr w:type="spellEnd"/>
            <w:r w:rsidR="002312CD" w:rsidRPr="00104B2E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սահմանված են</w:t>
            </w:r>
            <w:r w:rsidR="002312CD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</w:t>
            </w:r>
            <w:r w:rsidR="002312CD" w:rsidRPr="00104B2E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Մաքսային միության հանձնաժողովի 2010 թվականի հունիսի 18-ի թիվ 317</w:t>
            </w:r>
            <w:r w:rsidR="002312CD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և </w:t>
            </w:r>
            <w:proofErr w:type="spellStart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Եվրասիական</w:t>
            </w:r>
            <w:proofErr w:type="spellEnd"/>
            <w:r w:rsidR="002312CD"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տնտեսական հանձնաժողովի կոլեգիայի 2018 թվականի փետրվարի 13-ի թիվ 27</w:t>
            </w:r>
            <w:r w:rsidR="002312CD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որոշումներով:</w:t>
            </w:r>
          </w:p>
          <w:p w:rsidR="002312CD" w:rsidRDefault="002312CD" w:rsidP="002312CD">
            <w:pPr>
              <w:spacing w:line="360" w:lineRule="auto"/>
              <w:ind w:firstLine="629"/>
              <w:jc w:val="both"/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</w:pPr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Մյուս կողմից, Պայմանագրի 59-րդ հոդվածի 1-ին մասի համաձայն՝ կարանտինային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բուսասանիտարական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միջոցառումներն իրականացվում են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ենթակարանտինային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արտադրանքի (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ենթակարանտինային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բեռների,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ենթակարանտինային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նյութերի,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ենթակարանտինային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ապրանքների) ցանկում (այսուհետ՝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ենթակարանտինային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արտադրանքի ցանկ) ընդգրկված արտադրանքի նկատմամբ, որը </w:t>
            </w:r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lastRenderedPageBreak/>
              <w:t xml:space="preserve">Միության մաքսային սահմանի վրա և Միության մաքսային տարածքում ենթակա է կարանտինային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բուսասանիտարական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հսկողության (վերահսկողության), ինչպես նաև Միության կարանտինային օբյեկտների միասնական ցանկում ընդգրկված կարանտինային օբյեկտների և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ենթակարանտինային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օբյեկտների նկատմամբ։ Նույն հոդվածի 2-րդ մասի համաձայն՝ Միության մաքսային տարածքում և Միության մաքսային սահմանի վրա կարանտինային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բուսասանիտարական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հսկողությունը (վերահսկողությունը) իրականացվում է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ենթակարանտինային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արտադրանքի ցանկում ընդգրկված արտադրանքի, Միության կարանտինային օբյեկտների միասնական ցանկում ընդգրկված կարանտինային օբյեկտների, ինչպես նաև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ենթակարանտինային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օբյեկտների նկատմամբ։ Նույն հոդվածի 3-րդ մասի համաձայն՝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ենթակարանտինային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արտադրանքի ցանկը, Միության կարանտինային օբյեկտների միասնական ցանկը և միասնական կարանտինային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բուսասանիտարական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պահանջները հաստատվում են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Եվրասիական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տնտեսական հանձնաժողովի կողմից։ Մասնավորապես, վերոնշյալ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կարգավորումները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սահմանված են Մաքսային միության հանձնաժողովի 2010 թվականի հունիսի 18-ի </w:t>
            </w:r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lastRenderedPageBreak/>
              <w:t xml:space="preserve">թիվ 318,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Եվրասիական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տնտեսական հանձնաժողովի խորհրդի 2016 թվականի նոյեմբերի 30-ի թիվ 157 և </w:t>
            </w:r>
            <w:proofErr w:type="spellStart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>Եվրասիական</w:t>
            </w:r>
            <w:proofErr w:type="spellEnd"/>
            <w:r w:rsidRPr="007A45D8">
              <w:rPr>
                <w:rFonts w:ascii="GHEA Grapalat" w:eastAsia="NSimSun" w:hAnsi="GHEA Grapalat" w:cs="Sylfaen"/>
                <w:bCs/>
                <w:kern w:val="2"/>
                <w:lang w:val="hy-AM" w:eastAsia="zh-CN" w:bidi="hi-IN"/>
              </w:rPr>
              <w:t xml:space="preserve"> տնտեսական հանձնաժողովի խորհրդի 2016 նոյեմբերի 30-ի թիվ 158 որոշումներով։</w:t>
            </w:r>
          </w:p>
          <w:p w:rsidR="002312CD" w:rsidRPr="009B65EA" w:rsidRDefault="002312CD" w:rsidP="002312CD">
            <w:pPr>
              <w:spacing w:line="360" w:lineRule="auto"/>
              <w:ind w:firstLine="629"/>
              <w:jc w:val="both"/>
              <w:rPr>
                <w:rFonts w:ascii="GHEA Grapalat" w:hAnsi="GHEA Grapalat" w:cs="Sylfaen"/>
                <w:lang w:val="hy-AM"/>
              </w:rPr>
            </w:pPr>
            <w:r w:rsidRPr="006C3CBE">
              <w:rPr>
                <w:rFonts w:ascii="GHEA Grapalat" w:hAnsi="GHEA Grapalat" w:cs="Sylfaen"/>
                <w:lang w:val="hy-AM"/>
              </w:rPr>
              <w:t xml:space="preserve">Հաշվի առնելով այն, որ անասնաբուժական և </w:t>
            </w:r>
            <w:proofErr w:type="spellStart"/>
            <w:r w:rsidRPr="006C3CBE">
              <w:rPr>
                <w:rFonts w:ascii="GHEA Grapalat" w:hAnsi="GHEA Grapalat" w:cs="Sylfaen"/>
                <w:lang w:val="hy-AM"/>
              </w:rPr>
              <w:t>բուսասանիտարական</w:t>
            </w:r>
            <w:proofErr w:type="spellEnd"/>
            <w:r w:rsidRPr="006C3CBE">
              <w:rPr>
                <w:rFonts w:ascii="GHEA Grapalat" w:hAnsi="GHEA Grapalat" w:cs="Sylfaen"/>
                <w:lang w:val="hy-AM"/>
              </w:rPr>
              <w:t xml:space="preserve"> հսկողության առնչու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6C3CBE">
              <w:rPr>
                <w:rFonts w:ascii="GHEA Grapalat" w:hAnsi="GHEA Grapalat" w:cs="Sylfaen"/>
                <w:lang w:val="hy-AM"/>
              </w:rPr>
              <w:t xml:space="preserve">թյամբ </w:t>
            </w:r>
            <w:proofErr w:type="spellStart"/>
            <w:r w:rsidRPr="006C3CBE">
              <w:rPr>
                <w:rFonts w:ascii="GHEA Grapalat" w:hAnsi="GHEA Grapalat" w:cs="Sylfaen"/>
                <w:lang w:val="hy-AM"/>
              </w:rPr>
              <w:t>կարգավորումները</w:t>
            </w:r>
            <w:proofErr w:type="spellEnd"/>
            <w:r w:rsidRPr="006C3CBE">
              <w:rPr>
                <w:rFonts w:ascii="GHEA Grapalat" w:hAnsi="GHEA Grapalat" w:cs="Sylfaen"/>
                <w:lang w:val="hy-AM"/>
              </w:rPr>
              <w:t xml:space="preserve"> սահմանված են </w:t>
            </w:r>
            <w:proofErr w:type="spellStart"/>
            <w:r w:rsidRPr="006C3CBE">
              <w:rPr>
                <w:rFonts w:ascii="GHEA Grapalat" w:hAnsi="GHEA Grapalat" w:cs="Sylfaen"/>
                <w:lang w:val="hy-AM"/>
              </w:rPr>
              <w:t>Եվրասիական</w:t>
            </w:r>
            <w:proofErr w:type="spellEnd"/>
            <w:r w:rsidRPr="006C3CBE">
              <w:rPr>
                <w:rFonts w:ascii="GHEA Grapalat" w:hAnsi="GHEA Grapalat" w:cs="Sylfaen"/>
                <w:lang w:val="hy-AM"/>
              </w:rPr>
              <w:t xml:space="preserve"> տնտեսական հանձնա</w:t>
            </w:r>
            <w:r>
              <w:rPr>
                <w:rFonts w:ascii="GHEA Grapalat" w:hAnsi="GHEA Grapalat" w:cs="Sylfaen"/>
                <w:lang w:val="hy-AM"/>
              </w:rPr>
              <w:softHyphen/>
            </w:r>
            <w:r w:rsidRPr="006C3CBE">
              <w:rPr>
                <w:rFonts w:ascii="GHEA Grapalat" w:hAnsi="GHEA Grapalat" w:cs="Sylfaen"/>
                <w:lang w:val="hy-AM"/>
              </w:rPr>
              <w:t>ժողովի վերոնշյալ իրավական ակտերով,</w:t>
            </w:r>
            <w:r>
              <w:rPr>
                <w:rFonts w:ascii="GHEA Grapalat" w:hAnsi="GHEA Grapalat" w:cs="Sylfaen"/>
                <w:lang w:val="hy-AM"/>
              </w:rPr>
              <w:t xml:space="preserve"> մասնավորապես՝ այդ ակտերով են սահմանված նաև այն դեպքերը և բնաիրային չափաքանակները, որոնց շրջանակներում խնդրո առարկա ապրանքների անվտանգությունը հիմնավորող փաստաթղթերը չեն պահանջվում, առաջարկում ենք կամ Նախագծում նշել </w:t>
            </w:r>
            <w:r w:rsidRPr="009B65EA">
              <w:rPr>
                <w:rFonts w:ascii="GHEA Grapalat" w:hAnsi="GHEA Grapalat" w:cs="Sylfaen"/>
                <w:lang w:val="hy-AM"/>
              </w:rPr>
              <w:t xml:space="preserve">սննդամթերքի բնաիրային </w:t>
            </w:r>
            <w:proofErr w:type="spellStart"/>
            <w:r w:rsidRPr="009B65EA">
              <w:rPr>
                <w:rFonts w:ascii="GHEA Grapalat" w:hAnsi="GHEA Grapalat" w:cs="Sylfaen"/>
                <w:lang w:val="hy-AM"/>
              </w:rPr>
              <w:t>քանակությունների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սահմանման համար իրավական հիմք, կամ այդ չափաքանակները</w:t>
            </w:r>
            <w:r w:rsidRPr="009B65EA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համապատասխանեցնել </w:t>
            </w:r>
            <w:proofErr w:type="spellStart"/>
            <w:r>
              <w:rPr>
                <w:rFonts w:ascii="GHEA Grapalat" w:hAnsi="GHEA Grapalat" w:cs="Sylfaen"/>
                <w:lang w:val="hy-AM"/>
              </w:rPr>
              <w:t>Եվրասիական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տնտեսական հանձնա</w:t>
            </w:r>
            <w:r w:rsidRPr="009B65EA">
              <w:rPr>
                <w:rFonts w:ascii="GHEA Grapalat" w:hAnsi="GHEA Grapalat" w:cs="Sylfaen"/>
                <w:lang w:val="hy-AM"/>
              </w:rPr>
              <w:t>ժողովի վերոնշյալ իրավական ակտերով</w:t>
            </w:r>
            <w:r>
              <w:rPr>
                <w:rFonts w:ascii="GHEA Grapalat" w:hAnsi="GHEA Grapalat" w:cs="Sylfaen"/>
                <w:lang w:val="hy-AM"/>
              </w:rPr>
              <w:t xml:space="preserve"> սահմանված չափաքանակներին:</w:t>
            </w:r>
          </w:p>
          <w:p w:rsidR="00653BF2" w:rsidRPr="001A72BE" w:rsidRDefault="00653BF2" w:rsidP="002312CD">
            <w:pPr>
              <w:spacing w:line="360" w:lineRule="auto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653BF2" w:rsidRPr="002312CD" w:rsidRDefault="00653BF2" w:rsidP="00450AD0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3BF2" w:rsidRPr="00296FEA" w:rsidRDefault="00DC321E" w:rsidP="00A3733A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296FE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Ապրանքների ներմուծ</w:t>
            </w:r>
            <w:r w:rsidRPr="00296FE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softHyphen/>
              <w:t>ման չափաքանակների համար հիմք է հանդիսացել  ՀՀ կառավարության 2020 թվականի N 171-Ն որոշումը</w:t>
            </w:r>
            <w:r w:rsidR="00A3733A" w:rsidRPr="00A373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:</w:t>
            </w:r>
            <w:r w:rsidRPr="00296FE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DC321E" w:rsidRPr="00536C08" w:rsidTr="007C3191">
        <w:trPr>
          <w:tblCellSpacing w:w="0" w:type="dxa"/>
          <w:jc w:val="center"/>
        </w:trPr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081C83" w:rsidRPr="00DC321E" w:rsidRDefault="004F4EFD" w:rsidP="005578B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4. </w:t>
            </w:r>
            <w:r w:rsidR="00536C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</w:tcPr>
          <w:p w:rsidR="00081C83" w:rsidRPr="00DC321E" w:rsidRDefault="007C3191" w:rsidP="00450A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36C08" w:rsidRPr="00536C08" w:rsidRDefault="00536C08" w:rsidP="00450AD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4EFD">
              <w:rPr>
                <w:rFonts w:ascii="GHEA Grapalat" w:hAnsi="GHEA Grapalat"/>
                <w:sz w:val="24"/>
                <w:szCs w:val="24"/>
                <w:lang w:val="hy-AM"/>
              </w:rPr>
              <w:t>2.09.2022</w:t>
            </w:r>
            <w:r w:rsidRPr="00536C08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  <w:p w:rsidR="00C15FE6" w:rsidRPr="00DC321E" w:rsidRDefault="00536C08" w:rsidP="00450AD0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F4EFD">
              <w:rPr>
                <w:rFonts w:ascii="GHEA Grapalat" w:hAnsi="GHEA Grapalat"/>
                <w:sz w:val="24"/>
                <w:szCs w:val="24"/>
                <w:lang w:val="hy-AM"/>
              </w:rPr>
              <w:t>N27.1/38794-2022</w:t>
            </w:r>
          </w:p>
        </w:tc>
      </w:tr>
      <w:tr w:rsidR="00CA31A8" w:rsidRPr="00536C08" w:rsidTr="007C3191">
        <w:trPr>
          <w:tblCellSpacing w:w="0" w:type="dxa"/>
          <w:jc w:val="center"/>
        </w:trPr>
        <w:tc>
          <w:tcPr>
            <w:tcW w:w="6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31A8" w:rsidRPr="00DC6C5D" w:rsidRDefault="00CA31A8" w:rsidP="00CA31A8">
            <w:pPr>
              <w:shd w:val="clear" w:color="auto" w:fill="FFFFFF"/>
              <w:spacing w:after="0"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CA31A8" w:rsidRPr="00DC6C5D" w:rsidRDefault="00CA31A8" w:rsidP="00664FD3">
            <w:pPr>
              <w:spacing w:after="0" w:line="360" w:lineRule="auto"/>
              <w:ind w:left="-90" w:right="126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2010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հոկտեմբերի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21-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N 1442-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փոփոխություն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կատարելու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C6C5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DC6C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նախագծի վերաբերյալ առարկություններ չունենք:</w:t>
            </w:r>
          </w:p>
          <w:p w:rsidR="00CA31A8" w:rsidRDefault="00CA31A8" w:rsidP="005578B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 w:themeFill="background1"/>
          </w:tcPr>
          <w:p w:rsidR="00CA31A8" w:rsidRPr="00DC321E" w:rsidRDefault="00CA31A8" w:rsidP="00450A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27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A31A8" w:rsidRPr="00CA31A8" w:rsidRDefault="00CA31A8" w:rsidP="00450AD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16D26" w:rsidRPr="00FF77F6" w:rsidRDefault="00916D26" w:rsidP="001A72BE">
      <w:pPr>
        <w:rPr>
          <w:lang w:val="hy-AM"/>
        </w:rPr>
      </w:pPr>
    </w:p>
    <w:sectPr w:rsidR="00916D26" w:rsidRPr="00FF77F6" w:rsidSect="007C3191">
      <w:pgSz w:w="16838" w:h="11906" w:orient="landscape" w:code="9"/>
      <w:pgMar w:top="1701" w:right="1134" w:bottom="1134" w:left="1134" w:header="0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188"/>
    <w:multiLevelType w:val="hybridMultilevel"/>
    <w:tmpl w:val="71FE9D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DF6"/>
    <w:multiLevelType w:val="hybridMultilevel"/>
    <w:tmpl w:val="4ACE360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3B542C"/>
    <w:multiLevelType w:val="hybridMultilevel"/>
    <w:tmpl w:val="174ABC66"/>
    <w:lvl w:ilvl="0" w:tplc="433000E2">
      <w:start w:val="1"/>
      <w:numFmt w:val="decimal"/>
      <w:lvlText w:val="%1."/>
      <w:lvlJc w:val="left"/>
      <w:pPr>
        <w:ind w:left="51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E"/>
    <w:rsid w:val="000900F4"/>
    <w:rsid w:val="00143DC8"/>
    <w:rsid w:val="001A72BE"/>
    <w:rsid w:val="001D6750"/>
    <w:rsid w:val="002312CD"/>
    <w:rsid w:val="00296FEA"/>
    <w:rsid w:val="004F4EFD"/>
    <w:rsid w:val="00536C08"/>
    <w:rsid w:val="0054085D"/>
    <w:rsid w:val="005578B6"/>
    <w:rsid w:val="005C7D1F"/>
    <w:rsid w:val="005F25D2"/>
    <w:rsid w:val="0063493F"/>
    <w:rsid w:val="00653BF2"/>
    <w:rsid w:val="00664FD3"/>
    <w:rsid w:val="007B24F9"/>
    <w:rsid w:val="007C3191"/>
    <w:rsid w:val="007C681F"/>
    <w:rsid w:val="007D3245"/>
    <w:rsid w:val="00803B3A"/>
    <w:rsid w:val="00883B6C"/>
    <w:rsid w:val="008E4EE2"/>
    <w:rsid w:val="00916D26"/>
    <w:rsid w:val="009E08FE"/>
    <w:rsid w:val="00A3733A"/>
    <w:rsid w:val="00A4021A"/>
    <w:rsid w:val="00A91BFA"/>
    <w:rsid w:val="00AB0892"/>
    <w:rsid w:val="00AB222D"/>
    <w:rsid w:val="00B76DFD"/>
    <w:rsid w:val="00C05517"/>
    <w:rsid w:val="00C15FE6"/>
    <w:rsid w:val="00CA31A8"/>
    <w:rsid w:val="00D327CF"/>
    <w:rsid w:val="00DC321E"/>
    <w:rsid w:val="00DF7893"/>
    <w:rsid w:val="00EA5736"/>
    <w:rsid w:val="00F05F91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ACEE0-A710-47C2-803C-6FACC65F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3BF2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A72B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A91BFA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A91BFA"/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1E0A-AC8F-43B2-8D0E-4D2265D3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Tigranyan</dc:creator>
  <cp:keywords/>
  <dc:description/>
  <cp:lastModifiedBy>Ani Mkrtchyan</cp:lastModifiedBy>
  <cp:revision>36</cp:revision>
  <dcterms:created xsi:type="dcterms:W3CDTF">2021-12-06T06:01:00Z</dcterms:created>
  <dcterms:modified xsi:type="dcterms:W3CDTF">2022-09-20T11:46:00Z</dcterms:modified>
</cp:coreProperties>
</file>