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AB0" w:rsidRDefault="00141C0A">
      <w:pPr>
        <w:tabs>
          <w:tab w:val="center" w:pos="4680"/>
          <w:tab w:val="right" w:pos="9360"/>
        </w:tabs>
        <w:spacing w:line="360" w:lineRule="auto"/>
        <w:jc w:val="center"/>
        <w:rPr>
          <w:rFonts w:ascii="GHEA Grapalat" w:hAnsi="GHEA Grapalat"/>
          <w:b/>
          <w:bCs/>
          <w:lang w:val="hy-AM"/>
        </w:rPr>
      </w:pPr>
      <w:r>
        <w:rPr>
          <w:rFonts w:ascii="GHEA Grapalat" w:hAnsi="GHEA Grapalat"/>
          <w:b/>
          <w:bCs/>
          <w:lang w:val="hy-AM"/>
        </w:rPr>
        <w:t>ԱՄՓՈՓԱԹԵՐԹ</w:t>
      </w:r>
    </w:p>
    <w:p w:rsidR="00EB7AB0" w:rsidRDefault="00141C0A">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cs="Arial"/>
          <w:bCs/>
          <w:kern w:val="32"/>
          <w:lang w:val="hy-AM"/>
        </w:rPr>
        <w:t>«</w:t>
      </w:r>
      <w:r>
        <w:rPr>
          <w:rFonts w:ascii="GHEA Grapalat" w:hAnsi="GHEA Grapalat" w:cs="Sylfaen"/>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 և լրացում կատարելու մասին</w:t>
      </w:r>
      <w:r>
        <w:rPr>
          <w:rFonts w:ascii="GHEA Grapalat" w:hAnsi="GHEA Grapalat"/>
          <w:lang w:val="hy-AM"/>
        </w:rPr>
        <w:t>»</w:t>
      </w:r>
      <w:r>
        <w:rPr>
          <w:rFonts w:ascii="GHEA Grapalat" w:hAnsi="GHEA Grapalat"/>
          <w:b/>
          <w:lang w:val="hy-AM"/>
        </w:rPr>
        <w:t xml:space="preserve"> </w:t>
      </w:r>
      <w:r>
        <w:rPr>
          <w:rFonts w:ascii="GHEA Grapalat" w:hAnsi="GHEA Grapalat" w:cs="Sylfaen"/>
          <w:bCs/>
          <w:lang w:val="hy-AM"/>
        </w:rPr>
        <w:t xml:space="preserve">կառավարության որոշման </w:t>
      </w:r>
      <w:r>
        <w:rPr>
          <w:rFonts w:ascii="GHEA Grapalat" w:hAnsi="GHEA Grapalat"/>
          <w:bCs/>
          <w:lang w:val="hy-AM"/>
        </w:rPr>
        <w:t>նախագծի վերաբերյալ շահագրգիռ մարմինների առարկությունների և առաջարկությունների</w:t>
      </w:r>
    </w:p>
    <w:tbl>
      <w:tblPr>
        <w:tblW w:w="98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942"/>
        <w:gridCol w:w="4950"/>
      </w:tblGrid>
      <w:tr w:rsidR="00EB7AB0" w:rsidTr="009E4E0F">
        <w:trPr>
          <w:trHeight w:val="357"/>
          <w:tblCellSpacing w:w="0" w:type="dxa"/>
          <w:jc w:val="center"/>
        </w:trPr>
        <w:tc>
          <w:tcPr>
            <w:tcW w:w="494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EB7AB0" w:rsidRDefault="00141C0A">
            <w:pPr>
              <w:widowControl w:val="0"/>
              <w:spacing w:line="276" w:lineRule="auto"/>
              <w:ind w:left="150" w:right="210"/>
              <w:contextualSpacing/>
              <w:rPr>
                <w:rFonts w:ascii="GHEA Grapalat" w:hAnsi="GHEA Grapalat"/>
                <w:shd w:val="clear" w:color="auto" w:fill="FFFFFF"/>
              </w:rPr>
            </w:pPr>
            <w:r>
              <w:rPr>
                <w:rFonts w:ascii="GHEA Grapalat" w:hAnsi="GHEA Grapalat"/>
                <w:shd w:val="clear" w:color="auto" w:fill="FFFFFF"/>
              </w:rPr>
              <w:t>ՀՀ ֆինանսների նախարարություն</w:t>
            </w:r>
          </w:p>
        </w:tc>
        <w:tc>
          <w:tcPr>
            <w:tcW w:w="495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EB7AB0" w:rsidRDefault="00141C0A">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26-0</w:t>
            </w:r>
            <w:r>
              <w:rPr>
                <w:rFonts w:ascii="GHEA Grapalat" w:hAnsi="GHEA Grapalat"/>
                <w:shd w:val="clear" w:color="auto" w:fill="FFFFFF"/>
                <w:lang w:val="en-US"/>
              </w:rPr>
              <w:t>9</w:t>
            </w:r>
            <w:r>
              <w:rPr>
                <w:rFonts w:ascii="GHEA Grapalat" w:hAnsi="GHEA Grapalat"/>
                <w:shd w:val="clear" w:color="auto" w:fill="FFFFFF"/>
              </w:rPr>
              <w:t>-2022թ.</w:t>
            </w:r>
          </w:p>
        </w:tc>
      </w:tr>
      <w:tr w:rsidR="00EB7AB0" w:rsidTr="009E4E0F">
        <w:trPr>
          <w:trHeight w:val="435"/>
          <w:tblCellSpacing w:w="0" w:type="dxa"/>
          <w:jc w:val="center"/>
        </w:trPr>
        <w:tc>
          <w:tcPr>
            <w:tcW w:w="4942" w:type="dxa"/>
            <w:vMerge/>
            <w:tcBorders>
              <w:left w:val="outset" w:sz="6" w:space="0" w:color="auto"/>
              <w:bottom w:val="outset" w:sz="6" w:space="0" w:color="auto"/>
              <w:right w:val="outset" w:sz="6" w:space="0" w:color="auto"/>
            </w:tcBorders>
            <w:shd w:val="clear" w:color="auto" w:fill="FFFFFF" w:themeFill="background1"/>
            <w:vAlign w:val="center"/>
            <w:hideMark/>
          </w:tcPr>
          <w:p w:rsidR="00EB7AB0" w:rsidRDefault="00EB7AB0">
            <w:pPr>
              <w:widowControl w:val="0"/>
              <w:spacing w:line="276" w:lineRule="auto"/>
              <w:ind w:left="150" w:right="210"/>
              <w:contextualSpacing/>
              <w:rPr>
                <w:rFonts w:ascii="GHEA Grapalat" w:hAnsi="GHEA Grapalat"/>
                <w:shd w:val="clear" w:color="auto" w:fill="FFFFFF"/>
              </w:rPr>
            </w:pPr>
          </w:p>
        </w:tc>
        <w:tc>
          <w:tcPr>
            <w:tcW w:w="495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EB7AB0" w:rsidRDefault="00141C0A">
            <w:pPr>
              <w:widowControl w:val="0"/>
              <w:spacing w:line="276" w:lineRule="auto"/>
              <w:ind w:right="210"/>
              <w:contextualSpacing/>
              <w:rPr>
                <w:rFonts w:ascii="GHEA Grapalat" w:hAnsi="GHEA Grapalat"/>
                <w:shd w:val="clear" w:color="auto" w:fill="FFFFFF"/>
              </w:rPr>
            </w:pPr>
            <w:r>
              <w:rPr>
                <w:rFonts w:ascii="GHEA Grapalat" w:hAnsi="GHEA Grapalat"/>
                <w:color w:val="000000"/>
                <w:shd w:val="clear" w:color="auto" w:fill="FFFFFF"/>
              </w:rPr>
              <w:t>01/8-3/16622-2022</w:t>
            </w:r>
          </w:p>
        </w:tc>
      </w:tr>
      <w:tr w:rsidR="00EB7AB0" w:rsidTr="009E4E0F">
        <w:trPr>
          <w:trHeight w:val="1605"/>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auto"/>
          </w:tcPr>
          <w:p w:rsidR="00EB7AB0" w:rsidRDefault="00141C0A">
            <w:pPr>
              <w:tabs>
                <w:tab w:val="left" w:pos="180"/>
              </w:tabs>
              <w:spacing w:line="360" w:lineRule="auto"/>
              <w:ind w:left="150" w:right="210"/>
              <w:jc w:val="both"/>
              <w:rPr>
                <w:rFonts w:ascii="GHEA Grapalat" w:hAnsi="GHEA Grapalat"/>
                <w:lang w:val="hy-AM"/>
              </w:rPr>
            </w:pPr>
            <w:r>
              <w:rPr>
                <w:rFonts w:ascii="GHEA Grapalat" w:hAnsi="GHEA Grapalat" w:cs="Sylfaen"/>
                <w:lang w:val="hy-AM"/>
              </w:rPr>
              <w:t xml:space="preserve">Ուսումնասիրելով Ձեր 20.09.2022թ. N ՄՆ//23956-2022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 և լրացում կատարելու մասին» ՀՀ կառավարության որոշման նախագիծը (այսուհետ` Նախագիծ), որով նախատեսվում է վերաբաշխման միջոցով </w:t>
            </w:r>
            <w:r>
              <w:rPr>
                <w:rFonts w:ascii="GHEA Grapalat" w:eastAsiaTheme="minorHAnsi" w:hAnsi="GHEA Grapalat" w:cs="Arial"/>
                <w:color w:val="000000" w:themeColor="text1"/>
                <w:lang w:val="hy-AM"/>
              </w:rPr>
              <w:t xml:space="preserve">ներդնել Հաշմանդամության գնահատման համակարգի բարեփոխումների և անձի ֆունկցիոնալության գնահատման E-disability նոր տեղեկատվական համակարգ, </w:t>
            </w:r>
            <w:r>
              <w:rPr>
                <w:rFonts w:ascii="GHEA Grapalat" w:hAnsi="GHEA Grapalat"/>
                <w:lang w:val="hy-AM"/>
              </w:rPr>
              <w:t>հայտնում ենք հետևյալը.</w:t>
            </w:r>
          </w:p>
          <w:p w:rsidR="00EB7AB0" w:rsidRDefault="00EB7AB0">
            <w:pPr>
              <w:tabs>
                <w:tab w:val="left" w:pos="567"/>
                <w:tab w:val="right" w:pos="10490"/>
              </w:tabs>
              <w:spacing w:line="360" w:lineRule="auto"/>
              <w:ind w:left="150" w:right="210"/>
              <w:jc w:val="both"/>
              <w:rPr>
                <w:rFonts w:ascii="GHEA Grapalat" w:hAnsi="GHEA Grapalat" w:cs="Sylfaen"/>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auto"/>
          </w:tcPr>
          <w:p w:rsidR="00EB7AB0" w:rsidRDefault="00EB7AB0">
            <w:pPr>
              <w:spacing w:line="360" w:lineRule="auto"/>
              <w:ind w:left="60" w:right="165" w:firstLine="180"/>
              <w:jc w:val="both"/>
              <w:rPr>
                <w:rFonts w:ascii="GHEA Grapalat" w:eastAsia="Calibri" w:hAnsi="GHEA Grapalat"/>
                <w:lang w:val="hy-AM"/>
              </w:rPr>
            </w:pPr>
          </w:p>
        </w:tc>
      </w:tr>
      <w:tr w:rsidR="00EB7AB0" w:rsidRPr="003E1CCE" w:rsidTr="009E4E0F">
        <w:trPr>
          <w:trHeight w:val="1605"/>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auto"/>
          </w:tcPr>
          <w:p w:rsidR="00EB7AB0" w:rsidRDefault="00141C0A">
            <w:pPr>
              <w:tabs>
                <w:tab w:val="left" w:pos="567"/>
                <w:tab w:val="right" w:pos="10490"/>
              </w:tabs>
              <w:spacing w:line="360" w:lineRule="auto"/>
              <w:ind w:left="150" w:right="210"/>
              <w:jc w:val="both"/>
              <w:rPr>
                <w:rFonts w:ascii="GHEA Grapalat" w:hAnsi="GHEA Grapalat"/>
                <w:lang w:val="hy-AM"/>
              </w:rPr>
            </w:pPr>
            <w:r>
              <w:rPr>
                <w:rFonts w:ascii="GHEA Grapalat" w:hAnsi="GHEA Grapalat"/>
                <w:lang w:val="hy-AM"/>
              </w:rPr>
              <w:t xml:space="preserve">Առաջարկում ենք Նախագծում նշված գնման առարկայի ձեռք բերումն իրականացնել երկփուլ մրցույթի ձևով, որի կիրառման պարագայում պատվիրատուն կարող է սահմանել մասնակիցներին ներկայացվող </w:t>
            </w:r>
            <w:r>
              <w:rPr>
                <w:rFonts w:ascii="GHEA Grapalat" w:hAnsi="GHEA Grapalat"/>
                <w:lang w:val="hy-AM"/>
              </w:rPr>
              <w:lastRenderedPageBreak/>
              <w:t>որակավորման չափանիշներ` մասնագիտական փորձ, աշխատանքային ռեսուրսներ, տեխնիկական և ֆինանսական միջոցներ:</w:t>
            </w:r>
          </w:p>
          <w:p w:rsidR="00EB7AB0" w:rsidRDefault="00EB7AB0">
            <w:pPr>
              <w:tabs>
                <w:tab w:val="left" w:pos="567"/>
              </w:tabs>
              <w:spacing w:line="360" w:lineRule="auto"/>
              <w:ind w:left="150" w:right="210"/>
              <w:jc w:val="both"/>
              <w:rPr>
                <w:rFonts w:ascii="GHEA Grapalat" w:hAnsi="GHEA Grapalat" w:cs="Sylfaen"/>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auto"/>
          </w:tcPr>
          <w:p w:rsidR="00EB7AB0" w:rsidRDefault="00141C0A">
            <w:pPr>
              <w:spacing w:line="360" w:lineRule="auto"/>
              <w:ind w:left="60" w:right="165" w:firstLine="180"/>
              <w:jc w:val="both"/>
              <w:rPr>
                <w:rFonts w:ascii="GHEA Grapalat" w:eastAsia="Calibri" w:hAnsi="GHEA Grapalat"/>
                <w:lang w:val="hy-AM"/>
              </w:rPr>
            </w:pPr>
            <w:r>
              <w:rPr>
                <w:rFonts w:ascii="GHEA Grapalat" w:eastAsia="Calibri" w:hAnsi="GHEA Grapalat"/>
                <w:lang w:val="hy-AM"/>
              </w:rPr>
              <w:lastRenderedPageBreak/>
              <w:t>Չի ընդունվել։</w:t>
            </w:r>
          </w:p>
          <w:p w:rsidR="00EB7AB0" w:rsidRDefault="00141C0A">
            <w:pPr>
              <w:spacing w:line="360" w:lineRule="auto"/>
              <w:ind w:left="60" w:right="165" w:firstLine="180"/>
              <w:jc w:val="both"/>
              <w:rPr>
                <w:rFonts w:ascii="GHEA Grapalat" w:eastAsia="Calibri" w:hAnsi="GHEA Grapalat"/>
                <w:lang w:val="hy-AM"/>
              </w:rPr>
            </w:pPr>
            <w:r>
              <w:rPr>
                <w:rFonts w:ascii="GHEA Grapalat" w:eastAsia="Calibri" w:hAnsi="GHEA Grapalat"/>
                <w:lang w:val="hy-AM"/>
              </w:rPr>
              <w:t xml:space="preserve">ՀՀ կառավարության 2015 թվականի հունիսի  4-ի N 582-Ն որոշման 3-րդ կետով սահմանված է, որ «Նորք» տեղեկատվավերլուծական կենտրոն» փակ բաժնետիրական ընկերությունը </w:t>
            </w:r>
            <w:r>
              <w:rPr>
                <w:rFonts w:ascii="GHEA Grapalat" w:eastAsia="Calibri" w:hAnsi="GHEA Grapalat"/>
                <w:lang w:val="hy-AM"/>
              </w:rPr>
              <w:lastRenderedPageBreak/>
              <w:t xml:space="preserve">ճանաչվել է Սոցիալական աջակցության տեղեկատվական շտեմարանների սպասարկման և շահագործման բնագավառում ՀՀ կառավարության լիազորած կազմակերպություն։ </w:t>
            </w:r>
          </w:p>
          <w:p w:rsidR="00EB7AB0" w:rsidRDefault="00141C0A">
            <w:pPr>
              <w:spacing w:line="360" w:lineRule="auto"/>
              <w:ind w:left="60" w:right="165" w:firstLine="180"/>
              <w:jc w:val="both"/>
              <w:rPr>
                <w:rFonts w:ascii="GHEA Grapalat" w:eastAsia="Calibri" w:hAnsi="GHEA Grapalat"/>
                <w:lang w:val="hy-AM"/>
              </w:rPr>
            </w:pPr>
            <w:r>
              <w:rPr>
                <w:rFonts w:ascii="GHEA Grapalat" w:eastAsia="Calibri" w:hAnsi="GHEA Grapalat"/>
                <w:lang w:val="hy-AM"/>
              </w:rPr>
              <w:t xml:space="preserve">ՀՀ կառավարության 02.09.2016թ. թիվ 899-Ն որոշմամբ համապատասխանաբար փոփոխվեց ՀՀ կառավարության 2015 թվականի հունիսի  4-ի N 582-Ն որոշման 3-րդ կետը. «Նորք» տեղեկատվավերլուծական կենտրոն» փակ բաժնետիրական ընկերությունը փոխարինվեց </w:t>
            </w:r>
          </w:p>
          <w:p w:rsidR="00EB7AB0" w:rsidRDefault="00141C0A">
            <w:pPr>
              <w:spacing w:line="360" w:lineRule="auto"/>
              <w:ind w:left="60" w:right="165" w:firstLine="180"/>
              <w:jc w:val="both"/>
              <w:rPr>
                <w:rFonts w:ascii="GHEA Grapalat" w:eastAsia="Calibri" w:hAnsi="GHEA Grapalat"/>
                <w:lang w:val="hy-AM"/>
              </w:rPr>
            </w:pPr>
            <w:r>
              <w:rPr>
                <w:rFonts w:ascii="GHEA Grapalat" w:eastAsia="Calibri" w:hAnsi="GHEA Grapalat"/>
                <w:lang w:val="hy-AM"/>
              </w:rPr>
              <w:t>««Նորք» սոցիալական ծառայությունների տեխնոլոգիական և իրազեկման կենտրոն» հիմնադրամով և Հիմնադրամը 2016 թվականի դեկտեմբերի 1-ից ճանաչվեց սոցիալական աջակցության տեղեկատվական շտեմարանները սպասարկող՝ ՀՀ Կառավարության կողմից  լիազորված կազմակերպություն:</w:t>
            </w:r>
          </w:p>
          <w:p w:rsidR="00EB7AB0" w:rsidRDefault="00141C0A">
            <w:pPr>
              <w:spacing w:line="360" w:lineRule="auto"/>
              <w:ind w:left="60" w:right="165" w:firstLine="180"/>
              <w:jc w:val="both"/>
              <w:rPr>
                <w:rFonts w:ascii="GHEA Grapalat" w:eastAsia="Calibri" w:hAnsi="GHEA Grapalat"/>
                <w:lang w:val="hy-AM"/>
              </w:rPr>
            </w:pPr>
            <w:r>
              <w:rPr>
                <w:rFonts w:ascii="GHEA Grapalat" w:eastAsia="Calibri" w:hAnsi="GHEA Grapalat"/>
                <w:lang w:val="hy-AM"/>
              </w:rPr>
              <w:t xml:space="preserve">Հիմնադրամի կանոնադրության 16-րդ կետի 2-րդ ենթակետի համաձայն` Հիմնադրամը իրականացնում է սոցիալական ոլորտում համակարգչային և ցանցային սարքավորումների ու տեղեկատվական և հեռահաղորդակցական տեխնոլոգիաների ներդրում, շահագործում և սպասարկում: Հետևաբար </w:t>
            </w:r>
            <w:bookmarkStart w:id="0" w:name="_GoBack"/>
            <w:bookmarkEnd w:id="0"/>
            <w:r>
              <w:rPr>
                <w:rFonts w:ascii="GHEA Grapalat" w:eastAsia="Calibri" w:hAnsi="GHEA Grapalat"/>
                <w:lang w:val="hy-AM"/>
              </w:rPr>
              <w:t xml:space="preserve">առաջարկվող բոլոր չափանիշները ««Նորք» հիմնադրամում առկա են և Երկփուլ մրցույթ </w:t>
            </w:r>
            <w:r>
              <w:rPr>
                <w:rFonts w:ascii="GHEA Grapalat" w:eastAsia="Calibri" w:hAnsi="GHEA Grapalat"/>
                <w:lang w:val="hy-AM"/>
              </w:rPr>
              <w:lastRenderedPageBreak/>
              <w:t>իրականացնելու անհրաժեշտության կարիք չկա։</w:t>
            </w:r>
          </w:p>
          <w:p w:rsidR="00141C0A" w:rsidRPr="00141C0A" w:rsidRDefault="00141C0A" w:rsidP="009E4E0F">
            <w:pPr>
              <w:spacing w:line="360" w:lineRule="auto"/>
              <w:ind w:left="60" w:right="165" w:firstLine="180"/>
              <w:jc w:val="both"/>
              <w:rPr>
                <w:rFonts w:ascii="GHEA Grapalat" w:eastAsia="Calibri" w:hAnsi="GHEA Grapalat"/>
                <w:lang w:val="hy-AM"/>
              </w:rPr>
            </w:pPr>
            <w:r w:rsidRPr="00141C0A">
              <w:rPr>
                <w:rFonts w:ascii="GHEA Grapalat" w:eastAsia="Calibri" w:hAnsi="GHEA Grapalat"/>
                <w:lang w:val="hy-AM"/>
              </w:rPr>
              <w:t xml:space="preserve">Մեկ անձից գնում կատարելու անհրաժեշտությունը պայմանավորված է </w:t>
            </w:r>
            <w:r>
              <w:rPr>
                <w:rFonts w:ascii="GHEA Grapalat" w:eastAsia="Calibri" w:hAnsi="GHEA Grapalat"/>
                <w:lang w:val="hy-AM"/>
              </w:rPr>
              <w:t>հրատապությամբ, ինչպես նաև</w:t>
            </w:r>
            <w:r w:rsidRPr="00141C0A">
              <w:rPr>
                <w:rFonts w:ascii="GHEA Grapalat" w:eastAsia="Calibri" w:hAnsi="GHEA Grapalat"/>
                <w:lang w:val="hy-AM"/>
              </w:rPr>
              <w:t xml:space="preserve"> 29.07.2022 թվականի </w:t>
            </w:r>
            <w:r w:rsidR="009E4E0F" w:rsidRPr="00141C0A">
              <w:rPr>
                <w:rFonts w:ascii="GHEA Grapalat" w:eastAsia="Calibri" w:hAnsi="GHEA Grapalat"/>
                <w:lang w:val="hy-AM"/>
              </w:rPr>
              <w:t xml:space="preserve">ՀՀ կառավրության </w:t>
            </w:r>
            <w:r w:rsidRPr="00141C0A">
              <w:rPr>
                <w:rFonts w:ascii="GHEA Grapalat" w:eastAsia="Calibri" w:hAnsi="GHEA Grapalat"/>
                <w:lang w:val="hy-AM"/>
              </w:rPr>
              <w:t>1180-Ն որոշման առաջին կետի պահանջներով</w:t>
            </w:r>
            <w:r w:rsidR="009E4E0F" w:rsidRPr="009E4E0F">
              <w:rPr>
                <w:rFonts w:ascii="GHEA Grapalat" w:eastAsia="Calibri" w:hAnsi="GHEA Grapalat"/>
                <w:lang w:val="hy-AM"/>
              </w:rPr>
              <w:t>:</w:t>
            </w:r>
            <w:r w:rsidRPr="00141C0A">
              <w:rPr>
                <w:rFonts w:ascii="GHEA Grapalat" w:eastAsia="Calibri" w:hAnsi="GHEA Grapalat"/>
                <w:lang w:val="hy-AM"/>
              </w:rPr>
              <w:t xml:space="preserve"> </w:t>
            </w:r>
            <w:r>
              <w:rPr>
                <w:rFonts w:ascii="GHEA Grapalat" w:eastAsia="Calibri" w:hAnsi="GHEA Grapalat"/>
                <w:lang w:val="hy-AM"/>
              </w:rPr>
              <w:t>Մ</w:t>
            </w:r>
            <w:r w:rsidRPr="00141C0A">
              <w:rPr>
                <w:rFonts w:ascii="GHEA Grapalat" w:eastAsia="Calibri" w:hAnsi="GHEA Grapalat"/>
                <w:lang w:val="hy-AM"/>
              </w:rPr>
              <w:t>եկ անձից գնում կատարելու դեպքում գնման գործընթացը տևում է 3-5 օր, իսկ երկփուլ մրցույթի դեպքում</w:t>
            </w:r>
            <w:r w:rsidR="009E4E0F" w:rsidRPr="009E4E0F">
              <w:rPr>
                <w:rFonts w:ascii="GHEA Grapalat" w:eastAsia="Calibri" w:hAnsi="GHEA Grapalat"/>
                <w:lang w:val="hy-AM"/>
              </w:rPr>
              <w:t>՝</w:t>
            </w:r>
            <w:r>
              <w:rPr>
                <w:rFonts w:ascii="GHEA Grapalat" w:eastAsia="Calibri" w:hAnsi="GHEA Grapalat"/>
                <w:lang w:val="hy-AM"/>
              </w:rPr>
              <w:t xml:space="preserve"> առնվազն 60 օր</w:t>
            </w:r>
            <w:r w:rsidRPr="00141C0A">
              <w:rPr>
                <w:rFonts w:ascii="GHEA Grapalat" w:eastAsia="Calibri" w:hAnsi="GHEA Grapalat"/>
                <w:lang w:val="hy-AM"/>
              </w:rPr>
              <w:t>:</w:t>
            </w:r>
          </w:p>
        </w:tc>
      </w:tr>
      <w:tr w:rsidR="00EB7AB0" w:rsidRPr="009E4E0F" w:rsidTr="009E4E0F">
        <w:trPr>
          <w:trHeight w:val="1605"/>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auto"/>
          </w:tcPr>
          <w:p w:rsidR="00EB7AB0" w:rsidRDefault="00141C0A">
            <w:pPr>
              <w:tabs>
                <w:tab w:val="left" w:pos="567"/>
                <w:tab w:val="right" w:pos="10490"/>
              </w:tabs>
              <w:spacing w:line="360" w:lineRule="auto"/>
              <w:ind w:left="150" w:right="210"/>
              <w:jc w:val="both"/>
              <w:rPr>
                <w:rFonts w:ascii="GHEA Grapalat" w:hAnsi="GHEA Grapalat"/>
                <w:lang w:val="hy-AM"/>
              </w:rPr>
            </w:pPr>
            <w:r>
              <w:rPr>
                <w:rFonts w:ascii="GHEA Grapalat" w:hAnsi="GHEA Grapalat"/>
                <w:lang w:val="hy-AM"/>
              </w:rPr>
              <w:lastRenderedPageBreak/>
              <w:t xml:space="preserve">Միաժամանակ, հարկ է նշել, որ Նախագծին կից բացակայում են նոր ներդրվող տեղեկատվական համակարգի վերաբերյալ մանրամասն հաշվարկները, գնագոյացման/գնորոշման սկզբունքները և համապատասխան իրավական հիմքերը: </w:t>
            </w:r>
          </w:p>
          <w:p w:rsidR="00EB7AB0" w:rsidRDefault="00EB7AB0">
            <w:pPr>
              <w:tabs>
                <w:tab w:val="left" w:pos="567"/>
              </w:tabs>
              <w:spacing w:line="360" w:lineRule="auto"/>
              <w:ind w:left="150" w:right="210"/>
              <w:jc w:val="both"/>
              <w:rPr>
                <w:rFonts w:ascii="GHEA Grapalat" w:hAnsi="GHEA Grapalat" w:cs="Sylfaen"/>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auto"/>
          </w:tcPr>
          <w:p w:rsidR="00EB7AB0" w:rsidRPr="00BA4CFF" w:rsidRDefault="00BA4CFF">
            <w:pPr>
              <w:spacing w:line="360" w:lineRule="auto"/>
              <w:ind w:left="60" w:right="165" w:firstLine="180"/>
              <w:jc w:val="both"/>
              <w:rPr>
                <w:rFonts w:ascii="GHEA Grapalat" w:eastAsia="Calibri" w:hAnsi="GHEA Grapalat"/>
                <w:lang w:val="en-US"/>
              </w:rPr>
            </w:pPr>
            <w:proofErr w:type="spellStart"/>
            <w:r>
              <w:rPr>
                <w:rFonts w:ascii="GHEA Grapalat" w:eastAsia="Calibri" w:hAnsi="GHEA Grapalat"/>
                <w:lang w:val="en-US"/>
              </w:rPr>
              <w:t>Կցվել</w:t>
            </w:r>
            <w:proofErr w:type="spellEnd"/>
            <w:r>
              <w:rPr>
                <w:rFonts w:ascii="GHEA Grapalat" w:eastAsia="Calibri" w:hAnsi="GHEA Grapalat"/>
                <w:lang w:val="en-US"/>
              </w:rPr>
              <w:t xml:space="preserve"> է՝ </w:t>
            </w:r>
            <w:proofErr w:type="spellStart"/>
            <w:r>
              <w:rPr>
                <w:rFonts w:ascii="GHEA Grapalat" w:eastAsia="Calibri" w:hAnsi="GHEA Grapalat"/>
                <w:lang w:val="en-US"/>
              </w:rPr>
              <w:t>Հավելված</w:t>
            </w:r>
            <w:proofErr w:type="spellEnd"/>
            <w:r>
              <w:rPr>
                <w:rFonts w:ascii="GHEA Grapalat" w:eastAsia="Calibri" w:hAnsi="GHEA Grapalat"/>
                <w:lang w:val="en-US"/>
              </w:rPr>
              <w:t xml:space="preserve"> 1:</w:t>
            </w:r>
          </w:p>
        </w:tc>
      </w:tr>
    </w:tbl>
    <w:p w:rsidR="00EB7AB0" w:rsidRDefault="00EB7AB0">
      <w:pPr>
        <w:rPr>
          <w:rFonts w:ascii="GHEA Grapalat" w:hAnsi="GHEA Grapalat"/>
          <w:lang w:val="hy-AM"/>
        </w:rPr>
      </w:pPr>
    </w:p>
    <w:sectPr w:rsidR="00EB7AB0">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B072D89"/>
    <w:multiLevelType w:val="hybridMultilevel"/>
    <w:tmpl w:val="4498CD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nsid w:val="51531E64"/>
    <w:multiLevelType w:val="hybridMultilevel"/>
    <w:tmpl w:val="1E8ADB26"/>
    <w:lvl w:ilvl="0" w:tplc="04090001">
      <w:start w:val="1"/>
      <w:numFmt w:val="bullet"/>
      <w:lvlText w:val=""/>
      <w:lvlJc w:val="left"/>
      <w:pPr>
        <w:ind w:left="1353" w:hanging="360"/>
      </w:pPr>
      <w:rPr>
        <w:rFonts w:ascii="Symbol" w:hAnsi="Symbol"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AB0"/>
    <w:rsid w:val="00141C0A"/>
    <w:rsid w:val="003E1CCE"/>
    <w:rsid w:val="009E4E0F"/>
    <w:rsid w:val="00BA4CFF"/>
    <w:rsid w:val="00EB7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pPr>
      <w:spacing w:before="100" w:beforeAutospacing="1" w:after="100" w:afterAutospacing="1"/>
    </w:pPr>
    <w:rPr>
      <w:lang w:val="en-US"/>
    </w:rPr>
  </w:style>
  <w:style w:type="table" w:styleId="TableGrid">
    <w:name w:val="Table Grid"/>
    <w:basedOn w:val="TableNormal"/>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Pr>
      <w:rFonts w:ascii="Calibri" w:eastAsia="Calibri" w:hAnsi="Calibri" w:cs="Times New Roman"/>
    </w:rPr>
  </w:style>
  <w:style w:type="character" w:styleId="Strong">
    <w:name w:val="Strong"/>
    <w:uiPriority w:val="22"/>
    <w:qFormat/>
    <w:rPr>
      <w:b/>
      <w:bCs/>
    </w:rPr>
  </w:style>
  <w:style w:type="paragraph" w:styleId="BalloonText">
    <w:name w:val="Balloon Text"/>
    <w:basedOn w:val="Normal"/>
    <w:link w:val="BalloonTextChar"/>
    <w:uiPriority w:val="99"/>
    <w:semiHidden/>
    <w:unhideWhenUsed/>
    <w:qFormat/>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Pr>
      <w:rFonts w:ascii="Segoe UI" w:eastAsia="Calibri" w:hAnsi="Segoe UI" w:cs="Segoe UI"/>
      <w:color w:val="00000A"/>
      <w:sz w:val="18"/>
      <w:szCs w:val="18"/>
    </w:rPr>
  </w:style>
  <w:style w:type="paragraph" w:styleId="BodyText">
    <w:name w:val="Body Text"/>
    <w:basedOn w:val="Normal"/>
    <w:link w:val="BodyTextChar"/>
    <w:semiHidden/>
    <w:unhideWhenUse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Pr>
      <w:rFonts w:ascii="Calibri" w:eastAsia="Calibri" w:hAnsi="Calibri"/>
      <w:color w:val="00000A"/>
    </w:rPr>
  </w:style>
  <w:style w:type="character" w:customStyle="1" w:styleId="mechtexChar">
    <w:name w:val="mechtex Char"/>
    <w:link w:val="mechtex"/>
    <w:locked/>
    <w:rPr>
      <w:rFonts w:ascii="Arial Armenian" w:eastAsia="Times New Roman" w:hAnsi="Arial Armenian" w:cs="Times New Roman"/>
      <w:lang w:eastAsia="ru-RU"/>
    </w:rPr>
  </w:style>
  <w:style w:type="paragraph" w:customStyle="1" w:styleId="mechtex">
    <w:name w:val="mechtex"/>
    <w:basedOn w:val="Normal"/>
    <w:link w:val="mechtexChar"/>
    <w:pPr>
      <w:jc w:val="center"/>
    </w:pPr>
    <w:rPr>
      <w:rFonts w:ascii="Arial Armenian" w:hAnsi="Arial Armenian"/>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pPr>
      <w:spacing w:before="100" w:beforeAutospacing="1" w:after="100" w:afterAutospacing="1"/>
    </w:pPr>
    <w:rPr>
      <w:lang w:val="en-US"/>
    </w:rPr>
  </w:style>
  <w:style w:type="table" w:styleId="TableGrid">
    <w:name w:val="Table Grid"/>
    <w:basedOn w:val="TableNormal"/>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Pr>
      <w:rFonts w:ascii="Calibri" w:eastAsia="Calibri" w:hAnsi="Calibri" w:cs="Times New Roman"/>
    </w:rPr>
  </w:style>
  <w:style w:type="character" w:styleId="Strong">
    <w:name w:val="Strong"/>
    <w:uiPriority w:val="22"/>
    <w:qFormat/>
    <w:rPr>
      <w:b/>
      <w:bCs/>
    </w:rPr>
  </w:style>
  <w:style w:type="paragraph" w:styleId="BalloonText">
    <w:name w:val="Balloon Text"/>
    <w:basedOn w:val="Normal"/>
    <w:link w:val="BalloonTextChar"/>
    <w:uiPriority w:val="99"/>
    <w:semiHidden/>
    <w:unhideWhenUsed/>
    <w:qFormat/>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Pr>
      <w:rFonts w:ascii="Segoe UI" w:eastAsia="Calibri" w:hAnsi="Segoe UI" w:cs="Segoe UI"/>
      <w:color w:val="00000A"/>
      <w:sz w:val="18"/>
      <w:szCs w:val="18"/>
    </w:rPr>
  </w:style>
  <w:style w:type="paragraph" w:styleId="BodyText">
    <w:name w:val="Body Text"/>
    <w:basedOn w:val="Normal"/>
    <w:link w:val="BodyTextChar"/>
    <w:semiHidden/>
    <w:unhideWhenUse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Pr>
      <w:rFonts w:ascii="Calibri" w:eastAsia="Calibri" w:hAnsi="Calibri"/>
      <w:color w:val="00000A"/>
    </w:rPr>
  </w:style>
  <w:style w:type="character" w:customStyle="1" w:styleId="mechtexChar">
    <w:name w:val="mechtex Char"/>
    <w:link w:val="mechtex"/>
    <w:locked/>
    <w:rPr>
      <w:rFonts w:ascii="Arial Armenian" w:eastAsia="Times New Roman" w:hAnsi="Arial Armenian" w:cs="Times New Roman"/>
      <w:lang w:eastAsia="ru-RU"/>
    </w:rPr>
  </w:style>
  <w:style w:type="paragraph" w:customStyle="1" w:styleId="mechtex">
    <w:name w:val="mechtex"/>
    <w:basedOn w:val="Normal"/>
    <w:link w:val="mechtexChar"/>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427385833">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322</Words>
  <Characters>2500</Characters>
  <Application>Microsoft Office Word</Application>
  <DocSecurity>0</DocSecurity>
  <Lines>102</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https://mul2-mss.gov.am/tasks/1528875/oneclick/Ampopatert.1.docx?token=2ad2744ce7b489ad9d3c39ffac22e816</cp:keywords>
  <cp:lastModifiedBy>Samvel Muradyan</cp:lastModifiedBy>
  <cp:revision>5</cp:revision>
  <dcterms:created xsi:type="dcterms:W3CDTF">2022-09-27T11:01:00Z</dcterms:created>
  <dcterms:modified xsi:type="dcterms:W3CDTF">2022-09-27T13:37:00Z</dcterms:modified>
</cp:coreProperties>
</file>