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76B2343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42AF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ՕՎԱԼ ՊԼԱՍՏԻԿ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D75EC4" w:rsidR="0077537C" w:rsidRPr="00AA2650" w:rsidRDefault="008E319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FA7E8AD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2AF7" w:rsidRPr="00A42AF7">
              <w:rPr>
                <w:rFonts w:ascii="GHEA Grapalat" w:eastAsia="Times New Roman" w:hAnsi="GHEA Grapalat" w:cs="Times New Roman"/>
                <w:sz w:val="24"/>
                <w:szCs w:val="24"/>
              </w:rPr>
              <w:t>01/2-1/17382-2022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44A983F0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42AF7"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A42AF7"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578DB38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A3127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42AF7" w:rsidRPr="00A42AF7">
              <w:rPr>
                <w:rFonts w:ascii="GHEA Grapalat" w:eastAsia="Times New Roman" w:hAnsi="GHEA Grapalat" w:cs="Times New Roman"/>
                <w:sz w:val="24"/>
                <w:szCs w:val="24"/>
              </w:rPr>
              <w:t>01/3-2/73073-2022</w:t>
            </w:r>
          </w:p>
        </w:tc>
      </w:tr>
      <w:tr w:rsidR="0077537C" w:rsidRPr="00A42AF7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375A94" w14:textId="6FCF6A0F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Կարգի 11-12-րդ կետերի համաձայն` Կարգի իմաստով ներդրումային ծրագրի իրականացումը չի կարող գերազանցել հինգ տարին: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ժամկետը, իսկ ներմուծման սկզբնաժամկետը չի կարող լինել ավելի շուտ, քան նույն հավելվածի 13-րդ կետով նախատեսված հայտի` Հայաստանի Հանրապետության էկոնոմիկայի նախարարություն ներկայացման հաջորդ օրը։ Հաշվի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առնելով նշվածը` առաջարկում ենք Նախագծի 2-րդ կետի 2-3-րդ ենթակետերը համապատասխանեցնել վերոնշյալ իրավակարգավորումներին:</w:t>
            </w:r>
          </w:p>
          <w:p w14:paraId="409A9890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նշված ապրանքի վերաբերյալ տեղեկությունները բավարար չեն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</w:p>
          <w:p w14:paraId="05DB9A04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«ՕՎԱԼ ՊԼԱՍՏԻԿ»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01205053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11.05.1995թ</w:t>
            </w:r>
            <w:r w:rsidRPr="00A42AF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օգոստոս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480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աշխատողներ, որոնց միջին հարկման բազան կազմում է 115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936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2021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թվականի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2022 թվականի առաջին կիսամյակի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մասով ընկերության կողմից իրացման վերաբերյալ դիմումին կից ներկայացված տեղեկ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ւթյուն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 համապատասխանում են հարկային մարմնի տեղեկատվական բազայում առկա տվյալների հետ, իսկ 0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.2022թ. դրությամբ ընկերությունը չունի հարկային մարմնի կողմից վերահսկվող եկամուտների գծով պարտավորություն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5DDEED8" w14:textId="54B04CCA" w:rsidR="00AA2650" w:rsidRPr="00AA2650" w:rsidRDefault="00AA2650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DB38C7" w14:textId="77777777" w:rsidR="00A42AF7" w:rsidRDefault="00A42AF7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0324BFB5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1B5B5F13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BA06DB9" w:rsidR="00571130" w:rsidRPr="00AA2650" w:rsidRDefault="00A42AF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433E1F1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2AF7" w:rsidRPr="00A42AF7">
              <w:rPr>
                <w:rFonts w:ascii="GHEA Grapalat" w:eastAsia="Times New Roman" w:hAnsi="GHEA Grapalat" w:cs="Times New Roman"/>
                <w:sz w:val="24"/>
                <w:szCs w:val="24"/>
              </w:rPr>
              <w:t>01/27.1/44405-2022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D8C440" w14:textId="1AE7F142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«Օվալ պլաստիկ»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«Օվալ պլաստիկ»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ս.թ. սեպտեմբերի 14-ից՝ մինչև ծրագրի իրականացման վերջնաժամկետը:</w:t>
            </w:r>
          </w:p>
          <w:p w14:paraId="54EDB952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, իսկ ներմուծման սկզբնաժամկետը չի կարող լինել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lastRenderedPageBreak/>
              <w:t>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3EEB521C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3-րդ ենթակետի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որոշումն ուժի մեջ մտնելուց հետո 5 տարի:</w:t>
            </w:r>
          </w:p>
          <w:p w14:paraId="64B9D569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նույն օրենքի 31-րդ հոդվածի 3-րդ մասի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տարիներով հաշվարկվող ժամկետը լրանում է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ժամկետի վերջին տարվա համապատասխան ամսին և ամսաթվին:</w:t>
            </w:r>
            <w:r w:rsidRPr="00A42A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483D03CC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նկատի ունենալով, որ 2022 թվականի հոկտեմբերի 7-ի դրությամբ արտոնություն կիրառելու մասին սույն որոշումն ուժի մեջ մտած չէ,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Նախագծով առաջարկվող կարգավորումների և Որոշման հավելվածի 12-րդ կետի միջև, քանի որ 2022 թվականի սեպտեմբերի 14-ից սկսված մինչև ծրագրի իրականացման վերջնաժամկետն իրականացվող ներմուծումը, փաստորեն, կգերազանցի ծրագրի իրականացման ժամկետը (այն է՝ որոշումն ուժի մեջ մտնելուց հետո 5 տարին):</w:t>
            </w:r>
          </w:p>
          <w:p w14:paraId="67C77D1A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Նախագծի 2-րդ կետի 3-րդ ենթակետի համաձայն՝ 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սույն որոշումն ուժի մեջ մտնելուց հետո՝ 5 տարի,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սակայն ծրագրի իրականացման ժամկետը չի կարող գերազանցել ապրանքների ներմուծման ժամկետը:</w:t>
            </w:r>
          </w:p>
          <w:p w14:paraId="6B174009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անհրաժեշտ է նկատի ունենալ «Նորմատիվ իրավական ակտերի մասին»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2-րդ հոդվածի 1-ին մասի 5-րդ կետի դրույթները, որոնց համաձայն՝ </w:t>
            </w:r>
            <w:r w:rsidRPr="00A42AF7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 xml:space="preserve">անհատական իրավական ակտը 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նորմատիվ</w:t>
            </w:r>
            <w:r w:rsidRPr="00A42AF7">
              <w:rPr>
                <w:rFonts w:ascii="Calibri" w:eastAsia="Times New Roman" w:hAnsi="Calibri" w:cs="Calibri"/>
                <w:b/>
                <w:i/>
                <w:sz w:val="24"/>
                <w:szCs w:val="24"/>
                <w:lang w:val="hy-AM"/>
              </w:rPr>
              <w:t> </w:t>
            </w:r>
            <w:r w:rsidRPr="00A42AF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իրավական ակտի հիման վրա և դրան համապատասխան</w:t>
            </w:r>
            <w:r w:rsidRPr="00A42AF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ընդունված գրավոր իրավական ակտն է:</w:t>
            </w:r>
          </w:p>
          <w:p w14:paraId="76008131" w14:textId="77777777" w:rsidR="00A42AF7" w:rsidRPr="00A42AF7" w:rsidRDefault="00A42AF7" w:rsidP="00A42A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2A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Հետևաբար, հաշվի առնելով վերոգրյալը, առաջարկում ենք խմբագրել Նախագծի    2-րդ կետի 3-րդ ենթակետը՝ նկատի ունենալով, որ Որոշման հավելվածի 12-րդ կետում սահմանված է սկզբունքորեն հակառակ կարգավորում:</w:t>
            </w:r>
          </w:p>
          <w:p w14:paraId="4287E859" w14:textId="0C69329C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42AF7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B3CD9-D26B-49FC-BF33-0FFBFC640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2021-11-10T11:33:00Z</dcterms:created>
  <dcterms:modified xsi:type="dcterms:W3CDTF">2022-10-18T10:49:00Z</dcterms:modified>
</cp:coreProperties>
</file>