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5715" w14:textId="77777777" w:rsidR="008B3F83" w:rsidRPr="00BE4865" w:rsidRDefault="008B3F83" w:rsidP="008B3F83">
      <w:pPr>
        <w:shd w:val="clear" w:color="auto" w:fill="FFFFFF"/>
        <w:spacing w:after="0" w:line="240" w:lineRule="auto"/>
        <w:ind w:firstLine="375"/>
        <w:jc w:val="center"/>
        <w:rPr>
          <w:rFonts w:ascii="GHEA Grapalat" w:eastAsia="Times New Roman" w:hAnsi="GHEA Grapalat" w:cs="Times New Roman"/>
          <w:b/>
          <w:sz w:val="24"/>
          <w:szCs w:val="24"/>
          <w:lang w:val="hy-AM"/>
        </w:rPr>
      </w:pPr>
      <w:bookmarkStart w:id="0" w:name="_Hlk91075696"/>
      <w:r w:rsidRPr="00BE4865">
        <w:rPr>
          <w:rFonts w:ascii="GHEA Grapalat" w:eastAsia="Times New Roman" w:hAnsi="GHEA Grapalat" w:cs="Times New Roman"/>
          <w:b/>
          <w:sz w:val="24"/>
          <w:szCs w:val="24"/>
          <w:lang w:val="hy-AM"/>
        </w:rPr>
        <w:t>ԱՄՓՈՓԱԹԵՐԹ</w:t>
      </w:r>
    </w:p>
    <w:p w14:paraId="1CE68A49" w14:textId="77777777" w:rsidR="008B3F83" w:rsidRPr="00BE4865" w:rsidRDefault="008B3F83" w:rsidP="008B3F83">
      <w:pPr>
        <w:shd w:val="clear" w:color="auto" w:fill="FFFFFF"/>
        <w:spacing w:after="0" w:line="240" w:lineRule="auto"/>
        <w:ind w:firstLine="375"/>
        <w:jc w:val="center"/>
        <w:rPr>
          <w:rFonts w:ascii="GHEA Grapalat" w:eastAsia="Times New Roman" w:hAnsi="GHEA Grapalat" w:cs="Times New Roman"/>
          <w:b/>
          <w:sz w:val="24"/>
          <w:szCs w:val="24"/>
          <w:lang w:val="hy-AM"/>
        </w:rPr>
      </w:pPr>
      <w:r w:rsidRPr="00BE4865">
        <w:rPr>
          <w:rFonts w:ascii="Calibri" w:eastAsia="Times New Roman" w:hAnsi="Calibri" w:cs="Calibri"/>
          <w:b/>
          <w:sz w:val="24"/>
          <w:szCs w:val="24"/>
          <w:lang w:val="hy-AM"/>
        </w:rPr>
        <w:t>  </w:t>
      </w:r>
    </w:p>
    <w:p w14:paraId="5353DB33" w14:textId="77777777" w:rsidR="008B3F83" w:rsidRPr="00BE4865" w:rsidRDefault="008B3F83" w:rsidP="008B3F83">
      <w:pPr>
        <w:shd w:val="clear" w:color="auto" w:fill="FFFFFF"/>
        <w:spacing w:after="0" w:line="240" w:lineRule="auto"/>
        <w:ind w:firstLine="375"/>
        <w:jc w:val="center"/>
        <w:rPr>
          <w:rFonts w:ascii="GHEA Grapalat" w:eastAsia="Times New Roman" w:hAnsi="GHEA Grapalat" w:cs="Times New Roman"/>
          <w:b/>
          <w:sz w:val="24"/>
          <w:szCs w:val="24"/>
          <w:lang w:val="hy-AM"/>
        </w:rPr>
      </w:pPr>
      <w:r w:rsidRPr="00960ED2">
        <w:rPr>
          <w:rFonts w:ascii="GHEA Grapalat" w:eastAsia="Times New Roman" w:hAnsi="GHEA Grapalat" w:cs="Times New Roman"/>
          <w:b/>
          <w:sz w:val="24"/>
          <w:szCs w:val="24"/>
          <w:lang w:val="hy-AM"/>
        </w:rPr>
        <w:t>«ՀԱՅԱՍՏԱՆԻ ՀԱՆՐԱՊԵՏՈՒԹՅԱՆ ԿԱՌԱՎԱՐՈՒԹՅԱՆ 2021 ԹՎԱԿԱՆԻ ՀՈՒԼԻՍԻ 1 -Ի N 1087-Ն ՈՐՈՇՄԱՆ ՄԵՋ ՓՈՓՈԽՈՒԹՅՈՒՆ ԿԱՏԱՐԵԼՈՒ ՄԱՍԻՆ»</w:t>
      </w:r>
      <w:r>
        <w:rPr>
          <w:rFonts w:ascii="GHEA Grapalat" w:eastAsia="Times New Roman" w:hAnsi="GHEA Grapalat" w:cs="Times New Roman"/>
          <w:b/>
          <w:sz w:val="24"/>
          <w:szCs w:val="24"/>
          <w:lang w:val="hy-AM"/>
        </w:rPr>
        <w:t xml:space="preserve"> </w:t>
      </w:r>
      <w:r w:rsidRPr="00222BE3">
        <w:rPr>
          <w:rFonts w:ascii="GHEA Grapalat" w:eastAsia="Times New Roman" w:hAnsi="GHEA Grapalat" w:cs="Times New Roman"/>
          <w:b/>
          <w:sz w:val="24"/>
          <w:szCs w:val="24"/>
          <w:lang w:val="hy-AM"/>
        </w:rPr>
        <w:t xml:space="preserve">ՀԱՅԱՍՏԱՆԻ ՀԱՆՐԱՊԵՏՈՒԹՅԱՆ ԿԱՌԱՎԱՐՈՒԹՅԱՆ ՈՐՈՇՄԱՆ </w:t>
      </w:r>
      <w:r w:rsidRPr="00BE4865">
        <w:rPr>
          <w:rFonts w:ascii="GHEA Grapalat" w:eastAsia="Times New Roman" w:hAnsi="GHEA Grapalat" w:cs="Times New Roman"/>
          <w:b/>
          <w:sz w:val="24"/>
          <w:szCs w:val="24"/>
          <w:lang w:val="hy-AM"/>
        </w:rPr>
        <w:t>ՆԱԽԱԳԾԻ</w:t>
      </w:r>
    </w:p>
    <w:p w14:paraId="530D14B5" w14:textId="77777777" w:rsidR="008B3F83" w:rsidRPr="00BE4865" w:rsidRDefault="008B3F83" w:rsidP="008B3F83">
      <w:pPr>
        <w:shd w:val="clear" w:color="auto" w:fill="FFFFFF"/>
        <w:spacing w:after="0" w:line="240" w:lineRule="auto"/>
        <w:ind w:firstLine="375"/>
        <w:jc w:val="center"/>
        <w:rPr>
          <w:rFonts w:ascii="Sylfaen" w:eastAsia="Times New Roman" w:hAnsi="Sylfaen" w:cs="Times New Roman"/>
          <w:color w:val="000000"/>
          <w:sz w:val="21"/>
          <w:szCs w:val="21"/>
        </w:rPr>
      </w:pPr>
      <w:r w:rsidRPr="00BE4865">
        <w:rPr>
          <w:rFonts w:ascii="Sylfaen" w:eastAsia="Times New Roman" w:hAnsi="Sylfaen" w:cs="Times New Roman"/>
          <w:color w:val="000000"/>
          <w:sz w:val="21"/>
          <w:szCs w:val="21"/>
        </w:rPr>
        <w:t>       </w:t>
      </w:r>
    </w:p>
    <w:tbl>
      <w:tblPr>
        <w:tblW w:w="1491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8"/>
        <w:gridCol w:w="1276"/>
        <w:gridCol w:w="4294"/>
      </w:tblGrid>
      <w:tr w:rsidR="008B3F83" w:rsidRPr="00BE4865" w14:paraId="5790A24E" w14:textId="77777777" w:rsidTr="00DE21AE">
        <w:trPr>
          <w:tblCellSpacing w:w="0" w:type="dxa"/>
          <w:jc w:val="center"/>
        </w:trPr>
        <w:tc>
          <w:tcPr>
            <w:tcW w:w="10624"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7E05426" w14:textId="77777777" w:rsidR="008B3F83" w:rsidRPr="00BE4865" w:rsidRDefault="008B3F83" w:rsidP="008948DE">
            <w:pPr>
              <w:spacing w:before="100" w:beforeAutospacing="1" w:after="100" w:afterAutospacing="1" w:line="240" w:lineRule="auto"/>
              <w:ind w:left="112" w:hanging="112"/>
              <w:jc w:val="center"/>
              <w:rPr>
                <w:rFonts w:ascii="GHEA Grapalat" w:eastAsia="Times New Roman" w:hAnsi="GHEA Grapalat" w:cs="Times New Roman"/>
                <w:color w:val="000000"/>
                <w:sz w:val="24"/>
                <w:szCs w:val="24"/>
              </w:rPr>
            </w:pPr>
            <w:r>
              <w:rPr>
                <w:rFonts w:ascii="GHEA Grapalat" w:eastAsia="Times New Roman" w:hAnsi="GHEA Grapalat" w:cs="Sylfaen"/>
                <w:lang w:val="hy-AM" w:eastAsia="ru-RU"/>
              </w:rPr>
              <w:t>1</w:t>
            </w:r>
            <w:r>
              <w:rPr>
                <w:rFonts w:ascii="Cambria Math" w:eastAsia="Times New Roman" w:hAnsi="Cambria Math" w:cs="Sylfaen"/>
                <w:lang w:val="hy-AM" w:eastAsia="ru-RU"/>
              </w:rPr>
              <w:t>․</w:t>
            </w:r>
            <w:r w:rsidRPr="00683D62">
              <w:rPr>
                <w:rFonts w:ascii="GHEA Grapalat" w:hAnsi="GHEA Grapalat" w:cs="Sylfaen"/>
                <w:b/>
                <w:sz w:val="28"/>
                <w:szCs w:val="28"/>
                <w:lang w:val="hy-AM"/>
              </w:rPr>
              <w:t xml:space="preserve"> </w:t>
            </w:r>
            <w:r w:rsidRPr="00C932B6">
              <w:rPr>
                <w:rFonts w:ascii="GHEA Grapalat" w:hAnsi="GHEA Grapalat" w:cs="Sylfaen"/>
                <w:bCs/>
                <w:sz w:val="24"/>
                <w:szCs w:val="24"/>
                <w:lang w:val="hy-AM"/>
              </w:rPr>
              <w:t>Պետական գույքի</w:t>
            </w:r>
            <w:r w:rsidRPr="00C932B6">
              <w:rPr>
                <w:rFonts w:ascii="GHEA Grapalat" w:hAnsi="GHEA Grapalat"/>
                <w:bCs/>
                <w:sz w:val="24"/>
                <w:szCs w:val="24"/>
                <w:lang w:val="hy-AM"/>
              </w:rPr>
              <w:t xml:space="preserve"> կառավարման կոմիտե</w:t>
            </w:r>
          </w:p>
        </w:tc>
        <w:tc>
          <w:tcPr>
            <w:tcW w:w="4294"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3408FAF7" w14:textId="77777777" w:rsidR="008B3F83" w:rsidRPr="00BE4865" w:rsidRDefault="008B3F83" w:rsidP="008948DE">
            <w:pPr>
              <w:spacing w:after="0" w:line="240" w:lineRule="auto"/>
              <w:jc w:val="center"/>
              <w:rPr>
                <w:rFonts w:ascii="Sylfaen" w:eastAsia="Times New Roman" w:hAnsi="Sylfaen" w:cs="Times New Roman"/>
                <w:color w:val="000000"/>
                <w:sz w:val="21"/>
                <w:szCs w:val="21"/>
              </w:rPr>
            </w:pPr>
            <w:r>
              <w:rPr>
                <w:rFonts w:ascii="GHEA Grapalat" w:hAnsi="GHEA Grapalat" w:cs="Cambria Math"/>
                <w:sz w:val="24"/>
                <w:szCs w:val="24"/>
              </w:rPr>
              <w:t>01</w:t>
            </w:r>
            <w:r>
              <w:rPr>
                <w:rFonts w:ascii="Cambria Math" w:hAnsi="Cambria Math" w:cs="Cambria Math"/>
                <w:sz w:val="24"/>
                <w:szCs w:val="24"/>
                <w:lang w:val="hy-AM"/>
              </w:rPr>
              <w:t>․</w:t>
            </w:r>
            <w:r>
              <w:rPr>
                <w:rFonts w:ascii="GHEA Grapalat" w:hAnsi="GHEA Grapalat" w:cs="Cambria Math"/>
                <w:sz w:val="24"/>
                <w:szCs w:val="24"/>
              </w:rPr>
              <w:t>06</w:t>
            </w:r>
            <w:r>
              <w:rPr>
                <w:rFonts w:ascii="Cambria Math" w:hAnsi="Cambria Math" w:cs="Cambria Math"/>
                <w:sz w:val="24"/>
                <w:szCs w:val="24"/>
                <w:lang w:val="hy-AM"/>
              </w:rPr>
              <w:t>․</w:t>
            </w:r>
            <w:r>
              <w:rPr>
                <w:rFonts w:ascii="GHEA Grapalat" w:hAnsi="GHEA Grapalat"/>
                <w:sz w:val="24"/>
                <w:szCs w:val="24"/>
                <w:lang w:val="hy-AM"/>
              </w:rPr>
              <w:t>202</w:t>
            </w:r>
            <w:r>
              <w:rPr>
                <w:rFonts w:ascii="GHEA Grapalat" w:hAnsi="GHEA Grapalat"/>
                <w:sz w:val="24"/>
                <w:szCs w:val="24"/>
              </w:rPr>
              <w:t>2</w:t>
            </w:r>
            <w:r>
              <w:rPr>
                <w:rFonts w:ascii="GHEA Grapalat" w:hAnsi="GHEA Grapalat"/>
                <w:sz w:val="24"/>
                <w:szCs w:val="24"/>
                <w:lang w:val="hy-AM"/>
              </w:rPr>
              <w:t>թ.</w:t>
            </w:r>
            <w:r>
              <w:rPr>
                <w:rFonts w:ascii="GHEA Grapalat" w:hAnsi="GHEA Grapalat"/>
                <w:color w:val="000000"/>
                <w:sz w:val="24"/>
                <w:szCs w:val="24"/>
                <w:shd w:val="clear" w:color="auto" w:fill="FFFFFF"/>
              </w:rPr>
              <w:t xml:space="preserve">                       </w:t>
            </w:r>
          </w:p>
        </w:tc>
      </w:tr>
      <w:tr w:rsidR="008B3F83" w:rsidRPr="00BE4865" w14:paraId="5ABD4590" w14:textId="77777777" w:rsidTr="00DE21AE">
        <w:trPr>
          <w:tblCellSpacing w:w="0" w:type="dxa"/>
          <w:jc w:val="center"/>
        </w:trPr>
        <w:tc>
          <w:tcPr>
            <w:tcW w:w="1062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AF7C9A" w14:textId="77777777" w:rsidR="008B3F83" w:rsidRPr="00BE4865" w:rsidRDefault="008B3F83" w:rsidP="008948DE">
            <w:pPr>
              <w:spacing w:after="0" w:line="240" w:lineRule="auto"/>
              <w:rPr>
                <w:rFonts w:ascii="Sylfaen" w:eastAsia="Times New Roman" w:hAnsi="Sylfaen" w:cs="Times New Roman"/>
                <w:color w:val="000000"/>
                <w:sz w:val="21"/>
                <w:szCs w:val="21"/>
              </w:rPr>
            </w:pPr>
          </w:p>
        </w:tc>
        <w:tc>
          <w:tcPr>
            <w:tcW w:w="4294"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014BF9DD" w14:textId="77777777" w:rsidR="008B3F83" w:rsidRPr="00BE4865" w:rsidRDefault="008B3F83" w:rsidP="008948DE">
            <w:pPr>
              <w:spacing w:after="0" w:line="240" w:lineRule="auto"/>
              <w:jc w:val="center"/>
              <w:rPr>
                <w:rFonts w:ascii="Sylfaen" w:eastAsia="Times New Roman" w:hAnsi="Sylfaen" w:cs="Times New Roman"/>
                <w:color w:val="000000"/>
                <w:sz w:val="21"/>
                <w:szCs w:val="21"/>
              </w:rPr>
            </w:pPr>
            <w:r w:rsidRPr="008D484F">
              <w:rPr>
                <w:rFonts w:ascii="GHEA Grapalat" w:hAnsi="GHEA Grapalat" w:cs="Cambria Math"/>
                <w:sz w:val="24"/>
                <w:szCs w:val="24"/>
                <w:lang w:val="hy-AM"/>
              </w:rPr>
              <w:t xml:space="preserve">N  </w:t>
            </w:r>
            <w:r w:rsidRPr="00432856">
              <w:rPr>
                <w:rFonts w:ascii="GHEA Grapalat" w:hAnsi="GHEA Grapalat" w:cs="Cambria Math"/>
                <w:sz w:val="24"/>
                <w:szCs w:val="24"/>
                <w:lang w:val="hy-AM"/>
              </w:rPr>
              <w:t>ԳՍ//13898-2022</w:t>
            </w:r>
          </w:p>
        </w:tc>
      </w:tr>
      <w:tr w:rsidR="008B3F83" w:rsidRPr="00BE4865" w14:paraId="6C4F6C0D" w14:textId="77777777" w:rsidTr="00DE21AE">
        <w:trPr>
          <w:trHeight w:val="2850"/>
          <w:tblCellSpacing w:w="0" w:type="dxa"/>
          <w:jc w:val="center"/>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14:paraId="2A227A95" w14:textId="77777777" w:rsidR="008B3F83" w:rsidRPr="00A8531D" w:rsidRDefault="008B3F83" w:rsidP="008948DE">
            <w:pPr>
              <w:pStyle w:val="NormalWeb"/>
              <w:shd w:val="clear" w:color="auto" w:fill="FFFFFF"/>
              <w:tabs>
                <w:tab w:val="left" w:pos="567"/>
              </w:tabs>
              <w:spacing w:after="0" w:line="360" w:lineRule="auto"/>
              <w:ind w:left="112" w:right="81" w:firstLine="425"/>
              <w:jc w:val="both"/>
              <w:rPr>
                <w:rFonts w:ascii="GHEA Grapalat" w:hAnsi="GHEA Grapalat"/>
                <w:color w:val="000000"/>
                <w:lang w:val="af-ZA"/>
              </w:rPr>
            </w:pPr>
            <w:r w:rsidRPr="004A215E">
              <w:rPr>
                <w:rFonts w:ascii="GHEA Grapalat" w:hAnsi="GHEA Grapalat"/>
                <w:color w:val="000000"/>
                <w:lang w:val="af-ZA"/>
              </w:rPr>
              <w:t>«</w:t>
            </w:r>
            <w:bookmarkStart w:id="1" w:name="_Hlk104275958"/>
            <w:r w:rsidRPr="00A8531D">
              <w:rPr>
                <w:rFonts w:ascii="GHEA Grapalat" w:hAnsi="GHEA Grapalat"/>
                <w:color w:val="000000"/>
                <w:lang w:val="af-ZA"/>
              </w:rPr>
              <w:t>Հայաստանի</w:t>
            </w:r>
            <w:r w:rsidRPr="004A215E">
              <w:rPr>
                <w:rFonts w:ascii="GHEA Grapalat" w:hAnsi="GHEA Grapalat"/>
                <w:color w:val="000000"/>
                <w:lang w:val="af-ZA"/>
              </w:rPr>
              <w:t xml:space="preserve"> </w:t>
            </w:r>
            <w:r w:rsidRPr="00A8531D">
              <w:rPr>
                <w:rFonts w:ascii="GHEA Grapalat" w:hAnsi="GHEA Grapalat"/>
                <w:color w:val="000000"/>
                <w:lang w:val="af-ZA"/>
              </w:rPr>
              <w:t>Հանրապետության</w:t>
            </w:r>
            <w:r w:rsidRPr="004A215E">
              <w:rPr>
                <w:rFonts w:ascii="GHEA Grapalat" w:hAnsi="GHEA Grapalat"/>
                <w:color w:val="000000"/>
                <w:lang w:val="af-ZA"/>
              </w:rPr>
              <w:t xml:space="preserve"> </w:t>
            </w:r>
            <w:r w:rsidRPr="00A8531D">
              <w:rPr>
                <w:rFonts w:ascii="GHEA Grapalat" w:hAnsi="GHEA Grapalat"/>
                <w:color w:val="000000"/>
                <w:lang w:val="af-ZA"/>
              </w:rPr>
              <w:t>կառավարության</w:t>
            </w:r>
            <w:r w:rsidRPr="004A215E">
              <w:rPr>
                <w:rFonts w:ascii="GHEA Grapalat" w:hAnsi="GHEA Grapalat"/>
                <w:color w:val="000000"/>
                <w:lang w:val="af-ZA"/>
              </w:rPr>
              <w:t xml:space="preserve"> 2021 </w:t>
            </w:r>
            <w:r w:rsidRPr="00A8531D">
              <w:rPr>
                <w:rFonts w:ascii="GHEA Grapalat" w:hAnsi="GHEA Grapalat"/>
                <w:color w:val="000000"/>
                <w:lang w:val="af-ZA"/>
              </w:rPr>
              <w:t>թվականի</w:t>
            </w:r>
            <w:r w:rsidRPr="004A215E">
              <w:rPr>
                <w:rFonts w:ascii="GHEA Grapalat" w:hAnsi="GHEA Grapalat"/>
                <w:color w:val="000000"/>
                <w:lang w:val="af-ZA"/>
              </w:rPr>
              <w:t xml:space="preserve"> </w:t>
            </w:r>
            <w:r w:rsidRPr="00A8531D">
              <w:rPr>
                <w:rFonts w:ascii="GHEA Grapalat" w:hAnsi="GHEA Grapalat"/>
                <w:color w:val="000000"/>
                <w:lang w:val="af-ZA"/>
              </w:rPr>
              <w:t>հուլիսի</w:t>
            </w:r>
            <w:r w:rsidRPr="004A215E">
              <w:rPr>
                <w:rFonts w:ascii="GHEA Grapalat" w:hAnsi="GHEA Grapalat"/>
                <w:color w:val="000000"/>
                <w:lang w:val="af-ZA"/>
              </w:rPr>
              <w:t xml:space="preserve"> 1 -</w:t>
            </w:r>
            <w:r w:rsidRPr="00A8531D">
              <w:rPr>
                <w:rFonts w:ascii="GHEA Grapalat" w:hAnsi="GHEA Grapalat"/>
                <w:color w:val="000000"/>
                <w:lang w:val="af-ZA"/>
              </w:rPr>
              <w:t>ի</w:t>
            </w:r>
            <w:r w:rsidRPr="004A215E">
              <w:rPr>
                <w:rFonts w:ascii="GHEA Grapalat" w:hAnsi="GHEA Grapalat"/>
                <w:color w:val="000000"/>
                <w:lang w:val="af-ZA"/>
              </w:rPr>
              <w:t xml:space="preserve"> N 1087-</w:t>
            </w:r>
            <w:r w:rsidRPr="00A8531D">
              <w:rPr>
                <w:rFonts w:ascii="GHEA Grapalat" w:hAnsi="GHEA Grapalat"/>
                <w:color w:val="000000"/>
                <w:lang w:val="af-ZA"/>
              </w:rPr>
              <w:t>Ն</w:t>
            </w:r>
            <w:r w:rsidRPr="004A215E">
              <w:rPr>
                <w:rFonts w:ascii="GHEA Grapalat" w:hAnsi="GHEA Grapalat"/>
                <w:color w:val="000000"/>
                <w:lang w:val="af-ZA"/>
              </w:rPr>
              <w:t xml:space="preserve"> </w:t>
            </w:r>
            <w:r w:rsidRPr="00A8531D">
              <w:rPr>
                <w:rFonts w:ascii="GHEA Grapalat" w:hAnsi="GHEA Grapalat"/>
                <w:color w:val="000000"/>
                <w:lang w:val="af-ZA"/>
              </w:rPr>
              <w:t>որոշման</w:t>
            </w:r>
            <w:r w:rsidRPr="004A215E">
              <w:rPr>
                <w:rFonts w:ascii="GHEA Grapalat" w:hAnsi="GHEA Grapalat"/>
                <w:color w:val="000000"/>
                <w:lang w:val="af-ZA"/>
              </w:rPr>
              <w:t xml:space="preserve"> </w:t>
            </w:r>
            <w:r w:rsidRPr="00A8531D">
              <w:rPr>
                <w:rFonts w:ascii="GHEA Grapalat" w:hAnsi="GHEA Grapalat"/>
                <w:color w:val="000000"/>
                <w:lang w:val="af-ZA"/>
              </w:rPr>
              <w:t>մեջ</w:t>
            </w:r>
            <w:r w:rsidRPr="004A215E">
              <w:rPr>
                <w:rFonts w:ascii="GHEA Grapalat" w:hAnsi="GHEA Grapalat"/>
                <w:color w:val="000000"/>
                <w:lang w:val="af-ZA"/>
              </w:rPr>
              <w:t xml:space="preserve"> </w:t>
            </w:r>
            <w:r w:rsidRPr="00A8531D">
              <w:rPr>
                <w:rFonts w:ascii="GHEA Grapalat" w:hAnsi="GHEA Grapalat"/>
                <w:color w:val="000000"/>
                <w:lang w:val="af-ZA"/>
              </w:rPr>
              <w:t>փոփոխություն</w:t>
            </w:r>
            <w:r w:rsidRPr="004A215E">
              <w:rPr>
                <w:rFonts w:ascii="GHEA Grapalat" w:hAnsi="GHEA Grapalat"/>
                <w:color w:val="000000"/>
                <w:lang w:val="af-ZA"/>
              </w:rPr>
              <w:t xml:space="preserve"> </w:t>
            </w:r>
            <w:r w:rsidRPr="00A8531D">
              <w:rPr>
                <w:rFonts w:ascii="GHEA Grapalat" w:hAnsi="GHEA Grapalat"/>
                <w:color w:val="000000"/>
                <w:lang w:val="af-ZA"/>
              </w:rPr>
              <w:t>կատարելու</w:t>
            </w:r>
            <w:r w:rsidRPr="004A215E">
              <w:rPr>
                <w:rFonts w:ascii="GHEA Grapalat" w:hAnsi="GHEA Grapalat"/>
                <w:color w:val="000000"/>
                <w:lang w:val="af-ZA"/>
              </w:rPr>
              <w:t xml:space="preserve"> </w:t>
            </w:r>
            <w:r w:rsidRPr="00A8531D">
              <w:rPr>
                <w:rFonts w:ascii="GHEA Grapalat" w:hAnsi="GHEA Grapalat"/>
                <w:color w:val="000000"/>
                <w:lang w:val="af-ZA"/>
              </w:rPr>
              <w:t>մասին</w:t>
            </w:r>
            <w:bookmarkEnd w:id="1"/>
            <w:r w:rsidRPr="004A215E">
              <w:rPr>
                <w:rFonts w:ascii="GHEA Grapalat" w:hAnsi="GHEA Grapalat"/>
                <w:color w:val="000000"/>
                <w:lang w:val="af-ZA"/>
              </w:rPr>
              <w:t xml:space="preserve">» </w:t>
            </w:r>
            <w:r w:rsidRPr="00A8531D">
              <w:rPr>
                <w:rFonts w:ascii="GHEA Grapalat" w:hAnsi="GHEA Grapalat"/>
                <w:color w:val="000000"/>
                <w:lang w:val="af-ZA"/>
              </w:rPr>
              <w:t>Հայաստանի</w:t>
            </w:r>
            <w:r w:rsidRPr="004A215E">
              <w:rPr>
                <w:rFonts w:ascii="GHEA Grapalat" w:hAnsi="GHEA Grapalat"/>
                <w:color w:val="000000"/>
                <w:lang w:val="af-ZA"/>
              </w:rPr>
              <w:t xml:space="preserve"> </w:t>
            </w:r>
            <w:r w:rsidRPr="00A8531D">
              <w:rPr>
                <w:rFonts w:ascii="GHEA Grapalat" w:hAnsi="GHEA Grapalat"/>
                <w:color w:val="000000"/>
                <w:lang w:val="af-ZA"/>
              </w:rPr>
              <w:t>Հանրապետության կառավարության որոշման նախագծի (այսուհետ՝ Նախագիծ) վերաբերյալ առաջարկում ենք Նախագծի</w:t>
            </w:r>
            <w:r w:rsidRPr="004A215E">
              <w:rPr>
                <w:rFonts w:ascii="GHEA Grapalat" w:hAnsi="GHEA Grapalat"/>
                <w:color w:val="000000"/>
                <w:lang w:val="af-ZA"/>
              </w:rPr>
              <w:t xml:space="preserve"> </w:t>
            </w:r>
            <w:r w:rsidRPr="00A8531D">
              <w:rPr>
                <w:rFonts w:ascii="GHEA Grapalat" w:hAnsi="GHEA Grapalat"/>
                <w:color w:val="000000"/>
                <w:lang w:val="af-ZA"/>
              </w:rPr>
              <w:t>նախաբանում «Նորմատիվ իրավական ակտերի մասին» ՀՀ օրենքի 34-րդ հոդվածին կատարված հղումը փոխարինել 33-րդ հոդվածի 1-ին մասի 4-րդ կետին հղմամբ։</w:t>
            </w:r>
          </w:p>
        </w:tc>
        <w:tc>
          <w:tcPr>
            <w:tcW w:w="1276" w:type="dxa"/>
            <w:tcBorders>
              <w:top w:val="outset" w:sz="6" w:space="0" w:color="auto"/>
              <w:left w:val="outset" w:sz="6" w:space="0" w:color="auto"/>
              <w:bottom w:val="outset" w:sz="6" w:space="0" w:color="auto"/>
              <w:right w:val="single" w:sz="4" w:space="0" w:color="auto"/>
            </w:tcBorders>
            <w:shd w:val="clear" w:color="auto" w:fill="FFFFFF"/>
            <w:hideMark/>
          </w:tcPr>
          <w:p w14:paraId="07C58032" w14:textId="77777777" w:rsidR="008B3F83" w:rsidRPr="00A8531D" w:rsidRDefault="008B3F83" w:rsidP="008948DE">
            <w:pP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Ընդունվել է</w:t>
            </w:r>
          </w:p>
          <w:p w14:paraId="3ED3BE61"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p>
        </w:tc>
        <w:tc>
          <w:tcPr>
            <w:tcW w:w="4294" w:type="dxa"/>
            <w:tcBorders>
              <w:top w:val="outset" w:sz="6" w:space="0" w:color="auto"/>
              <w:left w:val="nil"/>
              <w:bottom w:val="outset" w:sz="6" w:space="0" w:color="auto"/>
              <w:right w:val="outset" w:sz="6" w:space="0" w:color="auto"/>
            </w:tcBorders>
            <w:shd w:val="clear" w:color="auto" w:fill="FFFFFF"/>
            <w:hideMark/>
          </w:tcPr>
          <w:p w14:paraId="5C3B5C43"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r w:rsidRPr="00A8531D">
              <w:rPr>
                <w:rFonts w:ascii="Calibri" w:eastAsia="Times New Roman" w:hAnsi="Calibri" w:cs="Calibri"/>
                <w:bCs/>
                <w:iCs/>
                <w:color w:val="000000"/>
                <w:sz w:val="24"/>
                <w:szCs w:val="24"/>
                <w:lang w:val="af-ZA"/>
              </w:rPr>
              <w:t> </w:t>
            </w:r>
          </w:p>
        </w:tc>
      </w:tr>
      <w:tr w:rsidR="008B3F83" w:rsidRPr="00BE4865" w14:paraId="733207AB" w14:textId="77777777" w:rsidTr="00DE21AE">
        <w:trPr>
          <w:tblCellSpacing w:w="0" w:type="dxa"/>
          <w:jc w:val="center"/>
        </w:trPr>
        <w:tc>
          <w:tcPr>
            <w:tcW w:w="10624"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DF11646" w14:textId="77777777" w:rsidR="008B3F83" w:rsidRPr="00A8531D" w:rsidRDefault="008B3F83" w:rsidP="008948DE">
            <w:pPr>
              <w:spacing w:before="100" w:beforeAutospacing="1" w:after="100" w:afterAutospacing="1" w:line="240" w:lineRule="auto"/>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2. ՀՀ ֆինանսների նախարարություն</w:t>
            </w:r>
          </w:p>
        </w:tc>
        <w:tc>
          <w:tcPr>
            <w:tcW w:w="4294" w:type="dxa"/>
            <w:tcBorders>
              <w:top w:val="outset" w:sz="6" w:space="0" w:color="auto"/>
              <w:left w:val="outset" w:sz="6" w:space="0" w:color="auto"/>
              <w:bottom w:val="outset" w:sz="6" w:space="0" w:color="auto"/>
              <w:right w:val="outset" w:sz="6" w:space="0" w:color="auto"/>
            </w:tcBorders>
            <w:shd w:val="clear" w:color="auto" w:fill="D0D0D0"/>
            <w:hideMark/>
          </w:tcPr>
          <w:p w14:paraId="64F05677" w14:textId="77777777" w:rsidR="008B3F83" w:rsidRPr="00A8531D" w:rsidRDefault="008B3F83" w:rsidP="008948DE">
            <w:pPr>
              <w:spacing w:after="0" w:line="240" w:lineRule="auto"/>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06.06.2022թ.</w:t>
            </w:r>
          </w:p>
        </w:tc>
      </w:tr>
      <w:tr w:rsidR="008B3F83" w:rsidRPr="00BE4865" w14:paraId="680904CD" w14:textId="77777777" w:rsidTr="00DE21AE">
        <w:trPr>
          <w:trHeight w:val="331"/>
          <w:tblCellSpacing w:w="0" w:type="dxa"/>
          <w:jc w:val="center"/>
        </w:trPr>
        <w:tc>
          <w:tcPr>
            <w:tcW w:w="1062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5D0F4C"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p>
        </w:tc>
        <w:tc>
          <w:tcPr>
            <w:tcW w:w="4294" w:type="dxa"/>
            <w:tcBorders>
              <w:top w:val="outset" w:sz="6" w:space="0" w:color="auto"/>
              <w:left w:val="outset" w:sz="6" w:space="0" w:color="auto"/>
              <w:bottom w:val="outset" w:sz="6" w:space="0" w:color="auto"/>
              <w:right w:val="outset" w:sz="6" w:space="0" w:color="auto"/>
            </w:tcBorders>
            <w:shd w:val="clear" w:color="auto" w:fill="D0D0D0"/>
            <w:hideMark/>
          </w:tcPr>
          <w:p w14:paraId="4A20D144" w14:textId="77777777" w:rsidR="008B3F83" w:rsidRPr="00A8531D" w:rsidRDefault="008B3F83" w:rsidP="008948DE">
            <w:pPr>
              <w:spacing w:after="0" w:line="240" w:lineRule="auto"/>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N 01/8-1/10213-2022</w:t>
            </w:r>
          </w:p>
        </w:tc>
      </w:tr>
      <w:tr w:rsidR="008B3F83" w:rsidRPr="00BE4865" w14:paraId="5DA17720" w14:textId="77777777" w:rsidTr="00DE21AE">
        <w:trPr>
          <w:tblCellSpacing w:w="0" w:type="dxa"/>
          <w:jc w:val="center"/>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14:paraId="3D0A2A47" w14:textId="77777777" w:rsidR="008B3F83" w:rsidRPr="00A8531D" w:rsidRDefault="008B3F83" w:rsidP="008948DE">
            <w:pPr>
              <w:spacing w:after="0" w:line="360" w:lineRule="auto"/>
              <w:ind w:left="112" w:right="81" w:firstLine="425"/>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 xml:space="preserve">«Հայաստանի Հանրապետության կառավարության 2021 թվականի հուլիսի 1-ի N 1087-Ն որոշման մեջ փոփոխություն կատարելու մասին» ՀՀ կառավարության որոշման նախագծի վերաբերյալ առաջարկություններ չունենք: </w:t>
            </w:r>
          </w:p>
        </w:tc>
        <w:tc>
          <w:tcPr>
            <w:tcW w:w="1276" w:type="dxa"/>
            <w:tcBorders>
              <w:top w:val="outset" w:sz="6" w:space="0" w:color="auto"/>
              <w:left w:val="outset" w:sz="6" w:space="0" w:color="auto"/>
              <w:bottom w:val="outset" w:sz="6" w:space="0" w:color="auto"/>
              <w:right w:val="nil"/>
            </w:tcBorders>
            <w:shd w:val="clear" w:color="auto" w:fill="FFFFFF"/>
            <w:hideMark/>
          </w:tcPr>
          <w:p w14:paraId="4A04BEA8"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r w:rsidRPr="00A8531D">
              <w:rPr>
                <w:rFonts w:ascii="Calibri" w:eastAsia="Times New Roman" w:hAnsi="Calibri" w:cs="Calibri"/>
                <w:bCs/>
                <w:iCs/>
                <w:color w:val="000000"/>
                <w:sz w:val="24"/>
                <w:szCs w:val="24"/>
                <w:lang w:val="af-ZA"/>
              </w:rPr>
              <w:t> </w:t>
            </w:r>
            <w:r w:rsidRPr="00A8531D">
              <w:rPr>
                <w:rFonts w:ascii="GHEA Grapalat" w:eastAsia="Times New Roman" w:hAnsi="GHEA Grapalat" w:cs="Times New Roman"/>
                <w:bCs/>
                <w:iCs/>
                <w:color w:val="000000"/>
                <w:sz w:val="24"/>
                <w:szCs w:val="24"/>
                <w:lang w:val="af-ZA"/>
              </w:rPr>
              <w:t>Ընդունվել է</w:t>
            </w:r>
          </w:p>
          <w:p w14:paraId="33131D35"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p>
        </w:tc>
        <w:tc>
          <w:tcPr>
            <w:tcW w:w="4294" w:type="dxa"/>
            <w:tcBorders>
              <w:top w:val="outset" w:sz="6" w:space="0" w:color="auto"/>
              <w:left w:val="outset" w:sz="6" w:space="0" w:color="auto"/>
              <w:bottom w:val="outset" w:sz="6" w:space="0" w:color="auto"/>
              <w:right w:val="outset" w:sz="6" w:space="0" w:color="auto"/>
            </w:tcBorders>
            <w:shd w:val="clear" w:color="auto" w:fill="FFFFFF"/>
            <w:hideMark/>
          </w:tcPr>
          <w:p w14:paraId="7F543C7D" w14:textId="77777777" w:rsidR="008B3F83" w:rsidRPr="00A8531D" w:rsidRDefault="008B3F83" w:rsidP="008948DE">
            <w:pPr>
              <w:spacing w:after="0" w:line="240" w:lineRule="auto"/>
              <w:rPr>
                <w:rFonts w:ascii="GHEA Grapalat" w:eastAsia="Times New Roman" w:hAnsi="GHEA Grapalat" w:cs="Times New Roman"/>
                <w:bCs/>
                <w:iCs/>
                <w:color w:val="000000"/>
                <w:sz w:val="24"/>
                <w:szCs w:val="24"/>
                <w:lang w:val="af-ZA"/>
              </w:rPr>
            </w:pPr>
            <w:r w:rsidRPr="00A8531D">
              <w:rPr>
                <w:rFonts w:ascii="Calibri" w:eastAsia="Times New Roman" w:hAnsi="Calibri" w:cs="Calibri"/>
                <w:bCs/>
                <w:iCs/>
                <w:color w:val="000000"/>
                <w:sz w:val="24"/>
                <w:szCs w:val="24"/>
                <w:lang w:val="af-ZA"/>
              </w:rPr>
              <w:t> </w:t>
            </w:r>
          </w:p>
        </w:tc>
      </w:tr>
      <w:tr w:rsidR="008B3F83" w:rsidRPr="009906E6" w14:paraId="176006F4" w14:textId="77777777" w:rsidTr="00DE21AE">
        <w:trPr>
          <w:tblCellSpacing w:w="0" w:type="dxa"/>
          <w:jc w:val="center"/>
        </w:trPr>
        <w:tc>
          <w:tcPr>
            <w:tcW w:w="10624" w:type="dxa"/>
            <w:gridSpan w:val="2"/>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664003D" w14:textId="77777777" w:rsidR="008B3F83" w:rsidRPr="00A8531D" w:rsidRDefault="008B3F83" w:rsidP="008948DE">
            <w:pPr>
              <w:spacing w:after="0" w:line="240" w:lineRule="auto"/>
              <w:ind w:left="112" w:firstLine="425"/>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3. ՀՀ արդարադատության նախարարություն</w:t>
            </w:r>
          </w:p>
        </w:tc>
        <w:tc>
          <w:tcPr>
            <w:tcW w:w="4294" w:type="dxa"/>
            <w:tcBorders>
              <w:top w:val="outset" w:sz="6" w:space="0" w:color="auto"/>
              <w:left w:val="outset" w:sz="6" w:space="0" w:color="auto"/>
              <w:bottom w:val="outset" w:sz="6" w:space="0" w:color="auto"/>
              <w:right w:val="outset" w:sz="6" w:space="0" w:color="auto"/>
            </w:tcBorders>
            <w:shd w:val="clear" w:color="auto" w:fill="D0D0D0"/>
            <w:hideMark/>
          </w:tcPr>
          <w:p w14:paraId="1569D012" w14:textId="77777777" w:rsidR="008B3F83" w:rsidRPr="00A8531D" w:rsidRDefault="008B3F83" w:rsidP="008948DE">
            <w:pPr>
              <w:spacing w:after="0" w:line="240" w:lineRule="auto"/>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14.07.2022թ.</w:t>
            </w:r>
          </w:p>
        </w:tc>
      </w:tr>
      <w:tr w:rsidR="008B3F83" w:rsidRPr="00BE4865" w14:paraId="21EAF781" w14:textId="77777777" w:rsidTr="00DE21AE">
        <w:trPr>
          <w:trHeight w:val="348"/>
          <w:tblCellSpacing w:w="0" w:type="dxa"/>
          <w:jc w:val="center"/>
        </w:trPr>
        <w:tc>
          <w:tcPr>
            <w:tcW w:w="10624" w:type="dxa"/>
            <w:gridSpan w:val="2"/>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9F76BE5" w14:textId="77777777" w:rsidR="008B3F83" w:rsidRPr="00A8531D" w:rsidRDefault="008B3F83" w:rsidP="008948DE">
            <w:pPr>
              <w:spacing w:after="0" w:line="240" w:lineRule="auto"/>
              <w:jc w:val="both"/>
              <w:rPr>
                <w:rFonts w:ascii="GHEA Grapalat" w:eastAsia="Times New Roman" w:hAnsi="GHEA Grapalat" w:cs="Times New Roman"/>
                <w:bCs/>
                <w:iCs/>
                <w:color w:val="000000"/>
                <w:sz w:val="24"/>
                <w:szCs w:val="24"/>
                <w:lang w:val="af-ZA"/>
              </w:rPr>
            </w:pPr>
          </w:p>
        </w:tc>
        <w:tc>
          <w:tcPr>
            <w:tcW w:w="4294"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03F3254F" w14:textId="77777777" w:rsidR="008B3F83" w:rsidRPr="00A8531D" w:rsidRDefault="008B3F83" w:rsidP="008948DE">
            <w:pPr>
              <w:spacing w:after="0" w:line="240" w:lineRule="auto"/>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N 01/27.1/30650-2022</w:t>
            </w:r>
          </w:p>
        </w:tc>
      </w:tr>
      <w:tr w:rsidR="008B3F83" w:rsidRPr="0014102D" w14:paraId="65D6ED77" w14:textId="77777777" w:rsidTr="00DE21AE">
        <w:trPr>
          <w:tblCellSpacing w:w="0" w:type="dxa"/>
          <w:jc w:val="center"/>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5E55B" w14:textId="77777777" w:rsidR="008B3F83" w:rsidRPr="00A8531D" w:rsidRDefault="008B3F83" w:rsidP="008948DE">
            <w:pPr>
              <w:tabs>
                <w:tab w:val="left" w:pos="9720"/>
              </w:tabs>
              <w:spacing w:after="0" w:line="360" w:lineRule="auto"/>
              <w:ind w:right="180"/>
              <w:jc w:val="center"/>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ՊԵՏԱԿԱՆ ՓՈՐՁԱԳԻՏԱԿԱՆ ԵԶՐԱԿԱՑՈՒԹՅՈՒՆ</w:t>
            </w:r>
          </w:p>
          <w:p w14:paraId="1EDCB791" w14:textId="77777777" w:rsidR="008B3F83" w:rsidRPr="00A8531D" w:rsidRDefault="008B3F83" w:rsidP="008948DE">
            <w:pPr>
              <w:pStyle w:val="NormalWeb"/>
              <w:tabs>
                <w:tab w:val="left" w:pos="9810"/>
              </w:tabs>
              <w:autoSpaceDE w:val="0"/>
              <w:autoSpaceDN w:val="0"/>
              <w:adjustRightInd w:val="0"/>
              <w:spacing w:after="0" w:line="360" w:lineRule="auto"/>
              <w:ind w:left="112" w:right="149" w:firstLine="425"/>
              <w:jc w:val="both"/>
              <w:rPr>
                <w:rFonts w:ascii="GHEA Grapalat" w:hAnsi="GHEA Grapalat"/>
                <w:color w:val="000000"/>
                <w:lang w:val="af-ZA"/>
              </w:rPr>
            </w:pPr>
            <w:r w:rsidRPr="00A8531D">
              <w:rPr>
                <w:rFonts w:ascii="GHEA Grapalat" w:hAnsi="GHEA Grapalat"/>
                <w:color w:val="000000"/>
                <w:lang w:val="af-ZA"/>
              </w:rPr>
              <w:lastRenderedPageBreak/>
              <w:t>«Հայաստանի Հանրապետության կառավարության 2021 թվականի հուլիսի 1-ի N    1087-Ն որոշման մեջ փոփոխություն կատարելու մասին» Հայաստանի Հանրապետության կառավարության որոշման նախագծով (այսուհետ՝ Նախագիծ) նախատեսվում է ուժը կորցրած ճանաչել տվյալ որոշման 7-րդ կետը:</w:t>
            </w:r>
          </w:p>
          <w:p w14:paraId="147AF18C" w14:textId="77777777" w:rsidR="008B3F83" w:rsidRPr="00A8531D" w:rsidRDefault="008B3F83" w:rsidP="008948DE">
            <w:pPr>
              <w:pStyle w:val="NormalWeb"/>
              <w:tabs>
                <w:tab w:val="left" w:pos="9810"/>
              </w:tabs>
              <w:autoSpaceDE w:val="0"/>
              <w:autoSpaceDN w:val="0"/>
              <w:adjustRightInd w:val="0"/>
              <w:spacing w:after="0" w:line="360" w:lineRule="auto"/>
              <w:ind w:left="112" w:right="149" w:firstLine="425"/>
              <w:jc w:val="both"/>
              <w:rPr>
                <w:rFonts w:ascii="GHEA Grapalat" w:hAnsi="GHEA Grapalat"/>
                <w:color w:val="000000"/>
                <w:lang w:val="af-ZA"/>
              </w:rPr>
            </w:pPr>
            <w:r w:rsidRPr="00A8531D">
              <w:rPr>
                <w:rFonts w:ascii="GHEA Grapalat" w:hAnsi="GHEA Grapalat"/>
                <w:color w:val="000000"/>
                <w:lang w:val="af-ZA"/>
              </w:rPr>
              <w:t xml:space="preserve">Հայաստանի Հանրապետության կառավարության 2021 թվականի հուլիսի 1-ի N 1087-Ն որոշման (այսուհետ՝ Որոշում) 7-րդ կետի համաձայն՝ պետական գույքի կառավարման կոմիտեի նախագահին հանձնարարական է տրվում սույն որոշումն ուժի մեջ մտնելուց հետո երկամսյա ժամկետում «Գյուղատնտեսական հետազոտությունների և հավաստագրման կենտրոն» պետական ոչ առևտրային կազմակերպության հետ կնքված անհատույց (անժամկետ) օգտագործման իրավունքով հատկացված՝ Հայաստանի Հանրապետության Շիրակի մարզի Աշոցքի գյուղական համայնքում` 22 հեկտար, Հայաստանի Հանրապետության Գեղարքունիքի մարզի Վարդենիկի գյուղական համայնքում՝ 30 հեկտար, Գավառի գյուղական համայնքում՝ 1.5 հեկտար, Հայաստանի Հանրապետության Սյունիքի մարզի Շաքիի գյուղական համայնքում՝ 15 հեկտար, Հայաստանի Հանրապետության Արագածոտնի մարզի Արտենիի գյուղական համայնքում՝ 2.7 հեկտար, Քուչակի գյուղական համայնքում` 8 հեկտար հողատարածքների պայմանագրերում կատարել փոփոխություններ՝ դրանցում նախատեսելով, որ պայմանագրերի փոփոխությունների նոտարական վավերացման և ծագող </w:t>
            </w:r>
            <w:r w:rsidRPr="00A8531D">
              <w:rPr>
                <w:rFonts w:ascii="GHEA Grapalat" w:hAnsi="GHEA Grapalat"/>
                <w:color w:val="000000"/>
                <w:lang w:val="af-ZA"/>
              </w:rPr>
              <w:lastRenderedPageBreak/>
              <w:t>գույքային իրավունքների պետական գրանցման ծախսերը ենթակա են իրականացման «Գյուղատնտեսական հետազոտությունների և հավաստագրման կենտրոն» պետական ոչ առևտրային կազմակերպության միջոցների հաշվին։</w:t>
            </w:r>
          </w:p>
          <w:p w14:paraId="4B91405B" w14:textId="77777777" w:rsidR="008B3F83" w:rsidRPr="00A8531D" w:rsidRDefault="008B3F83" w:rsidP="008948DE">
            <w:pPr>
              <w:pStyle w:val="NormalWeb"/>
              <w:tabs>
                <w:tab w:val="left" w:pos="9810"/>
              </w:tabs>
              <w:autoSpaceDE w:val="0"/>
              <w:autoSpaceDN w:val="0"/>
              <w:adjustRightInd w:val="0"/>
              <w:spacing w:after="0" w:line="360" w:lineRule="auto"/>
              <w:ind w:left="112" w:right="149" w:firstLine="425"/>
              <w:jc w:val="both"/>
              <w:rPr>
                <w:rFonts w:ascii="GHEA Grapalat" w:hAnsi="GHEA Grapalat"/>
                <w:color w:val="000000"/>
                <w:lang w:val="af-ZA"/>
              </w:rPr>
            </w:pPr>
            <w:r w:rsidRPr="00A8531D">
              <w:rPr>
                <w:rFonts w:ascii="GHEA Grapalat" w:hAnsi="GHEA Grapalat"/>
                <w:color w:val="000000"/>
                <w:lang w:val="af-ZA"/>
              </w:rPr>
              <w:t>Նախագծին կից ներկայացված հիմնավորման (այսուհետ՝ Հիմնավորում) համաձայն՝ Նախագծի ընդունման անհրաժեշտությունը պայմանավորված է Որոշման 7-րդ կետի կատարման անհնարինությամբ և տարածքների օգտագործման արդյունավետության բարձրացման անհրաժեշտությամբ: Նախագծի 7-րդ կետի ուժը կորցրած ճանաչելու հանգամանքը պայմանավորված է նաև «Գյուղատնտեսական հետազոտությունների և հավաստագրման կենտրոն» պետական ոչ առևտրային կազմակերպությանը (այսուհետ՝ Կազմակերպություն) Հայաստանի Հանրապետության մարզերում անհատույց հատկացված հողատարածքների իրավական կարգավիճակով։ Հետևաբար, Կազմակերպությունը, անհատույց հատկացված  հողատարածքների վերաբերյալ Հայաստանի Հանրապետության մարզերի համայնքների հետ նախկինում կնքված պայմանագրերում կկատարի համապատասխան փոփոխություններ՝ կապված Կազմակերպության անվանափոխման հետ:</w:t>
            </w:r>
          </w:p>
          <w:p w14:paraId="1E5EBB40" w14:textId="77777777" w:rsidR="008B3F83" w:rsidRPr="00A8531D" w:rsidRDefault="008B3F83" w:rsidP="008948DE">
            <w:pPr>
              <w:pStyle w:val="NormalWeb"/>
              <w:tabs>
                <w:tab w:val="left" w:pos="360"/>
                <w:tab w:val="left" w:pos="9736"/>
              </w:tabs>
              <w:autoSpaceDE w:val="0"/>
              <w:autoSpaceDN w:val="0"/>
              <w:adjustRightInd w:val="0"/>
              <w:spacing w:after="0" w:line="360" w:lineRule="auto"/>
              <w:ind w:left="112" w:right="149" w:firstLine="425"/>
              <w:jc w:val="both"/>
              <w:rPr>
                <w:rFonts w:ascii="GHEA Grapalat" w:hAnsi="GHEA Grapalat"/>
                <w:color w:val="000000"/>
                <w:lang w:val="af-ZA"/>
              </w:rPr>
            </w:pPr>
            <w:r w:rsidRPr="00A8531D">
              <w:rPr>
                <w:rFonts w:ascii="GHEA Grapalat" w:hAnsi="GHEA Grapalat"/>
                <w:color w:val="000000"/>
                <w:lang w:val="af-ZA"/>
              </w:rPr>
              <w:t xml:space="preserve">Այս առումով, անհասկանալի է, թե ինչու է պետական գույքի կառավարման կոմիտեի նախագահի և Կազմակերպության միջև արդեն իսկ կնքված պայմանագրում փոփոխություններ կատարելու մասին պետական գույքի </w:t>
            </w:r>
            <w:r w:rsidRPr="00A8531D">
              <w:rPr>
                <w:rFonts w:ascii="GHEA Grapalat" w:hAnsi="GHEA Grapalat"/>
                <w:color w:val="000000"/>
                <w:lang w:val="af-ZA"/>
              </w:rPr>
              <w:lastRenderedPageBreak/>
              <w:t>կառավարման կոմիտեի նախագահին տրված հանձնարարականի կատարումը անհնարին կամ ինչպես է Որոշման 7-րդ կետն ուժը կորցրած ճանաչելը պայմանավորվում տարածքների օգտագործման արդյունավետության բարձրացման հետ: Ինչպես նաև, Հիմնավորման մեջ խոսք է գնում համայնքների հետ նախկինում կնքված պայմանագրերում փոփոխություններ կատարելու մասին, մինչդեռ Որոշման 7-րդ կետի կարգավորման առարկան այլ է:</w:t>
            </w:r>
          </w:p>
          <w:p w14:paraId="33425813" w14:textId="04D7F5E7" w:rsidR="008B3F83" w:rsidRPr="00A8531D" w:rsidRDefault="008B3F83" w:rsidP="008948DE">
            <w:pPr>
              <w:widowControl w:val="0"/>
              <w:spacing w:after="0" w:line="360" w:lineRule="auto"/>
              <w:ind w:left="112" w:right="149" w:firstLine="425"/>
              <w:jc w:val="both"/>
              <w:textAlignment w:val="baseline"/>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Հետևաբար, Հիմնավորումն անհրաժեշտ է լրամշակել և ներկայացնել «Նորմատիվ իրավական ակտերի մասին» օրենքի 6-րդ հոդվածի 5-րդ մասին համապատասխան, այն է՝ փորձաքննության ներկայացվող նորմատիվ իրավական ակտին, առկա իրավիճակը (եթե կիրառելի է), կարգավորման նպատակները</w:t>
            </w:r>
            <w:r w:rsidR="008C4334" w:rsidRPr="00A8531D">
              <w:rPr>
                <w:rFonts w:ascii="GHEA Grapalat" w:eastAsia="Times New Roman" w:hAnsi="GHEA Grapalat" w:cs="Times New Roman"/>
                <w:bCs/>
                <w:iCs/>
                <w:color w:val="000000"/>
                <w:sz w:val="24"/>
                <w:szCs w:val="24"/>
                <w:lang w:val="af-ZA"/>
              </w:rPr>
              <w:t xml:space="preserve"> կցվող հիմնավորման մեջ շարադրվում են կարգավորման ենթակա ոլորտի կամ խնդրի սահմանումը</w:t>
            </w:r>
            <w:r w:rsidRPr="00A8531D">
              <w:rPr>
                <w:rFonts w:ascii="GHEA Grapalat" w:eastAsia="Times New Roman" w:hAnsi="GHEA Grapalat" w:cs="Times New Roman"/>
                <w:bCs/>
                <w:iCs/>
                <w:color w:val="000000"/>
                <w:sz w:val="24"/>
                <w:szCs w:val="24"/>
                <w:lang w:val="af-ZA"/>
              </w:rPr>
              <w:t>, ակնկալվող արդյունքը, ակտի նորմատիվ բնույթի հիմնավորվածությունը:</w:t>
            </w:r>
          </w:p>
          <w:p w14:paraId="133991DE" w14:textId="77777777" w:rsidR="008B3F83" w:rsidRPr="00A8531D" w:rsidRDefault="008B3F83" w:rsidP="008948DE">
            <w:pPr>
              <w:spacing w:after="0" w:line="240" w:lineRule="auto"/>
              <w:ind w:firstLine="112"/>
              <w:jc w:val="both"/>
              <w:rPr>
                <w:rFonts w:ascii="GHEA Grapalat" w:eastAsia="Times New Roman" w:hAnsi="GHEA Grapalat" w:cs="Times New Roman"/>
                <w:bCs/>
                <w:iCs/>
                <w:color w:val="000000"/>
                <w:sz w:val="24"/>
                <w:szCs w:val="24"/>
                <w:lang w:val="af-ZA"/>
              </w:rPr>
            </w:pPr>
          </w:p>
        </w:tc>
        <w:tc>
          <w:tcPr>
            <w:tcW w:w="1276" w:type="dxa"/>
            <w:tcBorders>
              <w:top w:val="outset" w:sz="6" w:space="0" w:color="auto"/>
              <w:left w:val="outset" w:sz="6" w:space="0" w:color="auto"/>
              <w:bottom w:val="outset" w:sz="6" w:space="0" w:color="auto"/>
              <w:right w:val="nil"/>
            </w:tcBorders>
            <w:shd w:val="clear" w:color="auto" w:fill="FFFFFF"/>
            <w:hideMark/>
          </w:tcPr>
          <w:p w14:paraId="229DB7A2" w14:textId="77777777" w:rsidR="008B3F83" w:rsidRPr="00397E2A" w:rsidRDefault="008B3F83" w:rsidP="008948DE">
            <w:pPr>
              <w:spacing w:after="0" w:line="240" w:lineRule="auto"/>
              <w:jc w:val="center"/>
              <w:rPr>
                <w:rFonts w:ascii="GHEA Grapalat" w:eastAsia="Times New Roman" w:hAnsi="GHEA Grapalat" w:cs="Times New Roman"/>
                <w:bCs/>
                <w:iCs/>
                <w:color w:val="000000"/>
                <w:sz w:val="24"/>
                <w:szCs w:val="24"/>
                <w:lang w:val="ru-RU"/>
              </w:rPr>
            </w:pPr>
            <w:r w:rsidRPr="00A8531D">
              <w:rPr>
                <w:rFonts w:ascii="Calibri" w:eastAsia="Times New Roman" w:hAnsi="Calibri" w:cs="Calibri"/>
                <w:bCs/>
                <w:iCs/>
                <w:color w:val="000000"/>
                <w:sz w:val="24"/>
                <w:szCs w:val="24"/>
                <w:lang w:val="af-ZA"/>
              </w:rPr>
              <w:lastRenderedPageBreak/>
              <w:t> </w:t>
            </w:r>
            <w:r>
              <w:rPr>
                <w:rFonts w:ascii="GHEA Grapalat" w:eastAsia="Times New Roman" w:hAnsi="GHEA Grapalat" w:cs="Times New Roman"/>
                <w:bCs/>
                <w:iCs/>
                <w:color w:val="000000"/>
                <w:sz w:val="24"/>
                <w:szCs w:val="24"/>
                <w:lang w:val="ru-RU"/>
              </w:rPr>
              <w:t>Մասամբ է ընդունվել</w:t>
            </w:r>
          </w:p>
        </w:tc>
        <w:tc>
          <w:tcPr>
            <w:tcW w:w="4294" w:type="dxa"/>
            <w:tcBorders>
              <w:top w:val="outset" w:sz="6" w:space="0" w:color="auto"/>
              <w:left w:val="single" w:sz="4" w:space="0" w:color="auto"/>
              <w:bottom w:val="outset" w:sz="6" w:space="0" w:color="auto"/>
              <w:right w:val="outset" w:sz="6" w:space="0" w:color="auto"/>
            </w:tcBorders>
            <w:shd w:val="clear" w:color="auto" w:fill="FFFFFF"/>
            <w:hideMark/>
          </w:tcPr>
          <w:p w14:paraId="179A8E5B" w14:textId="77777777" w:rsidR="008B3F83" w:rsidRPr="00A8531D" w:rsidRDefault="008B3F83" w:rsidP="008948DE">
            <w:pPr>
              <w:ind w:left="149"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 xml:space="preserve">«Գյուղատնտեսական հետազոտությունների և </w:t>
            </w:r>
            <w:r w:rsidRPr="00A8531D">
              <w:rPr>
                <w:rFonts w:ascii="GHEA Grapalat" w:eastAsia="Times New Roman" w:hAnsi="GHEA Grapalat" w:cs="Times New Roman"/>
                <w:bCs/>
                <w:iCs/>
                <w:color w:val="000000"/>
                <w:sz w:val="24"/>
                <w:szCs w:val="24"/>
                <w:lang w:val="af-ZA"/>
              </w:rPr>
              <w:lastRenderedPageBreak/>
              <w:t>հավաստագրման կենտրոն» պետական ոչ առևտրային կազմակերպությանը (այսուհետ՝ Կազմակերպություն) Հայաստանի Հանրապետության մարզերում անհատույց հատկացված հողատարածքների իրավական կարգավիճակին հղում կատարելով, ի նկատի է առնվել այն հանգամանքը, որ ՀՀ մարզերում Կազմակերպությանը անհատույց հատկացված հողատարածքները սեփականության իրավունքով պատկանում են ՀՀ մարզերի համայնքներին և որևէ առնչնություն չունեն պետական գույքի կառավարման կոմիտեի հետ։</w:t>
            </w:r>
          </w:p>
          <w:p w14:paraId="1F53FDFF" w14:textId="77777777" w:rsidR="008B3F83" w:rsidRPr="00A8531D" w:rsidRDefault="008B3F83" w:rsidP="008948DE">
            <w:pPr>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Ներկայացված Հիմնավորմամբ նշվել է, որ Նախագծի 7-րդ կետի ուժը կորցրած ճանաչելու հանգամանքը պայմանավորված է՝ Կազմակերպությանը ՀՀ մարզերում անհատույց հատկացված հողատարածքների իրավական կարգավիճակով։</w:t>
            </w:r>
          </w:p>
          <w:p w14:paraId="7443D74E" w14:textId="77777777" w:rsidR="008B3F83" w:rsidRPr="00A8531D" w:rsidRDefault="008B3F83" w:rsidP="008948DE">
            <w:pPr>
              <w:autoSpaceDE w:val="0"/>
              <w:autoSpaceDN w:val="0"/>
              <w:adjustRightInd w:val="0"/>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lastRenderedPageBreak/>
              <w:t>Հետևաբար, Կազմակերպությունը, անհատույց հատկացված  հողատարածքների վերաբերյալ ՀՀ մարզերի համայնքների հետ նախկինում կնքված պայմանագրերում պետք է կատարի համապատասխան փոփոխություններ՝ կապված Կազմակերպության անվանափոխման հետ:</w:t>
            </w:r>
          </w:p>
          <w:p w14:paraId="69A7C9F6" w14:textId="77777777" w:rsidR="008B3F83" w:rsidRPr="00A8531D" w:rsidRDefault="008B3F83" w:rsidP="008948DE">
            <w:pPr>
              <w:autoSpaceDE w:val="0"/>
              <w:autoSpaceDN w:val="0"/>
              <w:adjustRightInd w:val="0"/>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Հողատարածքի վերաբերյալ իրավական կարգավիճակ ասելով, ակնհայտ է՝ հողատարածքի իրավական պատկանելիության հիմքը:</w:t>
            </w:r>
          </w:p>
          <w:p w14:paraId="64FBE1AB" w14:textId="77777777" w:rsidR="008B3F83" w:rsidRPr="00A8531D" w:rsidRDefault="008B3F83" w:rsidP="008948DE">
            <w:pPr>
              <w:autoSpaceDE w:val="0"/>
              <w:autoSpaceDN w:val="0"/>
              <w:adjustRightInd w:val="0"/>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«Նախագծի 7-րդ կետի ուժը կորցրած ճանաչելու հանգամանքը պայմանավորված է նաև նրանով, որ Կազմակերպությունը կնքել է պայմանագրեր համայնքների հետ և ոչ թե պետական գույքի կառավարման կոմիտեի հետ: Ակնհայտ է, որ</w:t>
            </w:r>
          </w:p>
          <w:p w14:paraId="2E0D4E44" w14:textId="77777777" w:rsidR="008B3F83" w:rsidRPr="00A8531D" w:rsidRDefault="008B3F83" w:rsidP="008948DE">
            <w:pPr>
              <w:autoSpaceDE w:val="0"/>
              <w:autoSpaceDN w:val="0"/>
              <w:adjustRightInd w:val="0"/>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 xml:space="preserve">այդ հողատարածքները պետական գույքի կառավարման  կոմիտեի </w:t>
            </w:r>
            <w:r w:rsidRPr="00A8531D">
              <w:rPr>
                <w:rFonts w:ascii="GHEA Grapalat" w:eastAsia="Times New Roman" w:hAnsi="GHEA Grapalat" w:cs="Times New Roman"/>
                <w:bCs/>
                <w:iCs/>
                <w:color w:val="000000"/>
                <w:sz w:val="24"/>
                <w:szCs w:val="24"/>
                <w:lang w:val="af-ZA"/>
              </w:rPr>
              <w:lastRenderedPageBreak/>
              <w:t>ենթակայության օբյեկտ չեն հանդիսանում, , այլ հանդիսանում են համայնքի սեփականությունը:</w:t>
            </w:r>
          </w:p>
          <w:p w14:paraId="4F8044D1" w14:textId="77777777" w:rsidR="008B3F83" w:rsidRPr="00A8531D" w:rsidRDefault="008B3F83" w:rsidP="008948DE">
            <w:pPr>
              <w:autoSpaceDE w:val="0"/>
              <w:autoSpaceDN w:val="0"/>
              <w:adjustRightInd w:val="0"/>
              <w:ind w:left="135" w:right="168"/>
              <w:jc w:val="both"/>
              <w:rPr>
                <w:rFonts w:ascii="GHEA Grapalat" w:eastAsia="Times New Roman" w:hAnsi="GHEA Grapalat" w:cs="Times New Roman"/>
                <w:bCs/>
                <w:iCs/>
                <w:color w:val="000000"/>
                <w:sz w:val="24"/>
                <w:szCs w:val="24"/>
                <w:lang w:val="af-ZA"/>
              </w:rPr>
            </w:pPr>
            <w:r w:rsidRPr="00A8531D">
              <w:rPr>
                <w:rFonts w:ascii="GHEA Grapalat" w:eastAsia="Times New Roman" w:hAnsi="GHEA Grapalat" w:cs="Times New Roman"/>
                <w:bCs/>
                <w:iCs/>
                <w:color w:val="000000"/>
                <w:sz w:val="24"/>
                <w:szCs w:val="24"/>
                <w:lang w:val="af-ZA"/>
              </w:rPr>
              <w:t>Հետևապես, հողատարածքների իրավական ճիշտ ձևակերպումից հետո կազմակերպությանը հնարավորություն կընձեռվի հատկացված հողատարածքներում փորձարկումների, փորձաքննությունների գործառույթներ  իրականացնելով, դրանով իսկ բարձրացնել տարածքների օգտագործման արդյունավետությունը:</w:t>
            </w:r>
          </w:p>
          <w:p w14:paraId="06DCF606" w14:textId="77777777" w:rsidR="008B3F83" w:rsidRPr="00A8531D" w:rsidRDefault="008B3F83" w:rsidP="008948DE">
            <w:pPr>
              <w:spacing w:after="0" w:line="240" w:lineRule="auto"/>
              <w:jc w:val="both"/>
              <w:rPr>
                <w:rFonts w:ascii="GHEA Grapalat" w:eastAsia="Times New Roman" w:hAnsi="GHEA Grapalat" w:cs="Times New Roman"/>
                <w:bCs/>
                <w:iCs/>
                <w:color w:val="000000"/>
                <w:sz w:val="24"/>
                <w:szCs w:val="24"/>
                <w:lang w:val="af-ZA"/>
              </w:rPr>
            </w:pPr>
          </w:p>
        </w:tc>
      </w:tr>
      <w:tr w:rsidR="0061195C" w:rsidRPr="0014102D" w14:paraId="5E6D9975" w14:textId="77777777" w:rsidTr="00DE21AE">
        <w:trPr>
          <w:tblCellSpacing w:w="0" w:type="dxa"/>
          <w:jc w:val="center"/>
        </w:trPr>
        <w:tc>
          <w:tcPr>
            <w:tcW w:w="9348"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5618A0A4" w14:textId="114DC970" w:rsidR="0061195C" w:rsidRPr="00A8531D" w:rsidRDefault="009E5AEE" w:rsidP="007A18B8">
            <w:pPr>
              <w:jc w:val="center"/>
              <w:rPr>
                <w:rFonts w:ascii="GHEA Grapalat" w:eastAsia="Times New Roman" w:hAnsi="GHEA Grapalat" w:cs="Times New Roman"/>
                <w:bCs/>
                <w:iCs/>
                <w:color w:val="000000"/>
                <w:sz w:val="24"/>
                <w:szCs w:val="24"/>
                <w:lang w:val="af-ZA"/>
              </w:rPr>
            </w:pPr>
            <w:r w:rsidRPr="008C4334">
              <w:rPr>
                <w:rFonts w:ascii="GHEA Grapalat" w:eastAsia="Times New Roman" w:hAnsi="GHEA Grapalat" w:cs="Times New Roman"/>
                <w:bCs/>
                <w:iCs/>
                <w:color w:val="000000"/>
                <w:sz w:val="24"/>
                <w:szCs w:val="24"/>
                <w:lang w:val="af-ZA"/>
              </w:rPr>
              <w:lastRenderedPageBreak/>
              <w:t>4.Վարչապետի աշխատակազմի ֆինանսատնտեսագիտական վարչությ</w:t>
            </w:r>
            <w:r w:rsidR="008C120D" w:rsidRPr="008C4334">
              <w:rPr>
                <w:rFonts w:ascii="GHEA Grapalat" w:eastAsia="Times New Roman" w:hAnsi="GHEA Grapalat" w:cs="Times New Roman"/>
                <w:bCs/>
                <w:iCs/>
                <w:color w:val="000000"/>
                <w:sz w:val="24"/>
                <w:szCs w:val="24"/>
                <w:lang w:val="af-ZA"/>
              </w:rPr>
              <w:t>ու</w:t>
            </w:r>
            <w:r w:rsidRPr="008C4334">
              <w:rPr>
                <w:rFonts w:ascii="GHEA Grapalat" w:eastAsia="Times New Roman" w:hAnsi="GHEA Grapalat" w:cs="Times New Roman"/>
                <w:bCs/>
                <w:iCs/>
                <w:color w:val="000000"/>
                <w:sz w:val="24"/>
                <w:szCs w:val="24"/>
                <w:lang w:val="af-ZA"/>
              </w:rPr>
              <w:t>ն</w:t>
            </w:r>
          </w:p>
        </w:tc>
        <w:tc>
          <w:tcPr>
            <w:tcW w:w="1276" w:type="dxa"/>
            <w:tcBorders>
              <w:top w:val="outset" w:sz="6" w:space="0" w:color="auto"/>
              <w:left w:val="outset" w:sz="6" w:space="0" w:color="auto"/>
              <w:bottom w:val="outset" w:sz="6" w:space="0" w:color="auto"/>
              <w:right w:val="nil"/>
            </w:tcBorders>
            <w:shd w:val="clear" w:color="auto" w:fill="D9D9D9" w:themeFill="background1" w:themeFillShade="D9"/>
          </w:tcPr>
          <w:p w14:paraId="09D7A5B3" w14:textId="77777777" w:rsidR="0061195C" w:rsidRPr="00A8531D" w:rsidRDefault="0061195C" w:rsidP="008948DE">
            <w:pPr>
              <w:spacing w:after="0" w:line="240" w:lineRule="auto"/>
              <w:jc w:val="center"/>
              <w:rPr>
                <w:rFonts w:ascii="Calibri" w:eastAsia="Times New Roman" w:hAnsi="Calibri" w:cs="Calibri"/>
                <w:bCs/>
                <w:iCs/>
                <w:color w:val="000000"/>
                <w:sz w:val="24"/>
                <w:szCs w:val="24"/>
                <w:lang w:val="af-ZA"/>
              </w:rPr>
            </w:pPr>
          </w:p>
        </w:tc>
        <w:tc>
          <w:tcPr>
            <w:tcW w:w="4294" w:type="dxa"/>
            <w:tcBorders>
              <w:top w:val="outset" w:sz="6" w:space="0" w:color="auto"/>
              <w:left w:val="single" w:sz="4" w:space="0" w:color="auto"/>
              <w:bottom w:val="outset" w:sz="6" w:space="0" w:color="auto"/>
              <w:right w:val="outset" w:sz="6" w:space="0" w:color="auto"/>
            </w:tcBorders>
            <w:shd w:val="clear" w:color="auto" w:fill="D9D9D9" w:themeFill="background1" w:themeFillShade="D9"/>
          </w:tcPr>
          <w:p w14:paraId="30FC69A5" w14:textId="23C95FAA" w:rsidR="0061195C" w:rsidRPr="00A44CC8" w:rsidRDefault="00DF2AE0" w:rsidP="00A44CC8">
            <w:pPr>
              <w:spacing w:after="0" w:line="240" w:lineRule="auto"/>
              <w:jc w:val="center"/>
              <w:rPr>
                <w:rFonts w:ascii="GHEA Grapalat" w:eastAsia="Times New Roman" w:hAnsi="GHEA Grapalat" w:cs="Times New Roman"/>
                <w:bCs/>
                <w:iCs/>
                <w:color w:val="000000"/>
                <w:sz w:val="24"/>
                <w:szCs w:val="24"/>
                <w:lang w:val="af-ZA"/>
              </w:rPr>
            </w:pPr>
            <w:r w:rsidRPr="00A44CC8">
              <w:rPr>
                <w:rFonts w:ascii="GHEA Grapalat" w:eastAsia="Times New Roman" w:hAnsi="GHEA Grapalat" w:cs="Times New Roman"/>
                <w:bCs/>
                <w:iCs/>
                <w:color w:val="000000"/>
                <w:sz w:val="24"/>
                <w:szCs w:val="24"/>
                <w:lang w:val="af-ZA"/>
              </w:rPr>
              <w:t>07</w:t>
            </w:r>
            <w:r w:rsidR="005A32F4" w:rsidRPr="00A44CC8">
              <w:rPr>
                <w:rFonts w:ascii="Cambria Math" w:eastAsia="Times New Roman" w:hAnsi="Cambria Math" w:cs="Cambria Math"/>
                <w:bCs/>
                <w:iCs/>
                <w:color w:val="000000"/>
                <w:sz w:val="24"/>
                <w:szCs w:val="24"/>
                <w:lang w:val="af-ZA"/>
              </w:rPr>
              <w:t>․</w:t>
            </w:r>
            <w:r w:rsidR="005A32F4" w:rsidRPr="00A44CC8">
              <w:rPr>
                <w:rFonts w:ascii="GHEA Grapalat" w:eastAsia="Times New Roman" w:hAnsi="GHEA Grapalat" w:cs="Times New Roman"/>
                <w:bCs/>
                <w:iCs/>
                <w:color w:val="000000"/>
                <w:sz w:val="24"/>
                <w:szCs w:val="24"/>
                <w:lang w:val="af-ZA"/>
              </w:rPr>
              <w:t>10</w:t>
            </w:r>
            <w:r w:rsidR="005A32F4" w:rsidRPr="00A44CC8">
              <w:rPr>
                <w:rFonts w:ascii="Cambria Math" w:eastAsia="Times New Roman" w:hAnsi="Cambria Math" w:cs="Cambria Math"/>
                <w:bCs/>
                <w:iCs/>
                <w:color w:val="000000"/>
                <w:sz w:val="24"/>
                <w:szCs w:val="24"/>
                <w:lang w:val="af-ZA"/>
              </w:rPr>
              <w:t>․</w:t>
            </w:r>
            <w:r w:rsidRPr="00A44CC8">
              <w:rPr>
                <w:rFonts w:ascii="GHEA Grapalat" w:eastAsia="Times New Roman" w:hAnsi="GHEA Grapalat" w:cs="Times New Roman"/>
                <w:bCs/>
                <w:iCs/>
                <w:color w:val="000000"/>
                <w:sz w:val="24"/>
                <w:szCs w:val="24"/>
                <w:lang w:val="af-ZA"/>
              </w:rPr>
              <w:t>2022</w:t>
            </w:r>
            <w:r w:rsidR="005A32F4" w:rsidRPr="00A44CC8">
              <w:rPr>
                <w:rFonts w:ascii="GHEA Grapalat" w:eastAsia="Times New Roman" w:hAnsi="GHEA Grapalat" w:cs="Times New Roman"/>
                <w:bCs/>
                <w:iCs/>
                <w:color w:val="000000"/>
                <w:sz w:val="24"/>
                <w:szCs w:val="24"/>
                <w:lang w:val="af-ZA"/>
              </w:rPr>
              <w:t>թ</w:t>
            </w:r>
            <w:r w:rsidR="005A32F4" w:rsidRPr="00A44CC8">
              <w:rPr>
                <w:rFonts w:ascii="Cambria Math" w:eastAsia="Times New Roman" w:hAnsi="Cambria Math" w:cs="Cambria Math"/>
                <w:bCs/>
                <w:iCs/>
                <w:color w:val="000000"/>
                <w:sz w:val="24"/>
                <w:szCs w:val="24"/>
                <w:lang w:val="af-ZA"/>
              </w:rPr>
              <w:t>․</w:t>
            </w:r>
          </w:p>
        </w:tc>
      </w:tr>
      <w:tr w:rsidR="0061195C" w:rsidRPr="0014102D" w14:paraId="47A0F9BD" w14:textId="77777777" w:rsidTr="00DE21AE">
        <w:trPr>
          <w:tblCellSpacing w:w="0" w:type="dxa"/>
          <w:jc w:val="center"/>
        </w:trPr>
        <w:tc>
          <w:tcPr>
            <w:tcW w:w="9348" w:type="dxa"/>
            <w:vMerge/>
            <w:tcBorders>
              <w:left w:val="outset" w:sz="6" w:space="0" w:color="auto"/>
              <w:bottom w:val="outset" w:sz="6" w:space="0" w:color="auto"/>
              <w:right w:val="outset" w:sz="6" w:space="0" w:color="auto"/>
            </w:tcBorders>
            <w:shd w:val="clear" w:color="auto" w:fill="D9D9D9" w:themeFill="background1" w:themeFillShade="D9"/>
            <w:vAlign w:val="center"/>
          </w:tcPr>
          <w:p w14:paraId="2DA51863" w14:textId="77777777" w:rsidR="0061195C" w:rsidRPr="00A8531D" w:rsidRDefault="0061195C" w:rsidP="008948DE">
            <w:pPr>
              <w:tabs>
                <w:tab w:val="left" w:pos="9720"/>
              </w:tabs>
              <w:spacing w:after="0" w:line="360" w:lineRule="auto"/>
              <w:ind w:right="180"/>
              <w:jc w:val="center"/>
              <w:rPr>
                <w:rFonts w:ascii="GHEA Grapalat" w:eastAsia="Times New Roman" w:hAnsi="GHEA Grapalat" w:cs="Times New Roman"/>
                <w:bCs/>
                <w:iCs/>
                <w:color w:val="000000"/>
                <w:sz w:val="24"/>
                <w:szCs w:val="24"/>
                <w:lang w:val="af-ZA"/>
              </w:rPr>
            </w:pPr>
          </w:p>
        </w:tc>
        <w:tc>
          <w:tcPr>
            <w:tcW w:w="1276" w:type="dxa"/>
            <w:tcBorders>
              <w:top w:val="outset" w:sz="6" w:space="0" w:color="auto"/>
              <w:left w:val="outset" w:sz="6" w:space="0" w:color="auto"/>
              <w:bottom w:val="outset" w:sz="6" w:space="0" w:color="auto"/>
              <w:right w:val="nil"/>
            </w:tcBorders>
            <w:shd w:val="clear" w:color="auto" w:fill="D9D9D9" w:themeFill="background1" w:themeFillShade="D9"/>
          </w:tcPr>
          <w:p w14:paraId="31A5639C" w14:textId="77777777" w:rsidR="0061195C" w:rsidRPr="00A8531D" w:rsidRDefault="0061195C" w:rsidP="008948DE">
            <w:pPr>
              <w:spacing w:after="0" w:line="240" w:lineRule="auto"/>
              <w:jc w:val="center"/>
              <w:rPr>
                <w:rFonts w:ascii="Calibri" w:eastAsia="Times New Roman" w:hAnsi="Calibri" w:cs="Calibri"/>
                <w:bCs/>
                <w:iCs/>
                <w:color w:val="000000"/>
                <w:sz w:val="24"/>
                <w:szCs w:val="24"/>
                <w:lang w:val="af-ZA"/>
              </w:rPr>
            </w:pPr>
          </w:p>
        </w:tc>
        <w:tc>
          <w:tcPr>
            <w:tcW w:w="4294" w:type="dxa"/>
            <w:tcBorders>
              <w:top w:val="outset" w:sz="6" w:space="0" w:color="auto"/>
              <w:left w:val="single" w:sz="4" w:space="0" w:color="auto"/>
              <w:bottom w:val="outset" w:sz="6" w:space="0" w:color="auto"/>
              <w:right w:val="outset" w:sz="6" w:space="0" w:color="auto"/>
            </w:tcBorders>
            <w:shd w:val="clear" w:color="auto" w:fill="D9D9D9" w:themeFill="background1" w:themeFillShade="D9"/>
          </w:tcPr>
          <w:p w14:paraId="30EB22C0" w14:textId="49C9697C" w:rsidR="0061195C" w:rsidRPr="00A8531D" w:rsidRDefault="005A32F4" w:rsidP="00A44CC8">
            <w:pPr>
              <w:spacing w:after="0" w:line="240" w:lineRule="auto"/>
              <w:jc w:val="center"/>
              <w:rPr>
                <w:rFonts w:ascii="GHEA Grapalat" w:eastAsia="Times New Roman" w:hAnsi="GHEA Grapalat" w:cs="Times New Roman"/>
                <w:bCs/>
                <w:iCs/>
                <w:color w:val="000000"/>
                <w:sz w:val="24"/>
                <w:szCs w:val="24"/>
                <w:lang w:val="af-ZA"/>
              </w:rPr>
            </w:pPr>
            <w:r w:rsidRPr="00A44CC8">
              <w:rPr>
                <w:rFonts w:ascii="GHEA Grapalat" w:eastAsia="Times New Roman" w:hAnsi="GHEA Grapalat" w:cs="Times New Roman"/>
                <w:bCs/>
                <w:iCs/>
                <w:color w:val="000000"/>
                <w:sz w:val="24"/>
                <w:szCs w:val="24"/>
                <w:lang w:val="af-ZA"/>
              </w:rPr>
              <w:t xml:space="preserve">N </w:t>
            </w:r>
            <w:r w:rsidR="00DF2AE0" w:rsidRPr="00A44CC8">
              <w:rPr>
                <w:rFonts w:ascii="GHEA Grapalat" w:eastAsia="Times New Roman" w:hAnsi="GHEA Grapalat" w:cs="Times New Roman"/>
                <w:bCs/>
                <w:iCs/>
                <w:color w:val="000000"/>
                <w:sz w:val="24"/>
                <w:szCs w:val="24"/>
                <w:lang w:val="af-ZA"/>
              </w:rPr>
              <w:t>02/16.20/31650-2022</w:t>
            </w:r>
          </w:p>
        </w:tc>
      </w:tr>
      <w:tr w:rsidR="008B3F83" w:rsidRPr="0014102D" w14:paraId="12CD82DE" w14:textId="77777777" w:rsidTr="00DE21AE">
        <w:trPr>
          <w:tblCellSpacing w:w="0" w:type="dxa"/>
          <w:jc w:val="center"/>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tcPr>
          <w:p w14:paraId="1761B6BD" w14:textId="77777777" w:rsidR="008B3F83" w:rsidRPr="008C4334" w:rsidRDefault="007A18B8" w:rsidP="008C120D">
            <w:pPr>
              <w:jc w:val="center"/>
              <w:rPr>
                <w:rFonts w:ascii="GHEA Grapalat" w:eastAsia="Times New Roman" w:hAnsi="GHEA Grapalat" w:cs="Times New Roman"/>
                <w:bCs/>
                <w:iCs/>
                <w:color w:val="000000"/>
                <w:sz w:val="24"/>
                <w:szCs w:val="24"/>
                <w:lang w:val="af-ZA"/>
              </w:rPr>
            </w:pPr>
            <w:r w:rsidRPr="008C4334">
              <w:rPr>
                <w:rFonts w:ascii="GHEA Grapalat" w:eastAsia="Times New Roman" w:hAnsi="GHEA Grapalat" w:cs="Times New Roman"/>
                <w:bCs/>
                <w:iCs/>
                <w:color w:val="000000"/>
                <w:sz w:val="24"/>
                <w:szCs w:val="24"/>
                <w:lang w:val="af-ZA"/>
              </w:rPr>
              <w:t>ԵԶՐԱԿԱՑՈՒԹՅՈՒՆ</w:t>
            </w:r>
          </w:p>
          <w:p w14:paraId="1AAC2A5C" w14:textId="77777777" w:rsidR="00514A3B" w:rsidRPr="00514A3B" w:rsidRDefault="00514A3B" w:rsidP="00514A3B">
            <w:pPr>
              <w:tabs>
                <w:tab w:val="left" w:pos="9810"/>
              </w:tabs>
              <w:autoSpaceDE w:val="0"/>
              <w:autoSpaceDN w:val="0"/>
              <w:adjustRightInd w:val="0"/>
              <w:ind w:left="112" w:right="149" w:firstLine="425"/>
              <w:contextualSpacing/>
              <w:jc w:val="both"/>
              <w:rPr>
                <w:rFonts w:ascii="GHEA Grapalat" w:eastAsia="Times New Roman" w:hAnsi="GHEA Grapalat" w:cs="Times New Roman"/>
                <w:bCs/>
                <w:iCs/>
                <w:color w:val="000000"/>
                <w:sz w:val="24"/>
                <w:szCs w:val="24"/>
                <w:lang w:val="af-ZA"/>
              </w:rPr>
            </w:pPr>
            <w:r w:rsidRPr="00514A3B">
              <w:rPr>
                <w:rFonts w:ascii="GHEA Grapalat" w:eastAsia="Times New Roman" w:hAnsi="GHEA Grapalat" w:cs="Times New Roman"/>
                <w:bCs/>
                <w:iCs/>
                <w:color w:val="000000"/>
                <w:sz w:val="24"/>
                <w:szCs w:val="24"/>
                <w:lang w:val="af-ZA"/>
              </w:rPr>
              <w:t xml:space="preserve">Հայաստանի Հանրապետության կառավարության 2021 թվականի հուլիսի 1-ի N 1087-Ն որոշման (այսուհետ՝ Որոշում) 7-րդ կետի համաձայն՝ պետական գույքի կառավարման կոմիտեի նախագահին հանձնարարական է տրվել սույն որոշումն ուժի մեջ մտնելուց հետո երկամսյա ժամկետում «Գյուղատնտեսական </w:t>
            </w:r>
            <w:r w:rsidRPr="00514A3B">
              <w:rPr>
                <w:rFonts w:ascii="GHEA Grapalat" w:eastAsia="Times New Roman" w:hAnsi="GHEA Grapalat" w:cs="Times New Roman"/>
                <w:bCs/>
                <w:iCs/>
                <w:color w:val="000000"/>
                <w:sz w:val="24"/>
                <w:szCs w:val="24"/>
                <w:lang w:val="af-ZA"/>
              </w:rPr>
              <w:lastRenderedPageBreak/>
              <w:t>հետազոտությունների և հավաստագրման կենտրոն» պետական ոչ առևտրային կազմակերպության հետ կնքված անհատույց (անժամկետ) օգտագործման իրավունքով հատկացված՝ Հայաստանի Հանրապետության Շիրակի մարզի Աշոցքի գյուղական համայնքում` 22 հեկտար, Հայաստանի Հանրապետության Գեղարքունիքի մարզի Վարդենիկի գյուղական համայնքում՝ 30 հեկտար, Գավառի գյուղական համայնքում՝ 1.5 հեկտար, Հայաստանի Հանրապետության Սյունիքի մարզի Շաքիի գյուղական համայնքում՝ 15 հեկտար, Հայաստանի Հանրապետության Արագածոտնի մարզի Արտենիի գյուղական համայնքում՝ 2.7 հեկտար, Քուչակի գյուղական համայնքում` 8 հեկտար հողատարածքների պայմանագրերում կատարել փոփոխություններ՝ դրանցում նախատեսելով, որ պայմանագրերի փոփոխությունների նոտարական վավերացման և ծագող գույքային իրավունքների պետական գրանցման ծախսերը ենթակա են իրականացման «Գյուղատնտեսական հետազոտությունների և հավաստագրման կենտրոն» պետական ոչ առևտրային կազմակերպության միջոցների հաշվին։</w:t>
            </w:r>
          </w:p>
          <w:p w14:paraId="59E1B9A7" w14:textId="77777777" w:rsidR="00514A3B" w:rsidRPr="00514A3B" w:rsidRDefault="00514A3B" w:rsidP="00E5499C">
            <w:pPr>
              <w:tabs>
                <w:tab w:val="left" w:pos="567"/>
                <w:tab w:val="left" w:pos="1440"/>
                <w:tab w:val="left" w:pos="2179"/>
                <w:tab w:val="left" w:pos="2880"/>
                <w:tab w:val="left" w:pos="6045"/>
              </w:tabs>
              <w:ind w:left="112" w:right="131" w:firstLine="112"/>
              <w:jc w:val="both"/>
              <w:rPr>
                <w:rFonts w:ascii="GHEA Grapalat" w:eastAsia="Times New Roman" w:hAnsi="GHEA Grapalat" w:cs="Times New Roman"/>
                <w:bCs/>
                <w:iCs/>
                <w:color w:val="000000"/>
                <w:sz w:val="24"/>
                <w:szCs w:val="24"/>
                <w:lang w:val="af-ZA"/>
              </w:rPr>
            </w:pPr>
            <w:r w:rsidRPr="00514A3B">
              <w:rPr>
                <w:rFonts w:ascii="GHEA Grapalat" w:eastAsia="Times New Roman" w:hAnsi="GHEA Grapalat" w:cs="Times New Roman"/>
                <w:bCs/>
                <w:iCs/>
                <w:color w:val="000000"/>
                <w:sz w:val="24"/>
                <w:szCs w:val="24"/>
                <w:lang w:val="af-ZA"/>
              </w:rPr>
              <w:t xml:space="preserve">Համաձայն Նախագծի հիմնավորման՝ Նախագծի ընդունման անհրաժեշտությունը պայմանավորված է Որոշման 7-րդ կետի կատարման անհնարինությամբ և տարածքների օգտագործման արդյունավետության բարձրացման անհրաժեշտությամբ: </w:t>
            </w:r>
          </w:p>
          <w:p w14:paraId="565C491D" w14:textId="7D192D75" w:rsidR="00514A3B" w:rsidRPr="00514A3B" w:rsidRDefault="00514A3B" w:rsidP="00E5499C">
            <w:pPr>
              <w:tabs>
                <w:tab w:val="left" w:pos="567"/>
                <w:tab w:val="left" w:pos="1440"/>
                <w:tab w:val="left" w:pos="2179"/>
                <w:tab w:val="left" w:pos="2880"/>
                <w:tab w:val="left" w:pos="6045"/>
              </w:tabs>
              <w:ind w:left="112" w:right="131"/>
              <w:jc w:val="both"/>
              <w:rPr>
                <w:rFonts w:ascii="GHEA Grapalat" w:eastAsia="Times New Roman" w:hAnsi="GHEA Grapalat" w:cs="Times New Roman"/>
                <w:bCs/>
                <w:iCs/>
                <w:color w:val="000000"/>
                <w:sz w:val="24"/>
                <w:szCs w:val="24"/>
                <w:lang w:val="af-ZA"/>
              </w:rPr>
            </w:pPr>
            <w:r w:rsidRPr="00514A3B">
              <w:rPr>
                <w:rFonts w:ascii="GHEA Grapalat" w:eastAsia="Times New Roman" w:hAnsi="GHEA Grapalat" w:cs="Times New Roman"/>
                <w:bCs/>
                <w:iCs/>
                <w:color w:val="000000"/>
                <w:sz w:val="24"/>
                <w:szCs w:val="24"/>
                <w:lang w:val="af-ZA"/>
              </w:rPr>
              <w:t>Միաժամանակ հաշվի առնելով այն հանգամանքը, որ սույն որոշումն ընդունվել է դեռևս 2021 թվականի հուլիսի 1-ին, իսկ որոշման 7-րդ կետով սահմանվել է՝ 2-ամսյա ժամկետ համապատասխան գործողություններ իրականացնելու համար, հետևաբար խնդրում եմ լրացուցիչ հիմնավորել՝</w:t>
            </w:r>
          </w:p>
          <w:p w14:paraId="2D6DB7E6" w14:textId="77777777" w:rsidR="00514A3B" w:rsidRPr="00514A3B" w:rsidRDefault="00514A3B" w:rsidP="00E5499C">
            <w:pPr>
              <w:pStyle w:val="ListParagraph"/>
              <w:numPr>
                <w:ilvl w:val="0"/>
                <w:numId w:val="1"/>
              </w:numPr>
              <w:tabs>
                <w:tab w:val="left" w:pos="567"/>
                <w:tab w:val="left" w:pos="1440"/>
                <w:tab w:val="left" w:pos="2179"/>
                <w:tab w:val="left" w:pos="2880"/>
                <w:tab w:val="left" w:pos="6045"/>
              </w:tabs>
              <w:spacing w:line="360" w:lineRule="auto"/>
              <w:ind w:left="112" w:right="131" w:firstLine="158"/>
              <w:jc w:val="both"/>
              <w:rPr>
                <w:rFonts w:ascii="GHEA Grapalat" w:eastAsia="Times New Roman" w:hAnsi="GHEA Grapalat" w:cs="Times New Roman"/>
                <w:bCs/>
                <w:iCs/>
                <w:color w:val="000000"/>
                <w:sz w:val="24"/>
                <w:szCs w:val="24"/>
                <w:lang w:val="af-ZA"/>
              </w:rPr>
            </w:pPr>
            <w:r w:rsidRPr="00514A3B">
              <w:rPr>
                <w:rFonts w:ascii="GHEA Grapalat" w:eastAsia="Times New Roman" w:hAnsi="GHEA Grapalat" w:cs="Times New Roman"/>
                <w:bCs/>
                <w:iCs/>
                <w:color w:val="000000"/>
                <w:sz w:val="24"/>
                <w:szCs w:val="24"/>
                <w:lang w:val="af-ZA"/>
              </w:rPr>
              <w:t>ինչ խնդիրներ են ի հայտ եկել և ինչու՞ է առաջարկությունը մեկ տարի հետո ներկայացվել.</w:t>
            </w:r>
          </w:p>
          <w:p w14:paraId="6534CEA4" w14:textId="77777777" w:rsidR="00514A3B" w:rsidRPr="00514A3B" w:rsidRDefault="00514A3B" w:rsidP="008C4334">
            <w:pPr>
              <w:pStyle w:val="ListParagraph"/>
              <w:numPr>
                <w:ilvl w:val="0"/>
                <w:numId w:val="1"/>
              </w:numPr>
              <w:tabs>
                <w:tab w:val="left" w:pos="567"/>
                <w:tab w:val="left" w:pos="1440"/>
                <w:tab w:val="left" w:pos="2179"/>
                <w:tab w:val="left" w:pos="2880"/>
                <w:tab w:val="left" w:pos="6045"/>
              </w:tabs>
              <w:spacing w:line="360" w:lineRule="auto"/>
              <w:ind w:left="112" w:right="131" w:firstLine="158"/>
              <w:jc w:val="both"/>
              <w:rPr>
                <w:rFonts w:ascii="GHEA Grapalat" w:eastAsia="Times New Roman" w:hAnsi="GHEA Grapalat" w:cs="Times New Roman"/>
                <w:bCs/>
                <w:iCs/>
                <w:color w:val="000000"/>
                <w:sz w:val="24"/>
                <w:szCs w:val="24"/>
                <w:lang w:val="af-ZA"/>
              </w:rPr>
            </w:pPr>
            <w:r w:rsidRPr="00514A3B">
              <w:rPr>
                <w:rFonts w:ascii="GHEA Grapalat" w:eastAsia="Times New Roman" w:hAnsi="GHEA Grapalat" w:cs="Times New Roman"/>
                <w:bCs/>
                <w:iCs/>
                <w:color w:val="000000"/>
                <w:sz w:val="24"/>
                <w:szCs w:val="24"/>
                <w:lang w:val="af-ZA"/>
              </w:rPr>
              <w:lastRenderedPageBreak/>
              <w:t>սույն կետի կատարման անհնարինության պատճառները, ինչպես նաև հստակեցնել այն փաստը, թե որոշման  ընդունումը ինչպե՞ս է նպաստելու տարածքների նպատակային օգտագործման և դրանց արդյունավետության բարձրացմանը:</w:t>
            </w:r>
          </w:p>
          <w:p w14:paraId="0599A746" w14:textId="03A2CB66" w:rsidR="00514A3B" w:rsidRPr="008C4334" w:rsidRDefault="00514A3B" w:rsidP="008C120D">
            <w:pPr>
              <w:jc w:val="center"/>
              <w:rPr>
                <w:rFonts w:ascii="GHEA Grapalat" w:eastAsia="Times New Roman" w:hAnsi="GHEA Grapalat" w:cs="Times New Roman"/>
                <w:bCs/>
                <w:iCs/>
                <w:color w:val="000000"/>
                <w:sz w:val="24"/>
                <w:szCs w:val="24"/>
                <w:lang w:val="af-ZA"/>
              </w:rPr>
            </w:pPr>
          </w:p>
        </w:tc>
        <w:tc>
          <w:tcPr>
            <w:tcW w:w="1276" w:type="dxa"/>
            <w:tcBorders>
              <w:top w:val="outset" w:sz="6" w:space="0" w:color="auto"/>
              <w:left w:val="outset" w:sz="6" w:space="0" w:color="auto"/>
              <w:bottom w:val="outset" w:sz="6" w:space="0" w:color="auto"/>
              <w:right w:val="nil"/>
            </w:tcBorders>
            <w:shd w:val="clear" w:color="auto" w:fill="FFFFFF"/>
          </w:tcPr>
          <w:p w14:paraId="72B2D336" w14:textId="4EE11463" w:rsidR="008B3F83" w:rsidRPr="00A8531D" w:rsidRDefault="002448E1" w:rsidP="008948DE">
            <w:pPr>
              <w:spacing w:after="0" w:line="240" w:lineRule="auto"/>
              <w:jc w:val="center"/>
              <w:rPr>
                <w:rFonts w:ascii="Calibri" w:eastAsia="Times New Roman" w:hAnsi="Calibri" w:cs="Calibri"/>
                <w:bCs/>
                <w:iCs/>
                <w:color w:val="000000"/>
                <w:sz w:val="24"/>
                <w:szCs w:val="24"/>
                <w:lang w:val="af-ZA"/>
              </w:rPr>
            </w:pPr>
            <w:r>
              <w:rPr>
                <w:rFonts w:ascii="GHEA Grapalat" w:eastAsia="Times New Roman" w:hAnsi="GHEA Grapalat" w:cs="Times New Roman"/>
                <w:bCs/>
                <w:iCs/>
                <w:color w:val="000000"/>
                <w:sz w:val="24"/>
                <w:szCs w:val="24"/>
                <w:lang w:val="ru-RU"/>
              </w:rPr>
              <w:lastRenderedPageBreak/>
              <w:t>Մասամբ է ընդունվել</w:t>
            </w:r>
          </w:p>
        </w:tc>
        <w:tc>
          <w:tcPr>
            <w:tcW w:w="4294" w:type="dxa"/>
            <w:tcBorders>
              <w:top w:val="outset" w:sz="6" w:space="0" w:color="auto"/>
              <w:left w:val="single" w:sz="4" w:space="0" w:color="auto"/>
              <w:bottom w:val="outset" w:sz="6" w:space="0" w:color="auto"/>
              <w:right w:val="outset" w:sz="6" w:space="0" w:color="auto"/>
            </w:tcBorders>
            <w:shd w:val="clear" w:color="auto" w:fill="FFFFFF"/>
          </w:tcPr>
          <w:p w14:paraId="295D3BA3" w14:textId="24E4B2BF" w:rsidR="00245CCB" w:rsidRPr="00207094" w:rsidRDefault="00245CCB" w:rsidP="00DE21AE">
            <w:pPr>
              <w:tabs>
                <w:tab w:val="left" w:pos="567"/>
                <w:tab w:val="left" w:pos="1440"/>
                <w:tab w:val="left" w:pos="2179"/>
                <w:tab w:val="left" w:pos="2880"/>
                <w:tab w:val="left" w:pos="6045"/>
              </w:tabs>
              <w:spacing w:after="0" w:line="360" w:lineRule="auto"/>
              <w:ind w:left="138" w:right="168" w:firstLine="429"/>
              <w:jc w:val="both"/>
              <w:rPr>
                <w:rFonts w:ascii="GHEA Grapalat" w:hAnsi="GHEA Grapalat"/>
                <w:sz w:val="24"/>
                <w:szCs w:val="24"/>
              </w:rPr>
            </w:pPr>
            <w:r w:rsidRPr="00207094">
              <w:rPr>
                <w:rFonts w:ascii="GHEA Grapalat" w:eastAsia="Times New Roman" w:hAnsi="GHEA Grapalat"/>
                <w:sz w:val="24"/>
                <w:szCs w:val="24"/>
              </w:rPr>
              <w:t xml:space="preserve">«Հայաստանի Հանրապետության կառավարության 2021 թվականի հուլիսի 1 -ի N 1087-Ն որոշման </w:t>
            </w:r>
            <w:r w:rsidRPr="00207094">
              <w:rPr>
                <w:rFonts w:ascii="GHEA Grapalat" w:eastAsia="Times New Roman" w:hAnsi="GHEA Grapalat"/>
                <w:sz w:val="24"/>
                <w:szCs w:val="24"/>
              </w:rPr>
              <w:lastRenderedPageBreak/>
              <w:t xml:space="preserve">(այսուհետ՝ Որոշում) պահանջների կատարման ընթացքում ի հայտ են եկել հանգամանքներ, որոնք անհնարին են դարձրել 7-րդ կետի պահանջների իրականացմանը, մասնավորապես՝ Պետական գույքի կառավարման կոմիտեն (այսուհետ՝ Կոմիտե) չհամարվելով անհատույց օգտագործման պայմանագրի կողմ </w:t>
            </w:r>
            <w:r w:rsidR="002448E1">
              <w:rPr>
                <w:rFonts w:ascii="GHEA Grapalat" w:eastAsia="Times New Roman" w:hAnsi="GHEA Grapalat"/>
                <w:sz w:val="24"/>
                <w:szCs w:val="24"/>
                <w:lang w:val="hy-AM"/>
              </w:rPr>
              <w:t>նշված</w:t>
            </w:r>
            <w:r w:rsidRPr="00207094">
              <w:rPr>
                <w:rFonts w:ascii="GHEA Grapalat" w:hAnsi="GHEA Grapalat"/>
                <w:sz w:val="24"/>
                <w:szCs w:val="24"/>
              </w:rPr>
              <w:t xml:space="preserve"> </w:t>
            </w:r>
            <w:r w:rsidRPr="00207094">
              <w:rPr>
                <w:rFonts w:ascii="GHEA Grapalat" w:eastAsia="Times New Roman" w:hAnsi="GHEA Grapalat"/>
                <w:sz w:val="24"/>
                <w:szCs w:val="24"/>
              </w:rPr>
              <w:t>Որոշան մեջ</w:t>
            </w:r>
            <w:r w:rsidRPr="00207094">
              <w:rPr>
                <w:rFonts w:ascii="GHEA Grapalat" w:hAnsi="GHEA Grapalat"/>
                <w:sz w:val="24"/>
                <w:szCs w:val="24"/>
                <w:lang w:val="af-ZA"/>
              </w:rPr>
              <w:t xml:space="preserve"> ակնարկվող հողատարածքների </w:t>
            </w:r>
            <w:r w:rsidRPr="00207094">
              <w:rPr>
                <w:rFonts w:ascii="GHEA Grapalat" w:hAnsi="GHEA Grapalat"/>
                <w:sz w:val="24"/>
                <w:szCs w:val="24"/>
              </w:rPr>
              <w:t>սեփականության իրավունքի</w:t>
            </w:r>
            <w:r w:rsidRPr="00207094">
              <w:rPr>
                <w:rFonts w:ascii="GHEA Grapalat" w:eastAsia="Times New Roman" w:hAnsi="GHEA Grapalat"/>
                <w:sz w:val="24"/>
                <w:szCs w:val="24"/>
              </w:rPr>
              <w:t xml:space="preserve"> </w:t>
            </w:r>
            <w:r w:rsidRPr="00207094">
              <w:rPr>
                <w:rFonts w:ascii="GHEA Grapalat" w:hAnsi="GHEA Grapalat"/>
                <w:sz w:val="24"/>
                <w:szCs w:val="24"/>
              </w:rPr>
              <w:t xml:space="preserve">նկատմամբ՝ </w:t>
            </w:r>
            <w:r w:rsidRPr="00207094">
              <w:rPr>
                <w:rFonts w:ascii="GHEA Grapalat" w:eastAsia="Times New Roman" w:hAnsi="GHEA Grapalat"/>
                <w:sz w:val="24"/>
                <w:szCs w:val="24"/>
              </w:rPr>
              <w:t xml:space="preserve">չէր կարող կնքել, վերակնքել կամ փոփոխություններ կատարել անհատույց օգտագործման պայմանագրերի մեջ, քանի որ </w:t>
            </w:r>
            <w:r w:rsidRPr="00207094">
              <w:rPr>
                <w:rFonts w:ascii="GHEA Grapalat" w:hAnsi="GHEA Grapalat"/>
                <w:sz w:val="24"/>
                <w:szCs w:val="24"/>
                <w:lang w:val="af-ZA"/>
              </w:rPr>
              <w:t xml:space="preserve">հողատարածքները սեփականության իրավունքով </w:t>
            </w:r>
            <w:r w:rsidRPr="00207094">
              <w:rPr>
                <w:rFonts w:ascii="GHEA Grapalat" w:hAnsi="GHEA Grapalat"/>
                <w:sz w:val="24"/>
                <w:szCs w:val="24"/>
                <w:lang w:val="af-ZA"/>
              </w:rPr>
              <w:lastRenderedPageBreak/>
              <w:t>պատկան</w:t>
            </w:r>
            <w:r w:rsidRPr="00207094">
              <w:rPr>
                <w:rFonts w:ascii="GHEA Grapalat" w:hAnsi="GHEA Grapalat"/>
                <w:sz w:val="24"/>
                <w:szCs w:val="24"/>
              </w:rPr>
              <w:t>ում էին</w:t>
            </w:r>
            <w:r w:rsidRPr="00207094">
              <w:rPr>
                <w:rFonts w:ascii="GHEA Grapalat" w:hAnsi="GHEA Grapalat"/>
                <w:sz w:val="24"/>
                <w:szCs w:val="24"/>
                <w:lang w:val="af-ZA"/>
              </w:rPr>
              <w:t xml:space="preserve"> </w:t>
            </w:r>
            <w:r w:rsidRPr="00207094">
              <w:rPr>
                <w:rFonts w:ascii="GHEA Grapalat" w:eastAsia="Times New Roman" w:hAnsi="GHEA Grapalat"/>
                <w:sz w:val="24"/>
                <w:szCs w:val="24"/>
              </w:rPr>
              <w:t>համապատասխան</w:t>
            </w:r>
            <w:r w:rsidRPr="00207094">
              <w:rPr>
                <w:rFonts w:ascii="GHEA Grapalat" w:hAnsi="GHEA Grapalat"/>
                <w:sz w:val="24"/>
                <w:szCs w:val="24"/>
                <w:lang w:val="af-ZA"/>
              </w:rPr>
              <w:t xml:space="preserve"> համայնքներին</w:t>
            </w:r>
            <w:r w:rsidRPr="00207094">
              <w:rPr>
                <w:rFonts w:ascii="GHEA Grapalat" w:hAnsi="GHEA Grapalat"/>
                <w:sz w:val="24"/>
                <w:szCs w:val="24"/>
              </w:rPr>
              <w:t xml:space="preserve">։ </w:t>
            </w:r>
          </w:p>
          <w:p w14:paraId="6FC8E4D1" w14:textId="6666ADB8" w:rsidR="001871DD" w:rsidRPr="00207094" w:rsidRDefault="001871DD" w:rsidP="00DE21AE">
            <w:pPr>
              <w:tabs>
                <w:tab w:val="left" w:pos="567"/>
                <w:tab w:val="left" w:pos="1440"/>
                <w:tab w:val="left" w:pos="2179"/>
                <w:tab w:val="left" w:pos="2880"/>
                <w:tab w:val="left" w:pos="6045"/>
              </w:tabs>
              <w:spacing w:after="0" w:line="360" w:lineRule="auto"/>
              <w:ind w:left="138" w:right="168" w:firstLine="567"/>
              <w:jc w:val="both"/>
              <w:rPr>
                <w:rFonts w:ascii="GHEA Grapalat" w:eastAsia="Times New Roman" w:hAnsi="GHEA Grapalat"/>
                <w:sz w:val="24"/>
                <w:szCs w:val="24"/>
              </w:rPr>
            </w:pPr>
            <w:r w:rsidRPr="00207094">
              <w:rPr>
                <w:rFonts w:ascii="GHEA Grapalat" w:eastAsia="Times New Roman" w:hAnsi="GHEA Grapalat"/>
                <w:sz w:val="24"/>
                <w:szCs w:val="24"/>
              </w:rPr>
              <w:t>Որոշման 7-րդ կետի պահանջների կատարմանը ընթացքում են ի հայտ են եկել նաև այլ խոչընդոտող հանգամանքներ, մասնավորապես՝</w:t>
            </w:r>
            <w:r w:rsidR="00245CCB">
              <w:rPr>
                <w:rFonts w:ascii="GHEA Grapalat" w:eastAsia="Times New Roman" w:hAnsi="GHEA Grapalat"/>
                <w:sz w:val="24"/>
                <w:szCs w:val="24"/>
              </w:rPr>
              <w:t xml:space="preserve"> </w:t>
            </w:r>
            <w:r w:rsidRPr="00207094">
              <w:rPr>
                <w:rFonts w:ascii="GHEA Grapalat" w:hAnsi="GHEA Grapalat"/>
                <w:sz w:val="24"/>
                <w:szCs w:val="24"/>
                <w:lang w:val="af-ZA"/>
              </w:rPr>
              <w:t xml:space="preserve">որոշ համայնքներում հատկացված հողատարածքների մի մասը օտարվել և համայնքի որոշմամբ հատկացվել </w:t>
            </w:r>
            <w:r w:rsidRPr="00207094">
              <w:rPr>
                <w:rFonts w:ascii="GHEA Grapalat" w:hAnsi="GHEA Grapalat"/>
                <w:sz w:val="24"/>
                <w:szCs w:val="24"/>
              </w:rPr>
              <w:t>են</w:t>
            </w:r>
            <w:r w:rsidRPr="00207094">
              <w:rPr>
                <w:rFonts w:ascii="GHEA Grapalat" w:hAnsi="GHEA Grapalat"/>
                <w:sz w:val="24"/>
                <w:szCs w:val="24"/>
                <w:lang w:val="af-ZA"/>
              </w:rPr>
              <w:t xml:space="preserve"> համայնքի բնակիչներին</w:t>
            </w:r>
            <w:r w:rsidRPr="00207094">
              <w:rPr>
                <w:rFonts w:ascii="GHEA Grapalat" w:hAnsi="GHEA Grapalat"/>
                <w:sz w:val="24"/>
                <w:szCs w:val="24"/>
              </w:rPr>
              <w:t>,</w:t>
            </w:r>
            <w:r w:rsidRPr="00207094">
              <w:rPr>
                <w:rFonts w:ascii="GHEA Grapalat" w:eastAsia="Times New Roman" w:hAnsi="GHEA Grapalat"/>
                <w:sz w:val="24"/>
                <w:szCs w:val="24"/>
              </w:rPr>
              <w:t xml:space="preserve"> որոշ </w:t>
            </w:r>
            <w:r w:rsidRPr="00207094">
              <w:rPr>
                <w:rFonts w:ascii="GHEA Grapalat" w:hAnsi="GHEA Grapalat"/>
                <w:sz w:val="24"/>
                <w:szCs w:val="24"/>
                <w:lang w:val="af-ZA"/>
              </w:rPr>
              <w:t>հողատարածքներ</w:t>
            </w:r>
            <w:r w:rsidRPr="00207094">
              <w:rPr>
                <w:rFonts w:ascii="GHEA Grapalat" w:hAnsi="GHEA Grapalat"/>
                <w:sz w:val="24"/>
                <w:szCs w:val="24"/>
              </w:rPr>
              <w:t xml:space="preserve">ի համար էլ </w:t>
            </w:r>
            <w:r w:rsidRPr="00207094">
              <w:rPr>
                <w:rFonts w:ascii="GHEA Grapalat" w:eastAsia="Times New Roman" w:hAnsi="GHEA Grapalat"/>
                <w:sz w:val="24"/>
                <w:szCs w:val="24"/>
              </w:rPr>
              <w:t xml:space="preserve">բացակայել են սեփականության իրավունքի վկայականներն և անհատույց օգտագործման պայմանագրերը։ </w:t>
            </w:r>
          </w:p>
          <w:p w14:paraId="08FF2203" w14:textId="67103214" w:rsidR="001871DD" w:rsidRDefault="001871DD" w:rsidP="00DE21AE">
            <w:pPr>
              <w:tabs>
                <w:tab w:val="left" w:pos="567"/>
                <w:tab w:val="left" w:pos="1440"/>
                <w:tab w:val="left" w:pos="2179"/>
                <w:tab w:val="left" w:pos="2880"/>
                <w:tab w:val="left" w:pos="6045"/>
              </w:tabs>
              <w:spacing w:after="0" w:line="360" w:lineRule="auto"/>
              <w:ind w:left="138" w:right="168" w:firstLine="429"/>
              <w:jc w:val="both"/>
              <w:rPr>
                <w:rFonts w:ascii="GHEA Grapalat" w:hAnsi="GHEA Grapalat"/>
                <w:sz w:val="24"/>
                <w:szCs w:val="24"/>
              </w:rPr>
            </w:pPr>
            <w:r w:rsidRPr="00207094">
              <w:rPr>
                <w:rFonts w:ascii="GHEA Grapalat" w:eastAsia="Times New Roman" w:hAnsi="GHEA Grapalat"/>
                <w:sz w:val="24"/>
                <w:szCs w:val="24"/>
              </w:rPr>
              <w:t xml:space="preserve">Անցողիկ տարվա ընթացքում բացակայող փաստաթղթերի </w:t>
            </w:r>
            <w:r w:rsidRPr="00207094">
              <w:rPr>
                <w:rFonts w:ascii="GHEA Grapalat" w:eastAsia="Times New Roman" w:hAnsi="GHEA Grapalat"/>
                <w:sz w:val="24"/>
                <w:szCs w:val="24"/>
              </w:rPr>
              <w:lastRenderedPageBreak/>
              <w:t xml:space="preserve">հայտնաբերման, </w:t>
            </w:r>
            <w:r w:rsidRPr="00207094">
              <w:rPr>
                <w:rFonts w:ascii="GHEA Grapalat" w:hAnsi="GHEA Grapalat"/>
                <w:sz w:val="24"/>
                <w:szCs w:val="24"/>
                <w:lang w:val="af-ZA"/>
              </w:rPr>
              <w:t xml:space="preserve">իրավական </w:t>
            </w:r>
            <w:r w:rsidRPr="00207094">
              <w:rPr>
                <w:rFonts w:ascii="GHEA Grapalat" w:hAnsi="GHEA Grapalat"/>
                <w:sz w:val="24"/>
                <w:szCs w:val="24"/>
              </w:rPr>
              <w:t>հիմքերը պարզելու</w:t>
            </w:r>
            <w:r w:rsidRPr="00207094">
              <w:rPr>
                <w:rFonts w:ascii="GHEA Grapalat" w:eastAsia="Times New Roman" w:hAnsi="GHEA Grapalat"/>
                <w:sz w:val="24"/>
                <w:szCs w:val="24"/>
              </w:rPr>
              <w:t xml:space="preserve"> նպատակով պարբերաբար իրականացվել են բազմաթիվ հարցումներ, </w:t>
            </w:r>
            <w:r w:rsidRPr="00207094">
              <w:rPr>
                <w:rFonts w:ascii="GHEA Grapalat" w:hAnsi="GHEA Grapalat"/>
                <w:sz w:val="24"/>
                <w:szCs w:val="24"/>
                <w:lang w:val="af-ZA"/>
              </w:rPr>
              <w:t>փոխադարձ նամակագրություն</w:t>
            </w:r>
            <w:r w:rsidRPr="00207094">
              <w:rPr>
                <w:rFonts w:ascii="GHEA Grapalat" w:hAnsi="GHEA Grapalat"/>
                <w:sz w:val="24"/>
                <w:szCs w:val="24"/>
              </w:rPr>
              <w:t>ներ</w:t>
            </w:r>
            <w:r w:rsidRPr="00207094">
              <w:rPr>
                <w:rFonts w:ascii="GHEA Grapalat" w:eastAsia="Times New Roman" w:hAnsi="GHEA Grapalat"/>
                <w:sz w:val="24"/>
                <w:szCs w:val="24"/>
              </w:rPr>
              <w:t xml:space="preserve"> </w:t>
            </w:r>
            <w:r w:rsidRPr="00207094">
              <w:rPr>
                <w:rFonts w:ascii="GHEA Grapalat" w:hAnsi="GHEA Grapalat"/>
                <w:sz w:val="24"/>
                <w:szCs w:val="24"/>
                <w:lang w:val="af-ZA"/>
              </w:rPr>
              <w:t>համայնք</w:t>
            </w:r>
            <w:r w:rsidRPr="00207094">
              <w:rPr>
                <w:rFonts w:ascii="GHEA Grapalat" w:hAnsi="GHEA Grapalat"/>
                <w:sz w:val="24"/>
                <w:szCs w:val="24"/>
              </w:rPr>
              <w:t xml:space="preserve">ների և </w:t>
            </w:r>
            <w:r w:rsidRPr="00207094">
              <w:rPr>
                <w:rFonts w:ascii="GHEA Grapalat" w:eastAsia="Times New Roman" w:hAnsi="GHEA Grapalat"/>
                <w:sz w:val="24"/>
                <w:szCs w:val="24"/>
              </w:rPr>
              <w:t>մի շարք այլ շահագրգիռ կազմակերպություններ</w:t>
            </w:r>
            <w:r w:rsidRPr="00207094">
              <w:rPr>
                <w:rFonts w:ascii="GHEA Grapalat" w:hAnsi="GHEA Grapalat"/>
                <w:sz w:val="24"/>
                <w:szCs w:val="24"/>
                <w:lang w:val="af-ZA"/>
              </w:rPr>
              <w:t xml:space="preserve"> </w:t>
            </w:r>
            <w:r w:rsidRPr="00207094">
              <w:rPr>
                <w:rFonts w:ascii="GHEA Grapalat" w:hAnsi="GHEA Grapalat"/>
                <w:sz w:val="24"/>
                <w:szCs w:val="24"/>
              </w:rPr>
              <w:t xml:space="preserve">հետ։ </w:t>
            </w:r>
          </w:p>
          <w:p w14:paraId="735E142F" w14:textId="55163FE1" w:rsidR="006351B5" w:rsidRPr="0028531F" w:rsidRDefault="00EB3F7B" w:rsidP="00DE21AE">
            <w:pPr>
              <w:tabs>
                <w:tab w:val="left" w:pos="567"/>
                <w:tab w:val="left" w:pos="1440"/>
                <w:tab w:val="left" w:pos="2179"/>
                <w:tab w:val="left" w:pos="2880"/>
                <w:tab w:val="left" w:pos="6045"/>
              </w:tabs>
              <w:spacing w:after="0" w:line="360" w:lineRule="auto"/>
              <w:ind w:left="138" w:right="168" w:firstLine="567"/>
              <w:jc w:val="both"/>
              <w:rPr>
                <w:rFonts w:ascii="GHEA Grapalat" w:hAnsi="GHEA Grapalat"/>
                <w:sz w:val="24"/>
                <w:szCs w:val="24"/>
                <w:lang w:val="hy-AM"/>
              </w:rPr>
            </w:pPr>
            <w:r>
              <w:rPr>
                <w:rFonts w:ascii="GHEA Grapalat" w:hAnsi="GHEA Grapalat"/>
                <w:sz w:val="24"/>
                <w:szCs w:val="24"/>
                <w:lang w:val="hy-AM"/>
              </w:rPr>
              <w:t>Ինչ վերաբերվում է հ</w:t>
            </w:r>
            <w:r w:rsidR="006351B5" w:rsidRPr="00207094">
              <w:rPr>
                <w:rFonts w:ascii="GHEA Grapalat" w:hAnsi="GHEA Grapalat"/>
                <w:sz w:val="24"/>
                <w:szCs w:val="24"/>
              </w:rPr>
              <w:t xml:space="preserve">ողատարածքների </w:t>
            </w:r>
            <w:r w:rsidR="006351B5" w:rsidRPr="00207094">
              <w:rPr>
                <w:rFonts w:ascii="GHEA Grapalat" w:eastAsia="Times New Roman" w:hAnsi="GHEA Grapalat"/>
                <w:sz w:val="24"/>
                <w:szCs w:val="24"/>
              </w:rPr>
              <w:t>հետագա նպատակային օգտագործման և դրանց արդյունավետության բարձրացման</w:t>
            </w:r>
            <w:r w:rsidR="000360B7">
              <w:rPr>
                <w:rFonts w:ascii="GHEA Grapalat" w:eastAsia="Times New Roman" w:hAnsi="GHEA Grapalat"/>
                <w:sz w:val="24"/>
                <w:szCs w:val="24"/>
                <w:lang w:val="hy-AM"/>
              </w:rPr>
              <w:t>ը</w:t>
            </w:r>
            <w:r w:rsidR="00F64D9C">
              <w:rPr>
                <w:rFonts w:ascii="GHEA Grapalat" w:eastAsia="Times New Roman" w:hAnsi="GHEA Grapalat"/>
                <w:sz w:val="24"/>
                <w:szCs w:val="24"/>
                <w:lang w:val="hy-AM"/>
              </w:rPr>
              <w:t>,</w:t>
            </w:r>
            <w:r w:rsidR="006351B5" w:rsidRPr="00207094">
              <w:rPr>
                <w:rFonts w:ascii="GHEA Grapalat" w:eastAsia="Times New Roman" w:hAnsi="GHEA Grapalat"/>
                <w:sz w:val="24"/>
                <w:szCs w:val="24"/>
              </w:rPr>
              <w:t xml:space="preserve"> </w:t>
            </w:r>
            <w:r w:rsidR="00F64D9C">
              <w:rPr>
                <w:rFonts w:ascii="GHEA Grapalat" w:eastAsia="Times New Roman" w:hAnsi="GHEA Grapalat"/>
                <w:sz w:val="24"/>
                <w:szCs w:val="24"/>
                <w:lang w:val="hy-AM"/>
              </w:rPr>
              <w:t>ապա</w:t>
            </w:r>
            <w:r w:rsidR="006351B5" w:rsidRPr="00207094">
              <w:rPr>
                <w:rFonts w:ascii="GHEA Grapalat" w:eastAsia="Times New Roman" w:hAnsi="GHEA Grapalat"/>
                <w:sz w:val="24"/>
                <w:szCs w:val="24"/>
              </w:rPr>
              <w:t xml:space="preserve"> </w:t>
            </w:r>
            <w:r w:rsidR="006351B5">
              <w:rPr>
                <w:rFonts w:ascii="GHEA Grapalat" w:eastAsia="Times New Roman" w:hAnsi="GHEA Grapalat"/>
                <w:sz w:val="24"/>
                <w:szCs w:val="24"/>
                <w:lang w:val="hy-AM"/>
              </w:rPr>
              <w:t xml:space="preserve">անհրաժեշտ </w:t>
            </w:r>
            <w:r w:rsidR="000208A1">
              <w:rPr>
                <w:rFonts w:ascii="GHEA Grapalat" w:eastAsia="Times New Roman" w:hAnsi="GHEA Grapalat"/>
                <w:sz w:val="24"/>
                <w:szCs w:val="24"/>
                <w:lang w:val="hy-AM"/>
              </w:rPr>
              <w:t>ենք համարում</w:t>
            </w:r>
            <w:r w:rsidR="006351B5">
              <w:rPr>
                <w:rFonts w:ascii="GHEA Grapalat" w:eastAsia="Times New Roman" w:hAnsi="GHEA Grapalat"/>
                <w:sz w:val="24"/>
                <w:szCs w:val="24"/>
                <w:lang w:val="hy-AM"/>
              </w:rPr>
              <w:t xml:space="preserve"> </w:t>
            </w:r>
            <w:r w:rsidR="00955F79" w:rsidRPr="00207094">
              <w:rPr>
                <w:rFonts w:ascii="GHEA Grapalat" w:eastAsia="Times New Roman" w:hAnsi="GHEA Grapalat"/>
                <w:sz w:val="24"/>
                <w:szCs w:val="24"/>
              </w:rPr>
              <w:t>հաշվի առնելով</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Հայաստանի</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Հանրապետությունում</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առկա</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թվով</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իննը</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բնակլիմայական</w:t>
            </w:r>
            <w:r w:rsidR="00955F79" w:rsidRPr="00207094">
              <w:rPr>
                <w:rFonts w:ascii="GHEA Grapalat" w:eastAsia="Times New Roman" w:hAnsi="GHEA Grapalat"/>
                <w:sz w:val="24"/>
                <w:szCs w:val="24"/>
                <w:lang w:val="af-ZA"/>
              </w:rPr>
              <w:t xml:space="preserve"> </w:t>
            </w:r>
            <w:r w:rsidR="00955F79" w:rsidRPr="00207094">
              <w:rPr>
                <w:rFonts w:ascii="GHEA Grapalat" w:eastAsia="Times New Roman" w:hAnsi="GHEA Grapalat"/>
                <w:sz w:val="24"/>
                <w:szCs w:val="24"/>
              </w:rPr>
              <w:t>պայմանները</w:t>
            </w:r>
            <w:r w:rsidR="00955F79">
              <w:rPr>
                <w:rFonts w:ascii="GHEA Grapalat" w:eastAsia="Times New Roman" w:hAnsi="GHEA Grapalat"/>
                <w:sz w:val="24"/>
                <w:szCs w:val="24"/>
                <w:lang w:val="hy-AM"/>
              </w:rPr>
              <w:t>,</w:t>
            </w:r>
            <w:r w:rsidR="00955F79" w:rsidRPr="00207094">
              <w:rPr>
                <w:rFonts w:ascii="GHEA Grapalat" w:eastAsia="Times New Roman" w:hAnsi="GHEA Grapalat"/>
                <w:sz w:val="24"/>
                <w:szCs w:val="24"/>
              </w:rPr>
              <w:t xml:space="preserve"> </w:t>
            </w:r>
            <w:r w:rsidR="005377B2" w:rsidRPr="00207094">
              <w:rPr>
                <w:rFonts w:ascii="GHEA Grapalat" w:eastAsia="Times New Roman" w:hAnsi="GHEA Grapalat"/>
                <w:sz w:val="24"/>
                <w:szCs w:val="24"/>
              </w:rPr>
              <w:t>յուրաքանչյուր</w:t>
            </w:r>
            <w:r w:rsidR="005377B2" w:rsidRPr="00207094">
              <w:rPr>
                <w:rFonts w:ascii="GHEA Grapalat" w:eastAsia="Times New Roman" w:hAnsi="GHEA Grapalat"/>
                <w:sz w:val="24"/>
                <w:szCs w:val="24"/>
                <w:lang w:val="af-ZA"/>
              </w:rPr>
              <w:t xml:space="preserve"> </w:t>
            </w:r>
            <w:r w:rsidR="005377B2" w:rsidRPr="00207094">
              <w:rPr>
                <w:rFonts w:ascii="GHEA Grapalat" w:eastAsia="Times New Roman" w:hAnsi="GHEA Grapalat"/>
                <w:sz w:val="24"/>
                <w:szCs w:val="24"/>
              </w:rPr>
              <w:t>համայնքում</w:t>
            </w:r>
            <w:r w:rsidR="005377B2" w:rsidRPr="00207094">
              <w:rPr>
                <w:rFonts w:ascii="GHEA Grapalat" w:hAnsi="GHEA Grapalat"/>
                <w:sz w:val="24"/>
                <w:szCs w:val="24"/>
              </w:rPr>
              <w:t xml:space="preserve"> </w:t>
            </w:r>
            <w:r w:rsidR="00955F79">
              <w:rPr>
                <w:rFonts w:ascii="GHEA Grapalat" w:eastAsia="Times New Roman" w:hAnsi="GHEA Grapalat"/>
                <w:sz w:val="24"/>
                <w:szCs w:val="24"/>
                <w:lang w:val="hy-AM"/>
              </w:rPr>
              <w:t xml:space="preserve">առանձնացնել </w:t>
            </w:r>
            <w:r w:rsidR="00955F79" w:rsidRPr="00207094">
              <w:rPr>
                <w:rFonts w:ascii="GHEA Grapalat" w:eastAsia="Times New Roman" w:hAnsi="GHEA Grapalat"/>
                <w:sz w:val="24"/>
                <w:szCs w:val="24"/>
              </w:rPr>
              <w:t xml:space="preserve">մինչև </w:t>
            </w:r>
            <w:r w:rsidR="00955F79" w:rsidRPr="00207094">
              <w:rPr>
                <w:rFonts w:ascii="GHEA Grapalat" w:eastAsia="Times New Roman" w:hAnsi="GHEA Grapalat"/>
                <w:sz w:val="24"/>
                <w:szCs w:val="24"/>
                <w:lang w:val="af-ZA"/>
              </w:rPr>
              <w:t xml:space="preserve">0.5 </w:t>
            </w:r>
            <w:r w:rsidR="00955F79" w:rsidRPr="00207094">
              <w:rPr>
                <w:rFonts w:ascii="GHEA Grapalat" w:eastAsia="Times New Roman" w:hAnsi="GHEA Grapalat"/>
                <w:sz w:val="24"/>
                <w:szCs w:val="24"/>
              </w:rPr>
              <w:t>հեկտար</w:t>
            </w:r>
            <w:r w:rsidR="00955F79" w:rsidRPr="00207094">
              <w:rPr>
                <w:rFonts w:ascii="GHEA Grapalat" w:eastAsia="Times New Roman" w:hAnsi="GHEA Grapalat"/>
                <w:sz w:val="24"/>
                <w:szCs w:val="24"/>
                <w:lang w:val="af-ZA"/>
              </w:rPr>
              <w:t xml:space="preserve"> </w:t>
            </w:r>
            <w:r w:rsidR="00955F79">
              <w:rPr>
                <w:rFonts w:ascii="GHEA Grapalat" w:eastAsia="Times New Roman" w:hAnsi="GHEA Grapalat"/>
                <w:sz w:val="24"/>
                <w:szCs w:val="24"/>
                <w:lang w:val="hy-AM"/>
              </w:rPr>
              <w:t xml:space="preserve">չափով </w:t>
            </w:r>
            <w:r w:rsidR="00955F79" w:rsidRPr="00207094">
              <w:rPr>
                <w:rFonts w:ascii="GHEA Grapalat" w:eastAsia="Times New Roman" w:hAnsi="GHEA Grapalat"/>
                <w:sz w:val="24"/>
                <w:szCs w:val="24"/>
              </w:rPr>
              <w:t>հողատարածք</w:t>
            </w:r>
            <w:r w:rsidR="000208A1">
              <w:rPr>
                <w:rFonts w:ascii="GHEA Grapalat" w:eastAsia="Times New Roman" w:hAnsi="GHEA Grapalat"/>
                <w:sz w:val="24"/>
                <w:szCs w:val="24"/>
                <w:lang w:val="hy-AM"/>
              </w:rPr>
              <w:t xml:space="preserve"> </w:t>
            </w:r>
            <w:r w:rsidR="000208A1">
              <w:rPr>
                <w:rFonts w:ascii="GHEA Grapalat" w:eastAsia="Times New Roman" w:hAnsi="GHEA Grapalat"/>
                <w:sz w:val="24"/>
                <w:szCs w:val="24"/>
                <w:lang w:val="hy-AM"/>
              </w:rPr>
              <w:lastRenderedPageBreak/>
              <w:t>և</w:t>
            </w:r>
            <w:r w:rsidR="00955F79" w:rsidRPr="00207094">
              <w:rPr>
                <w:rFonts w:ascii="GHEA Grapalat" w:hAnsi="GHEA Grapalat"/>
                <w:sz w:val="24"/>
                <w:szCs w:val="24"/>
              </w:rPr>
              <w:t xml:space="preserve"> </w:t>
            </w:r>
            <w:r w:rsidR="00766D7D">
              <w:rPr>
                <w:rFonts w:ascii="GHEA Grapalat" w:hAnsi="GHEA Grapalat"/>
                <w:sz w:val="24"/>
                <w:szCs w:val="24"/>
                <w:lang w:val="hy-AM"/>
              </w:rPr>
              <w:t>հատկացնել կազմակերպությանը</w:t>
            </w:r>
            <w:r w:rsidR="00F10E41">
              <w:rPr>
                <w:rFonts w:ascii="GHEA Grapalat" w:hAnsi="GHEA Grapalat"/>
                <w:sz w:val="24"/>
                <w:szCs w:val="24"/>
                <w:lang w:val="hy-AM"/>
              </w:rPr>
              <w:t>՝</w:t>
            </w:r>
            <w:r w:rsidR="00444956" w:rsidRPr="00207094">
              <w:rPr>
                <w:rFonts w:ascii="GHEA Grapalat" w:eastAsia="Times New Roman" w:hAnsi="GHEA Grapalat"/>
                <w:sz w:val="24"/>
                <w:szCs w:val="24"/>
              </w:rPr>
              <w:t xml:space="preserve"> հետագա փորձարարություններ</w:t>
            </w:r>
            <w:r w:rsidR="00444956" w:rsidRPr="00207094">
              <w:rPr>
                <w:rFonts w:ascii="GHEA Grapalat" w:eastAsia="Times New Roman" w:hAnsi="GHEA Grapalat"/>
                <w:sz w:val="24"/>
                <w:szCs w:val="24"/>
                <w:lang w:val="af-ZA"/>
              </w:rPr>
              <w:t xml:space="preserve"> </w:t>
            </w:r>
            <w:r w:rsidR="00444956" w:rsidRPr="00207094">
              <w:rPr>
                <w:rFonts w:ascii="GHEA Grapalat" w:eastAsia="Times New Roman" w:hAnsi="GHEA Grapalat"/>
                <w:sz w:val="24"/>
                <w:szCs w:val="24"/>
              </w:rPr>
              <w:t>կատարելու</w:t>
            </w:r>
            <w:r w:rsidR="00444956" w:rsidRPr="00207094">
              <w:rPr>
                <w:rFonts w:ascii="GHEA Grapalat" w:eastAsia="Times New Roman" w:hAnsi="GHEA Grapalat"/>
                <w:sz w:val="24"/>
                <w:szCs w:val="24"/>
                <w:lang w:val="af-ZA"/>
              </w:rPr>
              <w:t xml:space="preserve"> </w:t>
            </w:r>
            <w:r w:rsidR="00444956" w:rsidRPr="00207094">
              <w:rPr>
                <w:rFonts w:ascii="GHEA Grapalat" w:eastAsia="Times New Roman" w:hAnsi="GHEA Grapalat"/>
                <w:sz w:val="24"/>
                <w:szCs w:val="24"/>
              </w:rPr>
              <w:t>նպատակով</w:t>
            </w:r>
            <w:r w:rsidR="00222F3B">
              <w:rPr>
                <w:rFonts w:ascii="GHEA Grapalat" w:hAnsi="GHEA Grapalat"/>
                <w:sz w:val="24"/>
                <w:szCs w:val="24"/>
                <w:lang w:val="hy-AM"/>
              </w:rPr>
              <w:t>, իսկ մնացյալ</w:t>
            </w:r>
            <w:r w:rsidR="00766D7D">
              <w:rPr>
                <w:rFonts w:ascii="GHEA Grapalat" w:hAnsi="GHEA Grapalat"/>
                <w:sz w:val="24"/>
                <w:szCs w:val="24"/>
                <w:lang w:val="hy-AM"/>
              </w:rPr>
              <w:t xml:space="preserve"> </w:t>
            </w:r>
            <w:r w:rsidR="006351B5" w:rsidRPr="00207094">
              <w:rPr>
                <w:rFonts w:ascii="GHEA Grapalat" w:hAnsi="GHEA Grapalat"/>
                <w:sz w:val="24"/>
                <w:szCs w:val="24"/>
              </w:rPr>
              <w:t>հողատարածքներ</w:t>
            </w:r>
            <w:r w:rsidR="00222F3B">
              <w:rPr>
                <w:rFonts w:ascii="GHEA Grapalat" w:hAnsi="GHEA Grapalat"/>
                <w:sz w:val="24"/>
                <w:szCs w:val="24"/>
                <w:lang w:val="hy-AM"/>
              </w:rPr>
              <w:t>ը</w:t>
            </w:r>
            <w:r w:rsidR="006351B5" w:rsidRPr="00207094">
              <w:rPr>
                <w:rFonts w:ascii="GHEA Grapalat" w:hAnsi="GHEA Grapalat"/>
                <w:sz w:val="24"/>
                <w:szCs w:val="24"/>
              </w:rPr>
              <w:t xml:space="preserve"> </w:t>
            </w:r>
            <w:r w:rsidR="00CC6F51">
              <w:rPr>
                <w:rFonts w:ascii="GHEA Grapalat" w:hAnsi="GHEA Grapalat"/>
                <w:sz w:val="24"/>
                <w:szCs w:val="24"/>
                <w:lang w:val="hy-AM"/>
              </w:rPr>
              <w:t xml:space="preserve"> </w:t>
            </w:r>
            <w:r w:rsidR="00444956" w:rsidRPr="00207094">
              <w:rPr>
                <w:rFonts w:ascii="GHEA Grapalat" w:hAnsi="GHEA Grapalat"/>
                <w:spacing w:val="-2"/>
                <w:sz w:val="24"/>
                <w:szCs w:val="24"/>
              </w:rPr>
              <w:t>անհատույց, անժամկետ օգտագործման</w:t>
            </w:r>
            <w:r w:rsidR="00444956">
              <w:rPr>
                <w:rFonts w:ascii="GHEA Grapalat" w:hAnsi="GHEA Grapalat"/>
                <w:sz w:val="24"/>
                <w:szCs w:val="24"/>
                <w:lang w:val="hy-AM"/>
              </w:rPr>
              <w:t xml:space="preserve"> իրավունքով </w:t>
            </w:r>
            <w:r w:rsidR="00222F3B">
              <w:rPr>
                <w:rFonts w:ascii="GHEA Grapalat" w:hAnsi="GHEA Grapalat"/>
                <w:sz w:val="24"/>
                <w:szCs w:val="24"/>
                <w:lang w:val="hy-AM"/>
              </w:rPr>
              <w:t>հատկացնել</w:t>
            </w:r>
            <w:r w:rsidR="00444956">
              <w:rPr>
                <w:rFonts w:ascii="GHEA Grapalat" w:hAnsi="GHEA Grapalat"/>
                <w:sz w:val="24"/>
                <w:szCs w:val="24"/>
                <w:lang w:val="hy-AM"/>
              </w:rPr>
              <w:t xml:space="preserve"> </w:t>
            </w:r>
            <w:r w:rsidR="00E82697">
              <w:rPr>
                <w:rFonts w:ascii="GHEA Grapalat" w:hAnsi="GHEA Grapalat"/>
                <w:sz w:val="24"/>
                <w:szCs w:val="24"/>
                <w:lang w:val="hy-AM"/>
              </w:rPr>
              <w:t>Նախարարության են</w:t>
            </w:r>
            <w:r w:rsidR="00501D7A">
              <w:rPr>
                <w:rFonts w:ascii="GHEA Grapalat" w:hAnsi="GHEA Grapalat"/>
                <w:sz w:val="24"/>
                <w:szCs w:val="24"/>
                <w:lang w:val="hy-AM"/>
              </w:rPr>
              <w:t>թ</w:t>
            </w:r>
            <w:r w:rsidR="00E82697">
              <w:rPr>
                <w:rFonts w:ascii="GHEA Grapalat" w:hAnsi="GHEA Grapalat"/>
                <w:sz w:val="24"/>
                <w:szCs w:val="24"/>
                <w:lang w:val="hy-AM"/>
              </w:rPr>
              <w:t>ակա կազմակե</w:t>
            </w:r>
            <w:r w:rsidR="006124E2">
              <w:rPr>
                <w:rFonts w:ascii="GHEA Grapalat" w:hAnsi="GHEA Grapalat"/>
                <w:sz w:val="24"/>
                <w:szCs w:val="24"/>
                <w:lang w:val="hy-AM"/>
              </w:rPr>
              <w:t xml:space="preserve">րպություններին՝ մասնավորապես </w:t>
            </w:r>
            <w:r w:rsidRPr="0028531F">
              <w:rPr>
                <w:b/>
                <w:sz w:val="24"/>
                <w:szCs w:val="24"/>
                <w:lang w:val="hy-AM"/>
              </w:rPr>
              <w:t>«</w:t>
            </w:r>
            <w:r w:rsidRPr="0028531F">
              <w:rPr>
                <w:rFonts w:ascii="GHEA Grapalat" w:hAnsi="GHEA Grapalat"/>
                <w:sz w:val="24"/>
                <w:szCs w:val="24"/>
                <w:lang w:val="hy-AM"/>
              </w:rPr>
              <w:t>Երկրագործության գիտական կենտրոն» և «Գյումրիի սելեկցիոն կայան» փակ բաժնետիրական ընկերություններին</w:t>
            </w:r>
            <w:r w:rsidR="004A6524">
              <w:rPr>
                <w:rFonts w:ascii="GHEA Grapalat" w:hAnsi="GHEA Grapalat"/>
                <w:sz w:val="24"/>
                <w:szCs w:val="24"/>
                <w:lang w:val="hy-AM"/>
              </w:rPr>
              <w:t xml:space="preserve"> վերջինների կողմից կանոնադրական </w:t>
            </w:r>
            <w:r w:rsidR="00A3313D">
              <w:rPr>
                <w:rFonts w:ascii="GHEA Grapalat" w:hAnsi="GHEA Grapalat"/>
                <w:sz w:val="24"/>
                <w:szCs w:val="24"/>
                <w:lang w:val="hy-AM"/>
              </w:rPr>
              <w:t>գործառույթներ իրականացնելու նպատակով։</w:t>
            </w:r>
          </w:p>
          <w:p w14:paraId="515DB3F4" w14:textId="77777777" w:rsidR="008B3F83" w:rsidRPr="00A8531D" w:rsidRDefault="008B3F83" w:rsidP="008948DE">
            <w:pPr>
              <w:ind w:left="149" w:right="168"/>
              <w:jc w:val="both"/>
              <w:rPr>
                <w:rFonts w:ascii="GHEA Grapalat" w:eastAsia="Times New Roman" w:hAnsi="GHEA Grapalat" w:cs="Times New Roman"/>
                <w:bCs/>
                <w:iCs/>
                <w:color w:val="000000"/>
                <w:sz w:val="24"/>
                <w:szCs w:val="24"/>
                <w:lang w:val="af-ZA"/>
              </w:rPr>
            </w:pPr>
          </w:p>
        </w:tc>
      </w:tr>
      <w:bookmarkEnd w:id="0"/>
    </w:tbl>
    <w:p w14:paraId="3C63C9E1" w14:textId="77777777" w:rsidR="004370E0" w:rsidRDefault="004370E0"/>
    <w:sectPr w:rsidR="004370E0" w:rsidSect="008B3F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84AB1"/>
    <w:multiLevelType w:val="hybridMultilevel"/>
    <w:tmpl w:val="6C9E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34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E0"/>
    <w:rsid w:val="000208A1"/>
    <w:rsid w:val="000360B7"/>
    <w:rsid w:val="00044509"/>
    <w:rsid w:val="001012E7"/>
    <w:rsid w:val="001871DD"/>
    <w:rsid w:val="00222F3B"/>
    <w:rsid w:val="002448E1"/>
    <w:rsid w:val="00245CCB"/>
    <w:rsid w:val="0028531F"/>
    <w:rsid w:val="002971AF"/>
    <w:rsid w:val="00417923"/>
    <w:rsid w:val="004370E0"/>
    <w:rsid w:val="00444956"/>
    <w:rsid w:val="004727CC"/>
    <w:rsid w:val="004A03BA"/>
    <w:rsid w:val="004A6524"/>
    <w:rsid w:val="004C01C9"/>
    <w:rsid w:val="00501D7A"/>
    <w:rsid w:val="00514A3B"/>
    <w:rsid w:val="005377B2"/>
    <w:rsid w:val="005A32F4"/>
    <w:rsid w:val="0061195C"/>
    <w:rsid w:val="006124E2"/>
    <w:rsid w:val="006351B5"/>
    <w:rsid w:val="006A1C03"/>
    <w:rsid w:val="006F0AD2"/>
    <w:rsid w:val="00766D7D"/>
    <w:rsid w:val="007A18B8"/>
    <w:rsid w:val="008B3F83"/>
    <w:rsid w:val="008C120D"/>
    <w:rsid w:val="008C4334"/>
    <w:rsid w:val="00955F79"/>
    <w:rsid w:val="00997AF5"/>
    <w:rsid w:val="009E5AEE"/>
    <w:rsid w:val="00A23297"/>
    <w:rsid w:val="00A3313D"/>
    <w:rsid w:val="00A44CC8"/>
    <w:rsid w:val="00CC6F51"/>
    <w:rsid w:val="00DE21AE"/>
    <w:rsid w:val="00DE2949"/>
    <w:rsid w:val="00DF2AE0"/>
    <w:rsid w:val="00E5499C"/>
    <w:rsid w:val="00E82697"/>
    <w:rsid w:val="00EB3F7B"/>
    <w:rsid w:val="00F10E41"/>
    <w:rsid w:val="00F6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C783"/>
  <w15:chartTrackingRefBased/>
  <w15:docId w15:val="{66A131B2-A1D0-4DEE-9784-5B0352C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8B3F83"/>
    <w:rPr>
      <w:rFonts w:ascii="Times New Roman" w:eastAsia="Times New Roman" w:hAnsi="Times New Roman" w:cs="Times New Roman"/>
      <w:bCs/>
      <w:iCs/>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Знак Знак,Char Char Char1,Char"/>
    <w:basedOn w:val="Normal"/>
    <w:link w:val="NormalWebChar"/>
    <w:uiPriority w:val="99"/>
    <w:unhideWhenUsed/>
    <w:qFormat/>
    <w:rsid w:val="008B3F83"/>
    <w:pPr>
      <w:spacing w:after="200" w:line="276" w:lineRule="auto"/>
      <w:ind w:left="720"/>
      <w:contextualSpacing/>
    </w:pPr>
    <w:rPr>
      <w:rFonts w:ascii="Times New Roman" w:eastAsia="Times New Roman" w:hAnsi="Times New Roman" w:cs="Times New Roman"/>
      <w:bCs/>
      <w:iCs/>
      <w:sz w:val="24"/>
      <w:szCs w:val="24"/>
    </w:r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514A3B"/>
    <w:pPr>
      <w:ind w:left="720"/>
      <w:contextualSpacing/>
    </w:p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514A3B"/>
  </w:style>
  <w:style w:type="character" w:styleId="Strong">
    <w:name w:val="Strong"/>
    <w:basedOn w:val="DefaultParagraphFont"/>
    <w:uiPriority w:val="22"/>
    <w:qFormat/>
    <w:rsid w:val="00635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7443">
      <w:bodyDiv w:val="1"/>
      <w:marLeft w:val="0"/>
      <w:marRight w:val="0"/>
      <w:marTop w:val="0"/>
      <w:marBottom w:val="0"/>
      <w:divBdr>
        <w:top w:val="none" w:sz="0" w:space="0" w:color="auto"/>
        <w:left w:val="none" w:sz="0" w:space="0" w:color="auto"/>
        <w:bottom w:val="none" w:sz="0" w:space="0" w:color="auto"/>
        <w:right w:val="none" w:sz="0" w:space="0" w:color="auto"/>
      </w:divBdr>
    </w:div>
    <w:div w:id="20048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Hrachya B. Nikovhosyan</dc:creator>
  <cp:keywords/>
  <dc:description/>
  <cp:lastModifiedBy>Hrachya B. Nikovhosyan</cp:lastModifiedBy>
  <cp:revision>5</cp:revision>
  <dcterms:created xsi:type="dcterms:W3CDTF">2022-10-24T13:34:00Z</dcterms:created>
  <dcterms:modified xsi:type="dcterms:W3CDTF">2022-10-27T11:32:00Z</dcterms:modified>
</cp:coreProperties>
</file>