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D3D" w:rsidRPr="00C03D3D" w:rsidRDefault="00C03D3D" w:rsidP="00C03D3D">
      <w:pPr>
        <w:spacing w:after="0" w:line="360" w:lineRule="auto"/>
        <w:rPr>
          <w:b/>
          <w:lang w:val="hy-AM"/>
        </w:rPr>
      </w:pPr>
    </w:p>
    <w:p w:rsidR="00C03D3D" w:rsidRPr="00C03D3D" w:rsidRDefault="00C03D3D" w:rsidP="00C03D3D">
      <w:pPr>
        <w:spacing w:after="0" w:line="360" w:lineRule="auto"/>
        <w:rPr>
          <w:b/>
          <w:lang w:val="hy-AM"/>
        </w:rPr>
      </w:pPr>
      <w:bookmarkStart w:id="0" w:name="_GoBack"/>
    </w:p>
    <w:bookmarkEnd w:id="0"/>
    <w:p w:rsidR="00C03D3D" w:rsidRPr="00C03D3D" w:rsidRDefault="00C03D3D" w:rsidP="00C03D3D">
      <w:pPr>
        <w:spacing w:after="0" w:line="360" w:lineRule="auto"/>
        <w:jc w:val="center"/>
        <w:rPr>
          <w:b/>
          <w:lang w:val="hy-AM"/>
        </w:rPr>
      </w:pPr>
      <w:r w:rsidRPr="00C03D3D">
        <w:rPr>
          <w:b/>
          <w:lang w:val="hy-AM"/>
        </w:rPr>
        <w:t>Ա Մ Փ Ո Փ Ա Թ Ե Ր Թ</w:t>
      </w:r>
    </w:p>
    <w:p w:rsidR="00C03D3D" w:rsidRPr="00C03D3D" w:rsidRDefault="00C03D3D" w:rsidP="00C03D3D">
      <w:pPr>
        <w:tabs>
          <w:tab w:val="left" w:pos="5253"/>
        </w:tabs>
        <w:spacing w:after="0" w:line="360" w:lineRule="auto"/>
        <w:jc w:val="center"/>
        <w:rPr>
          <w:b/>
          <w:bCs/>
          <w:lang w:val="hy-AM"/>
        </w:rPr>
      </w:pPr>
      <w:r w:rsidRPr="00C03D3D">
        <w:rPr>
          <w:b/>
          <w:bCs/>
          <w:lang w:val="hy-AM"/>
        </w:rPr>
        <w:t xml:space="preserve">«ՊԵՏԱԿԱՆ ՊԱՇՏՈՆՆԵՐ ԵՎ ՊԵՏԱԿԱՆ ԾԱՌԱՅՈՒԹՅԱՆ ՊԱՇՏՈՆՆԵՐ ԶԲԱՂԵՑՆՈՂ ԱՆՁԱՆՑ ՎԱՐՁԱՏՐՈՒԹՅԱՆ ՄԱՍԻՆ» ՕՐԵՆՔՈՒՄ ՓՈՓՈԽՈՒԹՅՈՒՆՆԵՐ ԿԱՏԱՐԵԼՈՒ ՄԱՍԻՆ» ՕՐԵՆՔԻ ՆԱԽԱԳԾԻ (ԱՅՍՈՒՀԵՏ՝ ՆԱԽԱԳԻԾ) </w:t>
      </w:r>
    </w:p>
    <w:tbl>
      <w:tblPr>
        <w:tblW w:w="4743"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740"/>
        <w:gridCol w:w="3827"/>
        <w:gridCol w:w="3239"/>
      </w:tblGrid>
      <w:tr w:rsidR="00C03D3D" w:rsidRPr="00C03D3D" w:rsidTr="005904E5">
        <w:trPr>
          <w:tblCellSpacing w:w="0" w:type="dxa"/>
          <w:jc w:val="center"/>
        </w:trPr>
        <w:tc>
          <w:tcPr>
            <w:tcW w:w="3827" w:type="pct"/>
            <w:gridSpan w:val="2"/>
            <w:vMerge w:val="restart"/>
            <w:tcBorders>
              <w:top w:val="outset" w:sz="6" w:space="0" w:color="auto"/>
              <w:left w:val="outset" w:sz="6" w:space="0" w:color="auto"/>
              <w:bottom w:val="outset" w:sz="6" w:space="0" w:color="auto"/>
              <w:right w:val="outset" w:sz="6" w:space="0" w:color="auto"/>
            </w:tcBorders>
            <w:shd w:val="clear" w:color="auto" w:fill="D0D0D0"/>
            <w:hideMark/>
          </w:tcPr>
          <w:p w:rsidR="00C03D3D" w:rsidRPr="00C03D3D" w:rsidRDefault="00C03D3D" w:rsidP="00C03D3D">
            <w:pPr>
              <w:tabs>
                <w:tab w:val="left" w:pos="5253"/>
              </w:tabs>
              <w:spacing w:after="0" w:line="360" w:lineRule="auto"/>
              <w:jc w:val="center"/>
              <w:rPr>
                <w:b/>
                <w:bCs/>
                <w:lang w:val="hy-AM"/>
              </w:rPr>
            </w:pPr>
            <w:r w:rsidRPr="00C03D3D">
              <w:rPr>
                <w:rFonts w:cs="GHEA Grapalat"/>
                <w:b/>
                <w:bCs/>
              </w:rPr>
              <w:t>1</w:t>
            </w:r>
            <w:r w:rsidRPr="00C03D3D">
              <w:rPr>
                <w:rFonts w:cs="GHEA Grapalat"/>
                <w:b/>
                <w:bCs/>
                <w:lang w:val="hy-AM"/>
              </w:rPr>
              <w:t>. Արդարադատության նախարարություն</w:t>
            </w:r>
          </w:p>
        </w:tc>
        <w:tc>
          <w:tcPr>
            <w:tcW w:w="1173" w:type="pct"/>
            <w:tcBorders>
              <w:top w:val="outset" w:sz="6" w:space="0" w:color="auto"/>
              <w:left w:val="outset" w:sz="6" w:space="0" w:color="auto"/>
              <w:bottom w:val="outset" w:sz="6" w:space="0" w:color="auto"/>
              <w:right w:val="outset" w:sz="6" w:space="0" w:color="auto"/>
            </w:tcBorders>
            <w:shd w:val="clear" w:color="auto" w:fill="D0D0D0"/>
            <w:hideMark/>
          </w:tcPr>
          <w:p w:rsidR="00C03D3D" w:rsidRPr="00C03D3D" w:rsidRDefault="00C03D3D" w:rsidP="00C03D3D">
            <w:pPr>
              <w:tabs>
                <w:tab w:val="left" w:pos="5253"/>
              </w:tabs>
              <w:spacing w:after="0" w:line="360" w:lineRule="auto"/>
              <w:rPr>
                <w:b/>
                <w:bCs/>
                <w:i/>
                <w:lang w:val="hy-AM"/>
              </w:rPr>
            </w:pPr>
            <w:r w:rsidRPr="00C03D3D">
              <w:rPr>
                <w:b/>
                <w:bCs/>
                <w:lang w:val="hy-AM"/>
              </w:rPr>
              <w:t>25.10.2022</w:t>
            </w:r>
          </w:p>
        </w:tc>
      </w:tr>
      <w:tr w:rsidR="00C03D3D" w:rsidRPr="00C03D3D" w:rsidTr="005904E5">
        <w:trPr>
          <w:trHeight w:val="853"/>
          <w:tblCellSpacing w:w="0" w:type="dxa"/>
          <w:jc w:val="center"/>
        </w:trPr>
        <w:tc>
          <w:tcPr>
            <w:tcW w:w="3827" w:type="pct"/>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03D3D" w:rsidRPr="00C03D3D" w:rsidRDefault="00C03D3D" w:rsidP="00C03D3D">
            <w:pPr>
              <w:tabs>
                <w:tab w:val="left" w:pos="5253"/>
              </w:tabs>
              <w:spacing w:after="0" w:line="360" w:lineRule="auto"/>
              <w:rPr>
                <w:b/>
                <w:bCs/>
                <w:lang w:val="hy-AM"/>
              </w:rPr>
            </w:pPr>
          </w:p>
        </w:tc>
        <w:tc>
          <w:tcPr>
            <w:tcW w:w="1173" w:type="pct"/>
            <w:tcBorders>
              <w:top w:val="outset" w:sz="6" w:space="0" w:color="auto"/>
              <w:left w:val="outset" w:sz="6" w:space="0" w:color="auto"/>
              <w:bottom w:val="outset" w:sz="6" w:space="0" w:color="auto"/>
              <w:right w:val="outset" w:sz="6" w:space="0" w:color="auto"/>
            </w:tcBorders>
            <w:shd w:val="clear" w:color="auto" w:fill="D0D0D0"/>
            <w:hideMark/>
          </w:tcPr>
          <w:p w:rsidR="00C03D3D" w:rsidRPr="00C03D3D" w:rsidRDefault="00C03D3D" w:rsidP="00C03D3D">
            <w:pPr>
              <w:tabs>
                <w:tab w:val="left" w:pos="5253"/>
              </w:tabs>
              <w:spacing w:after="0" w:line="360" w:lineRule="auto"/>
              <w:rPr>
                <w:b/>
                <w:bCs/>
                <w:lang w:val="hy-AM"/>
              </w:rPr>
            </w:pPr>
            <w:r w:rsidRPr="00C03D3D">
              <w:rPr>
                <w:b/>
                <w:bCs/>
                <w:lang w:val="hy-AM"/>
              </w:rPr>
              <w:t>N /27.1/47130-2022</w:t>
            </w:r>
          </w:p>
        </w:tc>
      </w:tr>
      <w:tr w:rsidR="00C03D3D" w:rsidRPr="00C03D3D" w:rsidTr="005904E5">
        <w:trPr>
          <w:tblCellSpacing w:w="0" w:type="dxa"/>
          <w:jc w:val="center"/>
        </w:trPr>
        <w:tc>
          <w:tcPr>
            <w:tcW w:w="2441" w:type="pct"/>
            <w:tcBorders>
              <w:top w:val="outset" w:sz="6" w:space="0" w:color="auto"/>
              <w:left w:val="outset" w:sz="6" w:space="0" w:color="auto"/>
              <w:bottom w:val="outset" w:sz="6" w:space="0" w:color="auto"/>
              <w:right w:val="outset" w:sz="6" w:space="0" w:color="auto"/>
            </w:tcBorders>
            <w:shd w:val="clear" w:color="auto" w:fill="FFFFFF"/>
            <w:hideMark/>
          </w:tcPr>
          <w:p w:rsidR="00C03D3D" w:rsidRPr="00C03D3D" w:rsidRDefault="00C03D3D" w:rsidP="00C03D3D">
            <w:pPr>
              <w:tabs>
                <w:tab w:val="left" w:pos="5253"/>
              </w:tabs>
              <w:spacing w:after="0" w:line="360" w:lineRule="auto"/>
              <w:jc w:val="both"/>
              <w:rPr>
                <w:bCs/>
                <w:lang w:val="hy-AM"/>
              </w:rPr>
            </w:pPr>
            <w:r w:rsidRPr="00C03D3D">
              <w:rPr>
                <w:bCs/>
                <w:lang w:val="hy-AM"/>
              </w:rPr>
              <w:t>«Պետական պաշտոններ և պետական ծառայության պաշտոններ զբաղեցնող անձանց վարձատրության մասին» օրենքում փոփոխություններ կատարելու մասին» օրենքի նախագծի (այսուհետ՝ Նախագիծ) վերաբերյալ հարկ ենք համարում նշել, որ Նախագծի 5-րդ հոդվածը վերնագրված է որպես եզրափակիչ մաս և անցումային դրույթներ, մինչդեռ դրանով նախատեսվում է միայն եզրափակիչ մասին առնչվող կարգավորում, մասնավորապես՝ օրենքի ուժի մեջ մտնելու վերաբերյալ դրույթ: Ուստի, հաշվի առնելով վերոգրյալը և «Նորմատիվ իրավական ակտերի մասին» օրենքի 13-րդ հոդվածի 4-րդ մասի պահանջը, Նախագծի 5-րդ հոդվածի վերնագիրն անհրաժեշտ է խմբագրել:</w:t>
            </w:r>
          </w:p>
        </w:tc>
        <w:tc>
          <w:tcPr>
            <w:tcW w:w="2559" w:type="pct"/>
            <w:gridSpan w:val="2"/>
            <w:tcBorders>
              <w:top w:val="outset" w:sz="6" w:space="0" w:color="auto"/>
              <w:left w:val="outset" w:sz="6" w:space="0" w:color="auto"/>
              <w:bottom w:val="outset" w:sz="6" w:space="0" w:color="auto"/>
              <w:right w:val="outset" w:sz="6" w:space="0" w:color="auto"/>
            </w:tcBorders>
            <w:shd w:val="clear" w:color="auto" w:fill="FFFFFF"/>
            <w:hideMark/>
          </w:tcPr>
          <w:p w:rsidR="00C03D3D" w:rsidRPr="00C03D3D" w:rsidRDefault="00C03D3D" w:rsidP="00C03D3D">
            <w:pPr>
              <w:tabs>
                <w:tab w:val="left" w:pos="5253"/>
              </w:tabs>
              <w:spacing w:after="0" w:line="360" w:lineRule="auto"/>
              <w:jc w:val="center"/>
              <w:rPr>
                <w:rFonts w:cs="Courier New"/>
                <w:bCs/>
                <w:lang w:val="hy-AM"/>
              </w:rPr>
            </w:pPr>
            <w:r w:rsidRPr="00C03D3D">
              <w:rPr>
                <w:rFonts w:cs="Courier New"/>
                <w:bCs/>
                <w:lang w:val="hy-AM"/>
              </w:rPr>
              <w:t>Ընդունվել է:</w:t>
            </w:r>
          </w:p>
          <w:p w:rsidR="00C03D3D" w:rsidRPr="00C03D3D" w:rsidRDefault="00C03D3D" w:rsidP="00C03D3D">
            <w:pPr>
              <w:tabs>
                <w:tab w:val="left" w:pos="5253"/>
              </w:tabs>
              <w:spacing w:after="0" w:line="360" w:lineRule="auto"/>
              <w:jc w:val="both"/>
              <w:rPr>
                <w:bCs/>
                <w:lang w:val="hy-AM"/>
              </w:rPr>
            </w:pPr>
            <w:r w:rsidRPr="00C03D3D">
              <w:rPr>
                <w:bCs/>
                <w:lang w:val="hy-AM"/>
              </w:rPr>
              <w:t>Նախագծի 5-րդ հոդվածի վերնագրից հանվել են «և անցումային դրույթներ» բառերը»։</w:t>
            </w:r>
          </w:p>
        </w:tc>
      </w:tr>
      <w:tr w:rsidR="00C03D3D" w:rsidRPr="00C03D3D" w:rsidTr="005904E5">
        <w:trPr>
          <w:tblCellSpacing w:w="0" w:type="dxa"/>
          <w:jc w:val="center"/>
        </w:trPr>
        <w:tc>
          <w:tcPr>
            <w:tcW w:w="3827" w:type="pct"/>
            <w:gridSpan w:val="2"/>
            <w:vMerge w:val="restart"/>
            <w:tcBorders>
              <w:top w:val="outset" w:sz="6" w:space="0" w:color="auto"/>
              <w:left w:val="outset" w:sz="6" w:space="0" w:color="auto"/>
              <w:bottom w:val="outset" w:sz="6" w:space="0" w:color="auto"/>
              <w:right w:val="outset" w:sz="6" w:space="0" w:color="auto"/>
            </w:tcBorders>
            <w:shd w:val="clear" w:color="auto" w:fill="D0D0D0"/>
            <w:hideMark/>
          </w:tcPr>
          <w:p w:rsidR="00C03D3D" w:rsidRPr="00C03D3D" w:rsidRDefault="00C03D3D" w:rsidP="00C03D3D">
            <w:pPr>
              <w:tabs>
                <w:tab w:val="left" w:pos="5253"/>
              </w:tabs>
              <w:spacing w:after="0" w:line="360" w:lineRule="auto"/>
              <w:jc w:val="center"/>
              <w:rPr>
                <w:b/>
                <w:bCs/>
                <w:lang w:val="hy-AM"/>
              </w:rPr>
            </w:pPr>
            <w:r w:rsidRPr="00C03D3D">
              <w:rPr>
                <w:rFonts w:cs="GHEA Grapalat"/>
                <w:b/>
                <w:bCs/>
              </w:rPr>
              <w:t xml:space="preserve">2. </w:t>
            </w:r>
            <w:r w:rsidRPr="00C03D3D">
              <w:rPr>
                <w:rFonts w:cs="GHEA Grapalat"/>
                <w:b/>
                <w:bCs/>
                <w:lang w:val="hy-AM"/>
              </w:rPr>
              <w:t>Սահմանադրական դատարան</w:t>
            </w:r>
          </w:p>
        </w:tc>
        <w:tc>
          <w:tcPr>
            <w:tcW w:w="1173" w:type="pct"/>
            <w:tcBorders>
              <w:top w:val="outset" w:sz="6" w:space="0" w:color="auto"/>
              <w:left w:val="outset" w:sz="6" w:space="0" w:color="auto"/>
              <w:bottom w:val="outset" w:sz="6" w:space="0" w:color="auto"/>
              <w:right w:val="outset" w:sz="6" w:space="0" w:color="auto"/>
            </w:tcBorders>
            <w:shd w:val="clear" w:color="auto" w:fill="D0D0D0"/>
            <w:hideMark/>
          </w:tcPr>
          <w:p w:rsidR="00C03D3D" w:rsidRPr="00C03D3D" w:rsidRDefault="00C03D3D" w:rsidP="00C03D3D">
            <w:pPr>
              <w:tabs>
                <w:tab w:val="left" w:pos="5253"/>
              </w:tabs>
              <w:spacing w:after="0" w:line="360" w:lineRule="auto"/>
              <w:rPr>
                <w:b/>
                <w:bCs/>
                <w:i/>
                <w:lang w:val="hy-AM"/>
              </w:rPr>
            </w:pPr>
            <w:r w:rsidRPr="00C03D3D">
              <w:rPr>
                <w:b/>
                <w:bCs/>
                <w:lang w:val="hy-AM"/>
              </w:rPr>
              <w:t>26.10.2022</w:t>
            </w:r>
          </w:p>
        </w:tc>
      </w:tr>
      <w:tr w:rsidR="00C03D3D" w:rsidRPr="00C03D3D" w:rsidTr="005904E5">
        <w:trPr>
          <w:trHeight w:val="853"/>
          <w:tblCellSpacing w:w="0" w:type="dxa"/>
          <w:jc w:val="center"/>
        </w:trPr>
        <w:tc>
          <w:tcPr>
            <w:tcW w:w="3827" w:type="pct"/>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03D3D" w:rsidRPr="00C03D3D" w:rsidRDefault="00C03D3D" w:rsidP="00C03D3D">
            <w:pPr>
              <w:tabs>
                <w:tab w:val="left" w:pos="5253"/>
              </w:tabs>
              <w:spacing w:after="0" w:line="360" w:lineRule="auto"/>
              <w:rPr>
                <w:b/>
                <w:bCs/>
                <w:lang w:val="hy-AM"/>
              </w:rPr>
            </w:pPr>
          </w:p>
        </w:tc>
        <w:tc>
          <w:tcPr>
            <w:tcW w:w="1173" w:type="pct"/>
            <w:tcBorders>
              <w:top w:val="outset" w:sz="6" w:space="0" w:color="auto"/>
              <w:left w:val="outset" w:sz="6" w:space="0" w:color="auto"/>
              <w:bottom w:val="outset" w:sz="6" w:space="0" w:color="auto"/>
              <w:right w:val="outset" w:sz="6" w:space="0" w:color="auto"/>
            </w:tcBorders>
            <w:shd w:val="clear" w:color="auto" w:fill="D0D0D0"/>
            <w:hideMark/>
          </w:tcPr>
          <w:p w:rsidR="00C03D3D" w:rsidRPr="00C03D3D" w:rsidRDefault="00C03D3D" w:rsidP="00C03D3D">
            <w:pPr>
              <w:tabs>
                <w:tab w:val="left" w:pos="5253"/>
              </w:tabs>
              <w:spacing w:after="0" w:line="360" w:lineRule="auto"/>
              <w:rPr>
                <w:b/>
                <w:bCs/>
                <w:lang w:val="hy-AM"/>
              </w:rPr>
            </w:pPr>
            <w:r w:rsidRPr="00C03D3D">
              <w:rPr>
                <w:b/>
                <w:bCs/>
                <w:lang w:val="hy-AM"/>
              </w:rPr>
              <w:t>N Ա/1036-2022</w:t>
            </w:r>
          </w:p>
        </w:tc>
      </w:tr>
      <w:tr w:rsidR="00C03D3D" w:rsidRPr="00C03D3D" w:rsidTr="005904E5">
        <w:trPr>
          <w:tblCellSpacing w:w="0" w:type="dxa"/>
          <w:jc w:val="center"/>
        </w:trPr>
        <w:tc>
          <w:tcPr>
            <w:tcW w:w="2441" w:type="pct"/>
            <w:tcBorders>
              <w:top w:val="outset" w:sz="6" w:space="0" w:color="auto"/>
              <w:left w:val="outset" w:sz="6" w:space="0" w:color="auto"/>
              <w:bottom w:val="outset" w:sz="6" w:space="0" w:color="auto"/>
              <w:right w:val="outset" w:sz="6" w:space="0" w:color="auto"/>
            </w:tcBorders>
            <w:shd w:val="clear" w:color="auto" w:fill="FFFFFF"/>
            <w:hideMark/>
          </w:tcPr>
          <w:p w:rsidR="00C03D3D" w:rsidRPr="00C03D3D" w:rsidRDefault="00C03D3D" w:rsidP="00C03D3D">
            <w:pPr>
              <w:tabs>
                <w:tab w:val="left" w:pos="5253"/>
              </w:tabs>
              <w:spacing w:after="0" w:line="360" w:lineRule="auto"/>
              <w:jc w:val="both"/>
              <w:rPr>
                <w:bCs/>
                <w:lang w:val="hy-AM"/>
              </w:rPr>
            </w:pPr>
            <w:r w:rsidRPr="00C03D3D">
              <w:rPr>
                <w:bCs/>
                <w:lang w:val="hy-AM"/>
              </w:rPr>
              <w:t>Նշված նախագծի 1-ին հոդվածով առաջարկվում է Սահմանադրական դատարանի նախագահին, փոխնախագահին և դատավորին վճարվող պաշտոնային դրույքա¬չափի 80 տոկոսի չափով հավելավճարը փոխարինել պաշտոնային դրույքաչափի 43 տոկոսի չափով հավելավճարով, իսկ ՀՀ 2023 թվականի պետական բյուջեի նախագծով կիրառվելու է պարգևատրման գումարների հաշվարկման 16% դրույքաչափ, որն առաջարկվում է հաշվարկել միայն հիմնական աշխատավարձի նկատմամբ (առանց հավելումների և հավելավճարների)։ Այսինքն, «Պետական պաշտոններ և պետական ծառայության պաշտոններ զբաղեցնող անձանց վարձատրության մասին» օրենքի 6-րդ հոդվածի 1-ին մասի իմաստով Սահմանադրական դատարանի դատավորի աշխատավարձի հաշվարկի արդյունքում (հիմնական աշխատավարձի, լրացուցիչ աշխատավարձի՝ հավելավճարների և պարգևավճարների հանրագումարը) կազմելու է 1.588.454 դրամ (հիմնական աշխատավարձի՝ 83200*12, հավելավճարի՝ 83200*12*43.1% և պարգևավճարի՝ 83200*12*43.1%0*0.16 հանրագումարը, առանց հարկերի և այլ պարտադիր վճարումների պահումների)։ Մինչդեռ, ներկայումս Սահմանադրական դատարանի դատավորի՝ «Պետական պաշտոններ և պետական ծառայության պաշտոններ զբաղեցնող անձանց վարձատրության մասին» օրենքի 6-րդ հոդվածի 1-ին մասի իմաստով աշխատավարձը կազմում է 1.857.211 դրամ (հիմնական աշխատավարձի՝ 66140*12, հավելավճարի՝ 66140*12*80% և պարգևավճարի՝ 66140*12*80%0*0.3 հանրագումարը, առանց հարկերի և այլ պարտադիր վճարումների պահումների)։ Այսինքն՝ առաջարկվող փոփոխությունների արդյունքում Սահմանադրական դատարանի դատավորների՝ «Պետական պաշտոններ և պետական ծառայության պաշտոններ զբաղեցնող անձանց վարձատրության մասին» օրենքի 6-րդ հոդվածի 1-ին մասի իմաստով աշխատավարձը նվազելու է 268.757 դրամով (1.857.211-1.588.454)։</w:t>
            </w:r>
          </w:p>
          <w:p w:rsidR="00C03D3D" w:rsidRPr="00C03D3D" w:rsidRDefault="00C03D3D" w:rsidP="00C03D3D">
            <w:pPr>
              <w:tabs>
                <w:tab w:val="left" w:pos="5253"/>
              </w:tabs>
              <w:spacing w:after="0" w:line="360" w:lineRule="auto"/>
              <w:jc w:val="both"/>
              <w:rPr>
                <w:bCs/>
                <w:lang w:val="hy-AM"/>
              </w:rPr>
            </w:pPr>
            <w:r w:rsidRPr="00C03D3D">
              <w:rPr>
                <w:bCs/>
                <w:lang w:val="hy-AM"/>
              </w:rPr>
              <w:t>Նույնը վերաբերում է նաև Սահմանադրական դատարանի նախագահի և նախագահի տեղակալի աշխատավարձերի համամասնորեն նվազեցմանը։</w:t>
            </w:r>
          </w:p>
          <w:p w:rsidR="00C03D3D" w:rsidRPr="00C03D3D" w:rsidRDefault="00C03D3D" w:rsidP="00C03D3D">
            <w:pPr>
              <w:tabs>
                <w:tab w:val="left" w:pos="5253"/>
              </w:tabs>
              <w:spacing w:after="0" w:line="360" w:lineRule="auto"/>
              <w:jc w:val="both"/>
              <w:rPr>
                <w:bCs/>
                <w:lang w:val="hy-AM"/>
              </w:rPr>
            </w:pPr>
            <w:r w:rsidRPr="00C03D3D">
              <w:rPr>
                <w:bCs/>
                <w:lang w:val="hy-AM"/>
              </w:rPr>
              <w:t>Աշխատավարձի այսպիսի շեշտակի փոփոխությունը ոչ միայն նշանակում է Սահմանադրական դատարանի դատավորի անկախության սոցիալական երաշխիքների շեշտակի նվազեցում, այլ նաև ուղղակիորեն հակասում է «Սահմանադրական դատարանի մասին» սահմանադրական օրենքի 10-րդ հոդվածի 4-րդ մասի և Սահմանադրության 164-րդ հոդվածի 10-րդ մասի պահանջներին։</w:t>
            </w:r>
          </w:p>
          <w:p w:rsidR="00C03D3D" w:rsidRPr="00C03D3D" w:rsidRDefault="00C03D3D" w:rsidP="00C03D3D">
            <w:pPr>
              <w:tabs>
                <w:tab w:val="left" w:pos="5253"/>
              </w:tabs>
              <w:spacing w:after="0" w:line="360" w:lineRule="auto"/>
              <w:jc w:val="both"/>
              <w:rPr>
                <w:bCs/>
                <w:lang w:val="hy-AM"/>
              </w:rPr>
            </w:pPr>
            <w:r w:rsidRPr="00C03D3D">
              <w:rPr>
                <w:bCs/>
                <w:lang w:val="hy-AM"/>
              </w:rPr>
              <w:t>Հետևաբար, առաջարկում ենք առաջարկվող փոփոխություններով մշակել այնպիսի բանաձև, որի կիրառումը չհանգեցնի մի կողմից Սահմանադրական դատարանի և դրա դատավորների անկախության երաշխիքների նվազեցման, մյուս կողմից զերծ լինի Սահմանադրության և «Սահմանադրական դատարանի մասին» սահմանադրական օրենքով նախատեսված իրավական երաշխիքներին առերեւույթ հակասությունից։</w:t>
            </w:r>
          </w:p>
          <w:p w:rsidR="00C03D3D" w:rsidRPr="00C03D3D" w:rsidRDefault="00C03D3D" w:rsidP="00C03D3D">
            <w:pPr>
              <w:tabs>
                <w:tab w:val="left" w:pos="5253"/>
              </w:tabs>
              <w:spacing w:after="0" w:line="360" w:lineRule="auto"/>
              <w:jc w:val="both"/>
              <w:rPr>
                <w:bCs/>
                <w:lang w:val="hy-AM"/>
              </w:rPr>
            </w:pPr>
            <w:r w:rsidRPr="00C03D3D">
              <w:rPr>
                <w:bCs/>
                <w:lang w:val="hy-AM"/>
              </w:rPr>
              <w:t>Միաժամանակ, մեր պատրաստակամությունն ենք արտահայտում նախագծի մշակման աշխատանքներին Սահմանադրական դատարանի աշխատակազմի մակարդակով մասնակցությունն ապահովելու հարցով՝ լավագույն ընդունելի տարբերակը մշակելու նպատակով։</w:t>
            </w:r>
          </w:p>
        </w:tc>
        <w:tc>
          <w:tcPr>
            <w:tcW w:w="2559" w:type="pct"/>
            <w:gridSpan w:val="2"/>
            <w:tcBorders>
              <w:top w:val="outset" w:sz="6" w:space="0" w:color="auto"/>
              <w:left w:val="outset" w:sz="6" w:space="0" w:color="auto"/>
              <w:bottom w:val="outset" w:sz="6" w:space="0" w:color="auto"/>
              <w:right w:val="outset" w:sz="6" w:space="0" w:color="auto"/>
            </w:tcBorders>
            <w:shd w:val="clear" w:color="auto" w:fill="FFFFFF"/>
            <w:hideMark/>
          </w:tcPr>
          <w:p w:rsidR="00C03D3D" w:rsidRPr="00C03D3D" w:rsidRDefault="00C03D3D" w:rsidP="00C03D3D">
            <w:pPr>
              <w:tabs>
                <w:tab w:val="left" w:pos="5253"/>
              </w:tabs>
              <w:spacing w:after="0" w:line="360" w:lineRule="auto"/>
              <w:jc w:val="center"/>
              <w:rPr>
                <w:rFonts w:cs="Courier New"/>
                <w:bCs/>
                <w:lang w:val="hy-AM"/>
              </w:rPr>
            </w:pPr>
            <w:r w:rsidRPr="00C03D3D">
              <w:rPr>
                <w:rFonts w:cs="Courier New"/>
                <w:bCs/>
                <w:lang w:val="hy-AM"/>
              </w:rPr>
              <w:t>Ընդունվել է ի գիտություն:</w:t>
            </w:r>
          </w:p>
          <w:p w:rsidR="00C03D3D" w:rsidRPr="00C03D3D" w:rsidRDefault="00C03D3D" w:rsidP="00C03D3D">
            <w:pPr>
              <w:tabs>
                <w:tab w:val="left" w:pos="5253"/>
              </w:tabs>
              <w:spacing w:after="0" w:line="360" w:lineRule="auto"/>
              <w:jc w:val="both"/>
              <w:rPr>
                <w:bCs/>
                <w:lang w:val="hy-AM"/>
              </w:rPr>
            </w:pPr>
            <w:r w:rsidRPr="00C03D3D">
              <w:rPr>
                <w:bCs/>
                <w:lang w:val="hy-AM"/>
              </w:rPr>
              <w:t xml:space="preserve">Քաղաքացիական ծառայության գրասենյակի կողմից կատարված հաշվարկները աշխատանքային կարգով համաձայնեցվել է Սահմանադրական դատարանի աշխատակազմի հետ, որի արդյունքում Նախագծի 1-ին հոդվածում «43» թիվը փոխարինվել է «70» թվով։ </w:t>
            </w:r>
          </w:p>
        </w:tc>
      </w:tr>
      <w:tr w:rsidR="00C03D3D" w:rsidRPr="00C03D3D" w:rsidTr="005904E5">
        <w:trPr>
          <w:tblCellSpacing w:w="0" w:type="dxa"/>
          <w:jc w:val="center"/>
        </w:trPr>
        <w:tc>
          <w:tcPr>
            <w:tcW w:w="3827" w:type="pct"/>
            <w:gridSpan w:val="2"/>
            <w:vMerge w:val="restart"/>
            <w:tcBorders>
              <w:top w:val="outset" w:sz="6" w:space="0" w:color="auto"/>
              <w:left w:val="outset" w:sz="6" w:space="0" w:color="auto"/>
              <w:bottom w:val="outset" w:sz="6" w:space="0" w:color="auto"/>
              <w:right w:val="outset" w:sz="6" w:space="0" w:color="auto"/>
            </w:tcBorders>
            <w:shd w:val="clear" w:color="auto" w:fill="D0D0D0"/>
            <w:hideMark/>
          </w:tcPr>
          <w:p w:rsidR="00C03D3D" w:rsidRPr="00C03D3D" w:rsidRDefault="00C03D3D" w:rsidP="00C03D3D">
            <w:pPr>
              <w:tabs>
                <w:tab w:val="left" w:pos="5253"/>
              </w:tabs>
              <w:spacing w:after="0" w:line="360" w:lineRule="auto"/>
              <w:jc w:val="center"/>
              <w:rPr>
                <w:b/>
                <w:bCs/>
                <w:lang w:val="hy-AM"/>
              </w:rPr>
            </w:pPr>
            <w:r w:rsidRPr="00C03D3D">
              <w:rPr>
                <w:rFonts w:cs="GHEA Grapalat"/>
                <w:b/>
                <w:bCs/>
              </w:rPr>
              <w:t xml:space="preserve">3. </w:t>
            </w:r>
            <w:r w:rsidRPr="00C03D3D">
              <w:rPr>
                <w:rFonts w:cs="GHEA Grapalat"/>
                <w:b/>
                <w:bCs/>
                <w:lang w:val="hy-AM"/>
              </w:rPr>
              <w:t>Ֆինանսների նախարարություն</w:t>
            </w:r>
          </w:p>
        </w:tc>
        <w:tc>
          <w:tcPr>
            <w:tcW w:w="1173" w:type="pct"/>
            <w:tcBorders>
              <w:top w:val="outset" w:sz="6" w:space="0" w:color="auto"/>
              <w:left w:val="outset" w:sz="6" w:space="0" w:color="auto"/>
              <w:bottom w:val="outset" w:sz="6" w:space="0" w:color="auto"/>
              <w:right w:val="outset" w:sz="6" w:space="0" w:color="auto"/>
            </w:tcBorders>
            <w:shd w:val="clear" w:color="auto" w:fill="D0D0D0"/>
            <w:hideMark/>
          </w:tcPr>
          <w:p w:rsidR="00C03D3D" w:rsidRPr="00C03D3D" w:rsidRDefault="00C03D3D" w:rsidP="00C03D3D">
            <w:pPr>
              <w:tabs>
                <w:tab w:val="left" w:pos="5253"/>
              </w:tabs>
              <w:spacing w:after="0" w:line="360" w:lineRule="auto"/>
              <w:rPr>
                <w:b/>
                <w:bCs/>
                <w:i/>
                <w:lang w:val="hy-AM"/>
              </w:rPr>
            </w:pPr>
            <w:r w:rsidRPr="00C03D3D">
              <w:rPr>
                <w:b/>
                <w:bCs/>
                <w:lang w:val="hy-AM"/>
              </w:rPr>
              <w:t>28.10.2022</w:t>
            </w:r>
          </w:p>
        </w:tc>
      </w:tr>
      <w:tr w:rsidR="00C03D3D" w:rsidRPr="00C03D3D" w:rsidTr="005904E5">
        <w:trPr>
          <w:trHeight w:val="853"/>
          <w:tblCellSpacing w:w="0" w:type="dxa"/>
          <w:jc w:val="center"/>
        </w:trPr>
        <w:tc>
          <w:tcPr>
            <w:tcW w:w="3827" w:type="pct"/>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03D3D" w:rsidRPr="00C03D3D" w:rsidRDefault="00C03D3D" w:rsidP="00C03D3D">
            <w:pPr>
              <w:tabs>
                <w:tab w:val="left" w:pos="5253"/>
              </w:tabs>
              <w:spacing w:after="0" w:line="360" w:lineRule="auto"/>
              <w:rPr>
                <w:b/>
                <w:bCs/>
                <w:lang w:val="hy-AM"/>
              </w:rPr>
            </w:pPr>
          </w:p>
        </w:tc>
        <w:tc>
          <w:tcPr>
            <w:tcW w:w="1173" w:type="pct"/>
            <w:tcBorders>
              <w:top w:val="outset" w:sz="6" w:space="0" w:color="auto"/>
              <w:left w:val="outset" w:sz="6" w:space="0" w:color="auto"/>
              <w:bottom w:val="outset" w:sz="6" w:space="0" w:color="auto"/>
              <w:right w:val="outset" w:sz="6" w:space="0" w:color="auto"/>
            </w:tcBorders>
            <w:shd w:val="clear" w:color="auto" w:fill="D0D0D0"/>
            <w:hideMark/>
          </w:tcPr>
          <w:p w:rsidR="00C03D3D" w:rsidRPr="00C03D3D" w:rsidRDefault="00C03D3D" w:rsidP="00C03D3D">
            <w:pPr>
              <w:tabs>
                <w:tab w:val="left" w:pos="5253"/>
              </w:tabs>
              <w:spacing w:after="0" w:line="360" w:lineRule="auto"/>
              <w:rPr>
                <w:b/>
                <w:bCs/>
                <w:lang w:val="hy-AM"/>
              </w:rPr>
            </w:pPr>
            <w:r w:rsidRPr="00C03D3D">
              <w:rPr>
                <w:b/>
                <w:bCs/>
                <w:lang w:val="hy-AM"/>
              </w:rPr>
              <w:t>N 01/8-2/18706-2022</w:t>
            </w:r>
          </w:p>
        </w:tc>
      </w:tr>
      <w:tr w:rsidR="00C03D3D" w:rsidRPr="00C03D3D" w:rsidTr="005904E5">
        <w:trPr>
          <w:tblCellSpacing w:w="0" w:type="dxa"/>
          <w:jc w:val="center"/>
        </w:trPr>
        <w:tc>
          <w:tcPr>
            <w:tcW w:w="2441" w:type="pct"/>
            <w:tcBorders>
              <w:top w:val="outset" w:sz="6" w:space="0" w:color="auto"/>
              <w:left w:val="outset" w:sz="6" w:space="0" w:color="auto"/>
              <w:bottom w:val="outset" w:sz="6" w:space="0" w:color="auto"/>
              <w:right w:val="outset" w:sz="6" w:space="0" w:color="auto"/>
            </w:tcBorders>
            <w:shd w:val="clear" w:color="auto" w:fill="FFFFFF"/>
            <w:hideMark/>
          </w:tcPr>
          <w:p w:rsidR="00C03D3D" w:rsidRPr="00C03D3D" w:rsidRDefault="00C03D3D" w:rsidP="00C03D3D">
            <w:pPr>
              <w:tabs>
                <w:tab w:val="left" w:pos="5253"/>
              </w:tabs>
              <w:spacing w:after="0" w:line="360" w:lineRule="auto"/>
              <w:jc w:val="both"/>
              <w:rPr>
                <w:bCs/>
                <w:lang w:val="hy-AM"/>
              </w:rPr>
            </w:pPr>
            <w:r w:rsidRPr="00C03D3D">
              <w:rPr>
                <w:bCs/>
                <w:lang w:val="hy-AM"/>
              </w:rPr>
              <w:t>Ի կատարումն ՀՀ վարչապետի 21</w:t>
            </w:r>
            <w:r w:rsidRPr="00C03D3D">
              <w:rPr>
                <w:rFonts w:ascii="MS Mincho" w:eastAsia="MS Mincho" w:hAnsi="MS Mincho" w:cs="MS Mincho" w:hint="eastAsia"/>
                <w:bCs/>
                <w:lang w:val="hy-AM"/>
              </w:rPr>
              <w:t>․</w:t>
            </w:r>
            <w:r w:rsidRPr="00C03D3D">
              <w:rPr>
                <w:bCs/>
                <w:lang w:val="hy-AM"/>
              </w:rPr>
              <w:t>10</w:t>
            </w:r>
            <w:r w:rsidRPr="00C03D3D">
              <w:rPr>
                <w:rFonts w:ascii="MS Mincho" w:eastAsia="MS Mincho" w:hAnsi="MS Mincho" w:cs="MS Mincho" w:hint="eastAsia"/>
                <w:bCs/>
                <w:lang w:val="hy-AM"/>
              </w:rPr>
              <w:t>․</w:t>
            </w:r>
            <w:r w:rsidRPr="00C03D3D">
              <w:rPr>
                <w:bCs/>
                <w:lang w:val="hy-AM"/>
              </w:rPr>
              <w:t xml:space="preserve">2022թ. N 02/46.3/32391-2022 հանձնարարականի ՀՀ ֆինանսների նախարարությունը հայտնում է, որ կողմ է «Պետական պաշտոններ և պետական ծառայության պաշտոններ զբաղեցնող անձանց վարձատրության մասին» օրենքում փոփոխություններ կատարելու մասին» օրենքի նախագծին (այսուհետ՝ Նախագիծ), որով առաջարկվում է 2023 թվականի հունվարի 1-ից բազային աշխատավարձի բարձրացմամբ պայմանավորված նվազեցնել առանձնակի ռիսկային և մասնագիտացում պահանջող պաշտոն զբաղեցնողների, ինչպես նաև Սահմանադրական դատարանի նախագահի, փոխնախագահի և դատավորի, Վճռաբեկ դատարանի դատավորի պաշտոն զբաղեցնող անձանց պաշտոնային դրույքաչափի նկատմամբ տոկոսային արտահայտությամբ հաշվարկվող հավելումների և հավելավճարի չափերը։ </w:t>
            </w:r>
          </w:p>
          <w:p w:rsidR="00C03D3D" w:rsidRPr="00C03D3D" w:rsidRDefault="00C03D3D" w:rsidP="00C03D3D">
            <w:pPr>
              <w:tabs>
                <w:tab w:val="left" w:pos="5253"/>
              </w:tabs>
              <w:spacing w:after="0" w:line="360" w:lineRule="auto"/>
              <w:jc w:val="both"/>
              <w:rPr>
                <w:bCs/>
                <w:lang w:val="hy-AM"/>
              </w:rPr>
            </w:pPr>
            <w:r w:rsidRPr="00C03D3D">
              <w:rPr>
                <w:bCs/>
                <w:lang w:val="hy-AM"/>
              </w:rPr>
              <w:t>Նախագծի ընդունումը կհանգեցնի ՀՀ պետական բյուջեի ծախսերի նվազեցման՝ տարեկան շուրջ 552.0 մլն դրամի չափով։</w:t>
            </w:r>
          </w:p>
          <w:p w:rsidR="00C03D3D" w:rsidRPr="00C03D3D" w:rsidRDefault="00C03D3D" w:rsidP="00C03D3D">
            <w:pPr>
              <w:tabs>
                <w:tab w:val="left" w:pos="5253"/>
              </w:tabs>
              <w:spacing w:after="0" w:line="360" w:lineRule="auto"/>
              <w:jc w:val="both"/>
              <w:rPr>
                <w:bCs/>
                <w:lang w:val="hy-AM"/>
              </w:rPr>
            </w:pPr>
            <w:r w:rsidRPr="00C03D3D">
              <w:rPr>
                <w:bCs/>
                <w:lang w:val="hy-AM"/>
              </w:rPr>
              <w:t>Տեղեկացնում ենք նաև, որ Նախագիծը դրական ընթացք ստանալու դեպքում անհրաժեշտություն կառաջանա փոփոխություններ կատարել նաև ՀՀ կառավարության 2022 թվականի ապրիլի 7-ի «Առանձնակի ռիսկային և մասնագիտացում պահանջող պաշտոնների առանձնահատկություններով պայմանավորված տրվող հավելումների վճարման չափերը, կարգը, ինչպես նաև առանձնակի ռիսկային և մասնագիտացում պահանջող պաշտոնների շրջանակը սահմանելու մասին» N 446-Ն որոշման մեջ (ՀՀ գլխավոր դատախազության առանձին դատախազների պաշտոնային դրույքաչափի նկատմամբ վճարվող հավելումների չափի մասով)։</w:t>
            </w:r>
          </w:p>
          <w:p w:rsidR="00C03D3D" w:rsidRPr="00C03D3D" w:rsidRDefault="00C03D3D" w:rsidP="00C03D3D">
            <w:pPr>
              <w:tabs>
                <w:tab w:val="left" w:pos="5253"/>
              </w:tabs>
              <w:spacing w:after="0" w:line="360" w:lineRule="auto"/>
              <w:jc w:val="both"/>
              <w:rPr>
                <w:bCs/>
                <w:lang w:val="hy-AM"/>
              </w:rPr>
            </w:pPr>
            <w:r w:rsidRPr="00C03D3D">
              <w:rPr>
                <w:bCs/>
                <w:lang w:val="hy-AM"/>
              </w:rPr>
              <w:t>Դատախազներին վճարվող հավելումների չափի նվազեցումը նույն սկզբունքով կատարելու դեպքում ծախսերի տնտեսումը կկազմի ևս շուրջ 72.0 մլն դրամ։</w:t>
            </w:r>
          </w:p>
        </w:tc>
        <w:tc>
          <w:tcPr>
            <w:tcW w:w="2559" w:type="pct"/>
            <w:gridSpan w:val="2"/>
            <w:tcBorders>
              <w:top w:val="outset" w:sz="6" w:space="0" w:color="auto"/>
              <w:left w:val="outset" w:sz="6" w:space="0" w:color="auto"/>
              <w:bottom w:val="outset" w:sz="6" w:space="0" w:color="auto"/>
              <w:right w:val="outset" w:sz="6" w:space="0" w:color="auto"/>
            </w:tcBorders>
            <w:shd w:val="clear" w:color="auto" w:fill="FFFFFF"/>
            <w:hideMark/>
          </w:tcPr>
          <w:p w:rsidR="00C03D3D" w:rsidRPr="00C03D3D" w:rsidRDefault="00C03D3D" w:rsidP="00C03D3D">
            <w:pPr>
              <w:tabs>
                <w:tab w:val="left" w:pos="5253"/>
              </w:tabs>
              <w:spacing w:after="0" w:line="360" w:lineRule="auto"/>
              <w:jc w:val="center"/>
              <w:rPr>
                <w:rFonts w:cs="Courier New"/>
                <w:bCs/>
                <w:lang w:val="hy-AM"/>
              </w:rPr>
            </w:pPr>
            <w:r w:rsidRPr="00C03D3D">
              <w:rPr>
                <w:rFonts w:cs="Courier New"/>
                <w:bCs/>
                <w:lang w:val="hy-AM"/>
              </w:rPr>
              <w:t>Ընդունվել է ի գիտություն:</w:t>
            </w:r>
          </w:p>
          <w:p w:rsidR="00C03D3D" w:rsidRPr="00C03D3D" w:rsidRDefault="00C03D3D" w:rsidP="00C03D3D">
            <w:pPr>
              <w:tabs>
                <w:tab w:val="left" w:pos="5253"/>
              </w:tabs>
              <w:spacing w:after="0" w:line="360" w:lineRule="auto"/>
              <w:jc w:val="both"/>
              <w:rPr>
                <w:bCs/>
                <w:lang w:val="hy-AM"/>
              </w:rPr>
            </w:pPr>
          </w:p>
        </w:tc>
      </w:tr>
      <w:tr w:rsidR="00C03D3D" w:rsidRPr="00C03D3D" w:rsidTr="005904E5">
        <w:trPr>
          <w:tblCellSpacing w:w="0" w:type="dxa"/>
          <w:jc w:val="center"/>
        </w:trPr>
        <w:tc>
          <w:tcPr>
            <w:tcW w:w="3827" w:type="pct"/>
            <w:gridSpan w:val="2"/>
            <w:vMerge w:val="restart"/>
            <w:tcBorders>
              <w:top w:val="outset" w:sz="6" w:space="0" w:color="auto"/>
              <w:left w:val="outset" w:sz="6" w:space="0" w:color="auto"/>
              <w:bottom w:val="outset" w:sz="6" w:space="0" w:color="auto"/>
              <w:right w:val="outset" w:sz="6" w:space="0" w:color="auto"/>
            </w:tcBorders>
            <w:shd w:val="clear" w:color="auto" w:fill="D0D0D0"/>
            <w:hideMark/>
          </w:tcPr>
          <w:p w:rsidR="00C03D3D" w:rsidRPr="00C03D3D" w:rsidRDefault="00C03D3D" w:rsidP="00C03D3D">
            <w:pPr>
              <w:tabs>
                <w:tab w:val="left" w:pos="5253"/>
              </w:tabs>
              <w:spacing w:after="0" w:line="360" w:lineRule="auto"/>
              <w:jc w:val="center"/>
              <w:rPr>
                <w:b/>
                <w:bCs/>
                <w:lang w:val="hy-AM"/>
              </w:rPr>
            </w:pPr>
            <w:r w:rsidRPr="00C03D3D">
              <w:rPr>
                <w:rFonts w:cs="GHEA Grapalat"/>
                <w:b/>
                <w:bCs/>
              </w:rPr>
              <w:t xml:space="preserve">4. </w:t>
            </w:r>
            <w:r w:rsidRPr="00C03D3D">
              <w:rPr>
                <w:rFonts w:cs="GHEA Grapalat"/>
                <w:b/>
                <w:bCs/>
                <w:lang w:val="hy-AM"/>
              </w:rPr>
              <w:t>Հակակոռուպցիոն կոմիտե</w:t>
            </w:r>
          </w:p>
        </w:tc>
        <w:tc>
          <w:tcPr>
            <w:tcW w:w="1173" w:type="pct"/>
            <w:tcBorders>
              <w:top w:val="outset" w:sz="6" w:space="0" w:color="auto"/>
              <w:left w:val="outset" w:sz="6" w:space="0" w:color="auto"/>
              <w:bottom w:val="outset" w:sz="6" w:space="0" w:color="auto"/>
              <w:right w:val="outset" w:sz="6" w:space="0" w:color="auto"/>
            </w:tcBorders>
            <w:shd w:val="clear" w:color="auto" w:fill="D0D0D0"/>
            <w:hideMark/>
          </w:tcPr>
          <w:p w:rsidR="00C03D3D" w:rsidRPr="00C03D3D" w:rsidRDefault="00C03D3D" w:rsidP="00C03D3D">
            <w:pPr>
              <w:tabs>
                <w:tab w:val="left" w:pos="5253"/>
              </w:tabs>
              <w:spacing w:after="0" w:line="360" w:lineRule="auto"/>
              <w:rPr>
                <w:b/>
                <w:bCs/>
                <w:i/>
                <w:lang w:val="hy-AM"/>
              </w:rPr>
            </w:pPr>
            <w:r w:rsidRPr="00C03D3D">
              <w:rPr>
                <w:b/>
                <w:bCs/>
                <w:lang w:val="hy-AM"/>
              </w:rPr>
              <w:t>27.10.2022</w:t>
            </w:r>
          </w:p>
        </w:tc>
      </w:tr>
      <w:tr w:rsidR="00C03D3D" w:rsidRPr="00C03D3D" w:rsidTr="005904E5">
        <w:trPr>
          <w:trHeight w:val="853"/>
          <w:tblCellSpacing w:w="0" w:type="dxa"/>
          <w:jc w:val="center"/>
        </w:trPr>
        <w:tc>
          <w:tcPr>
            <w:tcW w:w="3827" w:type="pct"/>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03D3D" w:rsidRPr="00C03D3D" w:rsidRDefault="00C03D3D" w:rsidP="00C03D3D">
            <w:pPr>
              <w:tabs>
                <w:tab w:val="left" w:pos="5253"/>
              </w:tabs>
              <w:spacing w:after="0" w:line="360" w:lineRule="auto"/>
              <w:rPr>
                <w:b/>
                <w:bCs/>
                <w:lang w:val="hy-AM"/>
              </w:rPr>
            </w:pPr>
          </w:p>
        </w:tc>
        <w:tc>
          <w:tcPr>
            <w:tcW w:w="1173" w:type="pct"/>
            <w:tcBorders>
              <w:top w:val="outset" w:sz="6" w:space="0" w:color="auto"/>
              <w:left w:val="outset" w:sz="6" w:space="0" w:color="auto"/>
              <w:bottom w:val="outset" w:sz="6" w:space="0" w:color="auto"/>
              <w:right w:val="outset" w:sz="6" w:space="0" w:color="auto"/>
            </w:tcBorders>
            <w:shd w:val="clear" w:color="auto" w:fill="D0D0D0"/>
            <w:hideMark/>
          </w:tcPr>
          <w:p w:rsidR="00C03D3D" w:rsidRPr="00C03D3D" w:rsidRDefault="00C03D3D" w:rsidP="00C03D3D">
            <w:pPr>
              <w:tabs>
                <w:tab w:val="left" w:pos="5253"/>
              </w:tabs>
              <w:spacing w:after="0" w:line="360" w:lineRule="auto"/>
              <w:rPr>
                <w:b/>
                <w:bCs/>
                <w:lang w:val="hy-AM"/>
              </w:rPr>
            </w:pPr>
            <w:r w:rsidRPr="00C03D3D">
              <w:rPr>
                <w:b/>
                <w:bCs/>
                <w:lang w:val="hy-AM"/>
              </w:rPr>
              <w:t>N 18-9868գ-22</w:t>
            </w:r>
          </w:p>
        </w:tc>
      </w:tr>
      <w:tr w:rsidR="00C03D3D" w:rsidRPr="00C03D3D" w:rsidTr="005904E5">
        <w:trPr>
          <w:tblCellSpacing w:w="0" w:type="dxa"/>
          <w:jc w:val="center"/>
        </w:trPr>
        <w:tc>
          <w:tcPr>
            <w:tcW w:w="2441" w:type="pct"/>
            <w:tcBorders>
              <w:top w:val="outset" w:sz="6" w:space="0" w:color="auto"/>
              <w:left w:val="outset" w:sz="6" w:space="0" w:color="auto"/>
              <w:bottom w:val="outset" w:sz="6" w:space="0" w:color="auto"/>
              <w:right w:val="outset" w:sz="6" w:space="0" w:color="auto"/>
            </w:tcBorders>
            <w:shd w:val="clear" w:color="auto" w:fill="FFFFFF"/>
            <w:hideMark/>
          </w:tcPr>
          <w:p w:rsidR="00C03D3D" w:rsidRPr="00C03D3D" w:rsidRDefault="00C03D3D" w:rsidP="00C03D3D">
            <w:pPr>
              <w:tabs>
                <w:tab w:val="left" w:pos="5253"/>
              </w:tabs>
              <w:spacing w:after="0" w:line="360" w:lineRule="auto"/>
              <w:jc w:val="both"/>
              <w:rPr>
                <w:bCs/>
                <w:lang w:val="hy-AM"/>
              </w:rPr>
            </w:pPr>
            <w:r w:rsidRPr="00C03D3D">
              <w:rPr>
                <w:bCs/>
                <w:lang w:val="hy-AM"/>
              </w:rPr>
              <w:t>«Պետական պաշտոններ և պետական ծառայության պաշտոններ զբաղեցնող անձանց վարձատրության մասին» օրենքում փոփոխություններ կատարելու մասին» օրենքի նախագծի վերաբերյալ ՀՀ հակակոռուպցիոն կոմիտեն դիտողություններ և առաջարկություններ չունի։</w:t>
            </w:r>
          </w:p>
        </w:tc>
        <w:tc>
          <w:tcPr>
            <w:tcW w:w="2559" w:type="pct"/>
            <w:gridSpan w:val="2"/>
            <w:tcBorders>
              <w:top w:val="outset" w:sz="6" w:space="0" w:color="auto"/>
              <w:left w:val="outset" w:sz="6" w:space="0" w:color="auto"/>
              <w:bottom w:val="outset" w:sz="6" w:space="0" w:color="auto"/>
              <w:right w:val="outset" w:sz="6" w:space="0" w:color="auto"/>
            </w:tcBorders>
            <w:shd w:val="clear" w:color="auto" w:fill="FFFFFF"/>
            <w:hideMark/>
          </w:tcPr>
          <w:p w:rsidR="00C03D3D" w:rsidRPr="00C03D3D" w:rsidRDefault="00C03D3D" w:rsidP="00C03D3D">
            <w:pPr>
              <w:tabs>
                <w:tab w:val="left" w:pos="5253"/>
              </w:tabs>
              <w:spacing w:after="0" w:line="360" w:lineRule="auto"/>
              <w:jc w:val="center"/>
              <w:rPr>
                <w:rFonts w:cs="Courier New"/>
                <w:bCs/>
                <w:lang w:val="hy-AM"/>
              </w:rPr>
            </w:pPr>
            <w:r w:rsidRPr="00C03D3D">
              <w:rPr>
                <w:rFonts w:cs="Courier New"/>
                <w:bCs/>
                <w:lang w:val="hy-AM"/>
              </w:rPr>
              <w:t>Ընդունվել է ի գիտություն:</w:t>
            </w:r>
          </w:p>
          <w:p w:rsidR="00C03D3D" w:rsidRPr="00C03D3D" w:rsidRDefault="00C03D3D" w:rsidP="00C03D3D">
            <w:pPr>
              <w:tabs>
                <w:tab w:val="left" w:pos="5253"/>
              </w:tabs>
              <w:spacing w:after="0" w:line="360" w:lineRule="auto"/>
              <w:jc w:val="both"/>
              <w:rPr>
                <w:bCs/>
                <w:lang w:val="hy-AM"/>
              </w:rPr>
            </w:pPr>
          </w:p>
        </w:tc>
      </w:tr>
      <w:tr w:rsidR="00C03D3D" w:rsidRPr="00C03D3D" w:rsidTr="005904E5">
        <w:trPr>
          <w:tblCellSpacing w:w="0" w:type="dxa"/>
          <w:jc w:val="center"/>
        </w:trPr>
        <w:tc>
          <w:tcPr>
            <w:tcW w:w="3827" w:type="pct"/>
            <w:gridSpan w:val="2"/>
            <w:vMerge w:val="restart"/>
            <w:tcBorders>
              <w:top w:val="outset" w:sz="6" w:space="0" w:color="auto"/>
              <w:left w:val="outset" w:sz="6" w:space="0" w:color="auto"/>
              <w:bottom w:val="outset" w:sz="6" w:space="0" w:color="auto"/>
              <w:right w:val="outset" w:sz="6" w:space="0" w:color="auto"/>
            </w:tcBorders>
            <w:shd w:val="clear" w:color="auto" w:fill="D0D0D0"/>
            <w:hideMark/>
          </w:tcPr>
          <w:p w:rsidR="00C03D3D" w:rsidRPr="00C03D3D" w:rsidRDefault="00C03D3D" w:rsidP="00C03D3D">
            <w:pPr>
              <w:tabs>
                <w:tab w:val="left" w:pos="5253"/>
              </w:tabs>
              <w:spacing w:after="0" w:line="360" w:lineRule="auto"/>
              <w:jc w:val="center"/>
              <w:rPr>
                <w:b/>
                <w:bCs/>
                <w:lang w:val="hy-AM"/>
              </w:rPr>
            </w:pPr>
            <w:r w:rsidRPr="00C03D3D">
              <w:rPr>
                <w:rFonts w:cs="GHEA Grapalat"/>
                <w:b/>
                <w:bCs/>
              </w:rPr>
              <w:t xml:space="preserve">5. </w:t>
            </w:r>
            <w:r w:rsidRPr="00C03D3D">
              <w:rPr>
                <w:rFonts w:cs="GHEA Grapalat"/>
                <w:b/>
                <w:bCs/>
                <w:lang w:val="hy-AM"/>
              </w:rPr>
              <w:t>Բարձրագույն դատական խորհուրդ</w:t>
            </w:r>
          </w:p>
        </w:tc>
        <w:tc>
          <w:tcPr>
            <w:tcW w:w="1173" w:type="pct"/>
            <w:tcBorders>
              <w:top w:val="outset" w:sz="6" w:space="0" w:color="auto"/>
              <w:left w:val="outset" w:sz="6" w:space="0" w:color="auto"/>
              <w:bottom w:val="outset" w:sz="6" w:space="0" w:color="auto"/>
              <w:right w:val="outset" w:sz="6" w:space="0" w:color="auto"/>
            </w:tcBorders>
            <w:shd w:val="clear" w:color="auto" w:fill="D0D0D0"/>
            <w:hideMark/>
          </w:tcPr>
          <w:p w:rsidR="00C03D3D" w:rsidRPr="00C03D3D" w:rsidRDefault="00C03D3D" w:rsidP="00C03D3D">
            <w:pPr>
              <w:tabs>
                <w:tab w:val="left" w:pos="5253"/>
              </w:tabs>
              <w:spacing w:after="0" w:line="360" w:lineRule="auto"/>
              <w:rPr>
                <w:b/>
                <w:bCs/>
                <w:i/>
                <w:lang w:val="hy-AM"/>
              </w:rPr>
            </w:pPr>
            <w:r w:rsidRPr="00C03D3D">
              <w:rPr>
                <w:b/>
                <w:bCs/>
                <w:lang w:val="hy-AM"/>
              </w:rPr>
              <w:t>02.11.2022</w:t>
            </w:r>
          </w:p>
        </w:tc>
      </w:tr>
      <w:tr w:rsidR="00C03D3D" w:rsidRPr="00C03D3D" w:rsidTr="005904E5">
        <w:trPr>
          <w:trHeight w:val="853"/>
          <w:tblCellSpacing w:w="0" w:type="dxa"/>
          <w:jc w:val="center"/>
        </w:trPr>
        <w:tc>
          <w:tcPr>
            <w:tcW w:w="3827" w:type="pct"/>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03D3D" w:rsidRPr="00C03D3D" w:rsidRDefault="00C03D3D" w:rsidP="00C03D3D">
            <w:pPr>
              <w:tabs>
                <w:tab w:val="left" w:pos="5253"/>
              </w:tabs>
              <w:spacing w:after="0" w:line="360" w:lineRule="auto"/>
              <w:rPr>
                <w:b/>
                <w:bCs/>
                <w:lang w:val="hy-AM"/>
              </w:rPr>
            </w:pPr>
          </w:p>
        </w:tc>
        <w:tc>
          <w:tcPr>
            <w:tcW w:w="1173" w:type="pct"/>
            <w:tcBorders>
              <w:top w:val="outset" w:sz="6" w:space="0" w:color="auto"/>
              <w:left w:val="outset" w:sz="6" w:space="0" w:color="auto"/>
              <w:bottom w:val="outset" w:sz="6" w:space="0" w:color="auto"/>
              <w:right w:val="outset" w:sz="6" w:space="0" w:color="auto"/>
            </w:tcBorders>
            <w:shd w:val="clear" w:color="auto" w:fill="D0D0D0"/>
            <w:hideMark/>
          </w:tcPr>
          <w:p w:rsidR="00C03D3D" w:rsidRPr="00C03D3D" w:rsidRDefault="00C03D3D" w:rsidP="00C03D3D">
            <w:pPr>
              <w:tabs>
                <w:tab w:val="left" w:pos="5253"/>
              </w:tabs>
              <w:spacing w:after="0" w:line="360" w:lineRule="auto"/>
              <w:rPr>
                <w:b/>
                <w:bCs/>
                <w:lang w:val="hy-AM"/>
              </w:rPr>
            </w:pPr>
            <w:r w:rsidRPr="00C03D3D">
              <w:rPr>
                <w:b/>
                <w:bCs/>
                <w:lang w:val="hy-AM"/>
              </w:rPr>
              <w:t>N ԴԴ/590-22</w:t>
            </w:r>
          </w:p>
        </w:tc>
      </w:tr>
      <w:tr w:rsidR="00C03D3D" w:rsidRPr="00C03D3D" w:rsidTr="005904E5">
        <w:trPr>
          <w:tblCellSpacing w:w="0" w:type="dxa"/>
          <w:jc w:val="center"/>
        </w:trPr>
        <w:tc>
          <w:tcPr>
            <w:tcW w:w="2441" w:type="pct"/>
            <w:tcBorders>
              <w:top w:val="outset" w:sz="6" w:space="0" w:color="auto"/>
              <w:left w:val="outset" w:sz="6" w:space="0" w:color="auto"/>
              <w:bottom w:val="outset" w:sz="6" w:space="0" w:color="auto"/>
              <w:right w:val="outset" w:sz="6" w:space="0" w:color="auto"/>
            </w:tcBorders>
            <w:shd w:val="clear" w:color="auto" w:fill="FFFFFF"/>
            <w:hideMark/>
          </w:tcPr>
          <w:p w:rsidR="00C03D3D" w:rsidRPr="00C03D3D" w:rsidRDefault="00C03D3D" w:rsidP="00C03D3D">
            <w:pPr>
              <w:tabs>
                <w:tab w:val="left" w:pos="5253"/>
              </w:tabs>
              <w:spacing w:after="0" w:line="360" w:lineRule="auto"/>
              <w:jc w:val="both"/>
              <w:rPr>
                <w:bCs/>
                <w:lang w:val="hy-AM"/>
              </w:rPr>
            </w:pPr>
            <w:r w:rsidRPr="00C03D3D">
              <w:rPr>
                <w:bCs/>
                <w:lang w:val="hy-AM"/>
              </w:rPr>
              <w:t>ՎՃՌԱԲԵԿ ԴԱՏԱՐԱՆԻ ԱՌԱՋԱՐԿՆԵՐ</w:t>
            </w:r>
          </w:p>
          <w:p w:rsidR="00C03D3D" w:rsidRPr="00C03D3D" w:rsidRDefault="00C03D3D" w:rsidP="00C03D3D">
            <w:pPr>
              <w:tabs>
                <w:tab w:val="left" w:pos="5253"/>
              </w:tabs>
              <w:spacing w:after="0" w:line="360" w:lineRule="auto"/>
              <w:jc w:val="both"/>
              <w:rPr>
                <w:bCs/>
                <w:lang w:val="hy-AM"/>
              </w:rPr>
            </w:pPr>
            <w:r w:rsidRPr="00C03D3D">
              <w:rPr>
                <w:bCs/>
                <w:lang w:val="hy-AM"/>
              </w:rPr>
              <w:t>Նախագծի 2-րդ հոդվածով նախատեսվում է փոփոխություններ կատարել  «Պետական պաշտոններ և պետական ծառայության պաշտոններ զբաղեցնող անձանց վարձատրության մասին»  օրենքի (այսուհետ Օրենք) 13-րդ հոդվածում որով առաջարկվում է նվազեցնել դատավորների աշխատավարձերը, այդ թվում՝ հավելումը: Նշված օրենսդրական նախաձեռնության կապակցությամբ անհրաժեշտ ենք համարում նշել հետևյալը:</w:t>
            </w:r>
          </w:p>
          <w:p w:rsidR="00C03D3D" w:rsidRPr="00C03D3D" w:rsidRDefault="00C03D3D" w:rsidP="00C03D3D">
            <w:pPr>
              <w:tabs>
                <w:tab w:val="left" w:pos="5253"/>
              </w:tabs>
              <w:spacing w:after="0" w:line="360" w:lineRule="auto"/>
              <w:jc w:val="both"/>
              <w:rPr>
                <w:bCs/>
                <w:lang w:val="hy-AM"/>
              </w:rPr>
            </w:pPr>
            <w:r w:rsidRPr="00C03D3D">
              <w:rPr>
                <w:bCs/>
                <w:lang w:val="hy-AM"/>
              </w:rPr>
              <w:t xml:space="preserve">ՀՀ Սահմանադրության 164-րդ հոդվածի 10-րդ մասի համաձայն՝ դատավորի համար սահմանվում է նրա բարձր կարգավիճակին և պատասխանատվությանը  համապատասխանող վարձատրություն: Դատավորի վարձատրության չափը սահմանվում է օրենքով: </w:t>
            </w:r>
          </w:p>
          <w:p w:rsidR="00C03D3D" w:rsidRPr="00C03D3D" w:rsidRDefault="00C03D3D" w:rsidP="00C03D3D">
            <w:pPr>
              <w:tabs>
                <w:tab w:val="left" w:pos="5253"/>
              </w:tabs>
              <w:spacing w:after="0" w:line="360" w:lineRule="auto"/>
              <w:jc w:val="both"/>
              <w:rPr>
                <w:bCs/>
                <w:lang w:val="hy-AM"/>
              </w:rPr>
            </w:pPr>
            <w:r w:rsidRPr="00C03D3D">
              <w:rPr>
                <w:bCs/>
                <w:lang w:val="hy-AM"/>
              </w:rPr>
              <w:t>«Հայաստանի Հանրապետության դատական օրենսգիրք» սահմանադրական օրենքի 57-րդ հոդվածի 1-ին մասի համաձայն՝ դատավորի վարձատրության, այդ թվում՝ հիմնական և լրացուցիչ աշխատավարձերի հաշվարկների և չափերի հետ կապված հարաբերությունները կարգավորվում են օրենքով:</w:t>
            </w:r>
          </w:p>
          <w:p w:rsidR="00C03D3D" w:rsidRPr="00C03D3D" w:rsidRDefault="00C03D3D" w:rsidP="00C03D3D">
            <w:pPr>
              <w:tabs>
                <w:tab w:val="left" w:pos="5253"/>
              </w:tabs>
              <w:spacing w:after="0" w:line="360" w:lineRule="auto"/>
              <w:jc w:val="both"/>
              <w:rPr>
                <w:bCs/>
                <w:lang w:val="hy-AM"/>
              </w:rPr>
            </w:pPr>
            <w:r w:rsidRPr="00C03D3D">
              <w:rPr>
                <w:bCs/>
                <w:lang w:val="hy-AM"/>
              </w:rPr>
              <w:t>«Հայաստանի Հանրապետության դատակամ օրենսգիրք» սահմանադրական  օրենքի 57-րդ հոդվածի 2-րդ մասի համաձայն՝ դատավորի աշխատավարձը և դրա նկատմամբ սահմանված հավելավճարները, կենսաթոծակի չափը չեն կարող պակասեցվել, բացառությամբ այն դեպքերի, երբ համարժեք պակասեցում կատարվում է բոլոր բարձրաստիճան պաշտոնատար անձնաց համար:</w:t>
            </w:r>
          </w:p>
          <w:p w:rsidR="00C03D3D" w:rsidRPr="00C03D3D" w:rsidRDefault="00C03D3D" w:rsidP="00C03D3D">
            <w:pPr>
              <w:tabs>
                <w:tab w:val="left" w:pos="5253"/>
              </w:tabs>
              <w:spacing w:after="0" w:line="360" w:lineRule="auto"/>
              <w:jc w:val="both"/>
              <w:rPr>
                <w:bCs/>
                <w:lang w:val="hy-AM"/>
              </w:rPr>
            </w:pPr>
            <w:r w:rsidRPr="00C03D3D">
              <w:rPr>
                <w:bCs/>
                <w:lang w:val="hy-AM"/>
              </w:rPr>
              <w:t>ՀՀ աշխատանքային օրենսգրքի 178-րդ հոդվածի 3-րդ մասի համաձայն՝ աշխատավարձը ներառում է հիմնական աշխատավարձը և գործատուի կողմից աշխատողին իր կատարած աշխատանքի համար տրված լրացուցիչ աշխատավարձը:</w:t>
            </w:r>
          </w:p>
          <w:p w:rsidR="00C03D3D" w:rsidRPr="00C03D3D" w:rsidRDefault="00C03D3D" w:rsidP="00C03D3D">
            <w:pPr>
              <w:tabs>
                <w:tab w:val="left" w:pos="5253"/>
              </w:tabs>
              <w:spacing w:after="0" w:line="360" w:lineRule="auto"/>
              <w:jc w:val="both"/>
              <w:rPr>
                <w:bCs/>
                <w:lang w:val="hy-AM"/>
              </w:rPr>
            </w:pPr>
            <w:r w:rsidRPr="00C03D3D">
              <w:rPr>
                <w:bCs/>
                <w:lang w:val="hy-AM"/>
              </w:rPr>
              <w:t>Հիմնական աշխատավարձը օրենքով, այլ նորմատիվ իրավական ակտով, աշխատանքային պայմանագրով նախատեսված աշխատանքները կատարելու համար սահմանված վարձատրության չափն է:</w:t>
            </w:r>
          </w:p>
          <w:p w:rsidR="00C03D3D" w:rsidRPr="00C03D3D" w:rsidRDefault="00C03D3D" w:rsidP="00C03D3D">
            <w:pPr>
              <w:tabs>
                <w:tab w:val="left" w:pos="5253"/>
              </w:tabs>
              <w:spacing w:after="0" w:line="360" w:lineRule="auto"/>
              <w:jc w:val="both"/>
              <w:rPr>
                <w:bCs/>
                <w:lang w:val="hy-AM"/>
              </w:rPr>
            </w:pPr>
            <w:r w:rsidRPr="00C03D3D">
              <w:rPr>
                <w:bCs/>
                <w:lang w:val="hy-AM"/>
              </w:rPr>
              <w:t xml:space="preserve"> Լրացուցիչ աշխատավարձը սույն օրենսգրքով, օրենքով, այլ նորմատիվ իրավական ակտերով, կոլեկտիվ կամ աշխատանքային պայմանագրով, գործատուի իրավական ակտով սահմանված հիմնական աշխատավարձի նկատմամբ հաշվարկվող հավելումները, հավելավճարները, լրավճարները և պարգևատրումներն են:</w:t>
            </w:r>
          </w:p>
          <w:p w:rsidR="00C03D3D" w:rsidRPr="00C03D3D" w:rsidRDefault="00C03D3D" w:rsidP="00C03D3D">
            <w:pPr>
              <w:tabs>
                <w:tab w:val="left" w:pos="5253"/>
              </w:tabs>
              <w:spacing w:after="0" w:line="360" w:lineRule="auto"/>
              <w:jc w:val="both"/>
              <w:rPr>
                <w:bCs/>
                <w:lang w:val="hy-AM"/>
              </w:rPr>
            </w:pPr>
            <w:r w:rsidRPr="00C03D3D">
              <w:rPr>
                <w:bCs/>
                <w:lang w:val="hy-AM"/>
              </w:rPr>
              <w:t xml:space="preserve">Օրենքի 3-րդ հոդվածի 1-ին և 2-րդ մասերը համապատասխանաբար սահմանվում են՝ </w:t>
            </w:r>
          </w:p>
          <w:p w:rsidR="00C03D3D" w:rsidRPr="00C03D3D" w:rsidRDefault="00C03D3D" w:rsidP="00C03D3D">
            <w:pPr>
              <w:tabs>
                <w:tab w:val="left" w:pos="5253"/>
              </w:tabs>
              <w:spacing w:after="0" w:line="360" w:lineRule="auto"/>
              <w:jc w:val="both"/>
              <w:rPr>
                <w:bCs/>
                <w:lang w:val="hy-AM"/>
              </w:rPr>
            </w:pPr>
            <w:r w:rsidRPr="00C03D3D">
              <w:rPr>
                <w:bCs/>
                <w:lang w:val="hy-AM"/>
              </w:rPr>
              <w:t>1)հիմնական աշխատավարձ (այսուհետ նաև՝ պաշտոնային դրույքաչափ)՝ սույն հոդվածի 1-ին մասի 4-րդ կետով նախատեսված բազային  աշխատավարձի և սույն հոդվածի 1-ին մասի 5-րդ կետով նախատեսված գործակցի արտադրյալ.</w:t>
            </w:r>
          </w:p>
          <w:p w:rsidR="00C03D3D" w:rsidRPr="00C03D3D" w:rsidRDefault="00C03D3D" w:rsidP="00C03D3D">
            <w:pPr>
              <w:tabs>
                <w:tab w:val="left" w:pos="5253"/>
              </w:tabs>
              <w:spacing w:after="0" w:line="360" w:lineRule="auto"/>
              <w:jc w:val="both"/>
              <w:rPr>
                <w:bCs/>
                <w:lang w:val="hy-AM"/>
              </w:rPr>
            </w:pPr>
            <w:r w:rsidRPr="00C03D3D">
              <w:rPr>
                <w:bCs/>
                <w:lang w:val="hy-AM"/>
              </w:rPr>
              <w:t>2) լրացուցիչ աշխատավարձ՝ աշխատավարձի փոփոխական մաս, որը հաշվարկվում է պաշտոնային դրույքաչափի նկատմամբ, և որի վճարումը պայմանավորված է սույն կետի «ա» և «բ» ենթակետերում թվարկված որևէ պայմանի և (կամ) պայմանների առկայությամբ և ներառում է՝</w:t>
            </w:r>
          </w:p>
          <w:p w:rsidR="00C03D3D" w:rsidRPr="00C03D3D" w:rsidRDefault="00C03D3D" w:rsidP="00C03D3D">
            <w:pPr>
              <w:tabs>
                <w:tab w:val="left" w:pos="5253"/>
              </w:tabs>
              <w:spacing w:after="0" w:line="360" w:lineRule="auto"/>
              <w:jc w:val="both"/>
              <w:rPr>
                <w:bCs/>
                <w:lang w:val="hy-AM"/>
              </w:rPr>
            </w:pPr>
            <w:r w:rsidRPr="00C03D3D">
              <w:rPr>
                <w:bCs/>
                <w:lang w:val="hy-AM"/>
              </w:rPr>
              <w:t>1. հավելում` սույն ենթակետում նշված պայմաններից որևէ մեկի կամ դրանցից մի քանիսի, այն է` վճռաբեկ դատարանի դատավորի (այդ թվում` վճռաբեկ դատարանի նախագահի և վճռաբեկ դատարանի պալատի նախագահի) պաշտոն զբաղեցնելու, Հայաստանի Հանրապետության աշխատանքային օրենսդրությամբ սահմանված ծանր, վնասակար, առանձնապես ծանր, առանձնապես վնասակար աշխատանքներ կատարելու, բարձրլեռնային վայրերում, արտաժամյա, գիշերային ժամերին, հանգստյան, տոնական օրերին աշխատելու, զինվորական, քրեակատարողական և փրկարար ծառայության, առանձնակի ռիսկայնության, ինչպես նաև հատուկ մասնագիտացման առանձնահատկություններով պայմանավորված` պաշտոնային դրույքաչափի նկատմամբ հաշվարկվող տոկոսային ավելացում կամ պաշտոնային դրույքաչափին դրամական բացարձակ մեծությամբ սահմանվող ավելացում,</w:t>
            </w:r>
          </w:p>
          <w:p w:rsidR="00C03D3D" w:rsidRPr="00C03D3D" w:rsidRDefault="00C03D3D" w:rsidP="00C03D3D">
            <w:pPr>
              <w:tabs>
                <w:tab w:val="left" w:pos="5253"/>
              </w:tabs>
              <w:spacing w:after="0" w:line="360" w:lineRule="auto"/>
              <w:jc w:val="both"/>
              <w:rPr>
                <w:bCs/>
                <w:lang w:val="hy-AM"/>
              </w:rPr>
            </w:pPr>
            <w:r w:rsidRPr="00C03D3D">
              <w:rPr>
                <w:bCs/>
                <w:lang w:val="hy-AM"/>
              </w:rPr>
              <w:t>2. հավելավճար` սույն ենթակետում նշված պայմաններից որևէ մեկի կամ դրանցից մի քանիսի, այն է` Սահմանադրական դատարանի նախագահի, փոխնախագահի և դատավորի պաշտոն զբաղեցնելու, դասային, դիվանագիտական աստիճանների, տվյալ պաշտոնի ենթախմբին համապատասխանող դասային աստիճանից բարձր դասային աստիճան ունենալու, կոչումների, աշխատանքային և(կամ) ծառայության ստաժի, օտար լեզուների իմացության համար պաշտոնային դրույքաչափի նկատմամբ հաշվարկվող տոկոսային ավելացում.</w:t>
            </w:r>
          </w:p>
          <w:p w:rsidR="00C03D3D" w:rsidRPr="00C03D3D" w:rsidRDefault="00C03D3D" w:rsidP="00C03D3D">
            <w:pPr>
              <w:tabs>
                <w:tab w:val="left" w:pos="5253"/>
              </w:tabs>
              <w:spacing w:after="0" w:line="360" w:lineRule="auto"/>
              <w:jc w:val="both"/>
              <w:rPr>
                <w:bCs/>
                <w:lang w:val="hy-AM"/>
              </w:rPr>
            </w:pPr>
            <w:r w:rsidRPr="00C03D3D">
              <w:rPr>
                <w:bCs/>
                <w:lang w:val="hy-AM"/>
              </w:rPr>
              <w:t>Վերոգրյալ իրավակարգավորումների պահանջներից բխում է, որ սահմանադիրը սահմանադրական օրենքով կարևորել է դատավորի բարձր կարգավիճակին և պատասխանատվությանը համապատասխան վարձատրությունը: Միաժամանակ, նշված սահմանդրական նորմից բացառություն է սահմանվել այն դեպքերում, երբ համարժեք պակասեցում է կատարվում բոլոր բարձրաստիճան պաշտոնատար անձանց համար: Սակայն, խնդրո առարկա Նախագծի և դրան կից ներկայացված հիմնավորման ուսումնասիրությունից պարզ է դառնում, որ դրանով նախատեսված չէ բոլոր բարձրաստիճան պաշտոնատար անձանց աշխատավարձերի, ինչպես նաև դրանց նկատմամբ սահմանված հավելավճարների պակասեցումներ:</w:t>
            </w:r>
          </w:p>
          <w:p w:rsidR="00C03D3D" w:rsidRPr="00C03D3D" w:rsidRDefault="00C03D3D" w:rsidP="00C03D3D">
            <w:pPr>
              <w:tabs>
                <w:tab w:val="left" w:pos="5253"/>
              </w:tabs>
              <w:spacing w:after="0" w:line="360" w:lineRule="auto"/>
              <w:jc w:val="both"/>
              <w:rPr>
                <w:bCs/>
                <w:lang w:val="hy-AM"/>
              </w:rPr>
            </w:pPr>
            <w:r w:rsidRPr="00C03D3D">
              <w:rPr>
                <w:bCs/>
                <w:lang w:val="hy-AM"/>
              </w:rPr>
              <w:t>Ավելին, «Ժողովրդավարություն՝ իրավունքի միջոցով» եվրոպական հանձնաժողովը (Վենետիկի հանձնաժողով) 2009 թվականի հունիսի 4-ի «Դատական համակարգի անկախությունը. Մաս 1. Դատավորների անկախությունը» զեկույցի շրջանակներում նծել է, որ. «Դատավորների վարձատրությունը պետք է համապատասխանի նրանց մասնագիտական արժանապատվությանը և այդ համարժեք վարձատրությունը անփոխարինելի է դատավորներին արտաքին անհարկի միջամտությունից պաշտպանելու համար; (...)Վարձատրությունը պետք է հիմնված լինի ընդհանուր ստանդարտների վրա և համապատասխանի օբյեկտիվության, թափանցիկության չափանիշներին և չհիմնվի դատավորի անհատական գործունեության վրա»:</w:t>
            </w:r>
          </w:p>
          <w:p w:rsidR="00C03D3D" w:rsidRPr="00C03D3D" w:rsidRDefault="00C03D3D" w:rsidP="00C03D3D">
            <w:pPr>
              <w:tabs>
                <w:tab w:val="left" w:pos="5253"/>
              </w:tabs>
              <w:spacing w:after="0" w:line="360" w:lineRule="auto"/>
              <w:jc w:val="both"/>
              <w:rPr>
                <w:bCs/>
                <w:lang w:val="hy-AM"/>
              </w:rPr>
            </w:pPr>
            <w:r w:rsidRPr="00C03D3D">
              <w:rPr>
                <w:bCs/>
                <w:lang w:val="hy-AM"/>
              </w:rPr>
              <w:t>Վենետիկի Հանձնաժողովը 2019 թվականի դեկտեմբերի 11-ին «Դատարանների և դատավորների մասին Վենետիկի հանձնաժողովի կարծիքներ և զեկույցներ» ժողովածուի շրջանակներում  նշել է. «Դատավորի վարձատրությունը պետք է սահմանվի օրենքով և պետք է հավասար լինի նույն պարտականությունները կատարող դատավորների համար: Տարբերություններ կարող են լինել ավագության, դատարանի աստիճանի կամ օրենքով հստակորեն սահմանված այլ չափանիշների հիման վրա(...)»:</w:t>
            </w:r>
          </w:p>
          <w:p w:rsidR="00C03D3D" w:rsidRPr="00C03D3D" w:rsidRDefault="00C03D3D" w:rsidP="00C03D3D">
            <w:pPr>
              <w:tabs>
                <w:tab w:val="left" w:pos="5253"/>
              </w:tabs>
              <w:spacing w:after="0" w:line="360" w:lineRule="auto"/>
              <w:jc w:val="both"/>
              <w:rPr>
                <w:bCs/>
                <w:lang w:val="hy-AM"/>
              </w:rPr>
            </w:pPr>
            <w:r w:rsidRPr="00C03D3D">
              <w:rPr>
                <w:bCs/>
                <w:lang w:val="hy-AM"/>
              </w:rPr>
              <w:t>Եվրոպայի խորհրդի նախարարների կոմիտեի «Դատավորներ. Անկախություն, արդյունավետություն և պատասխանատվություն» հանձնարարականի համաձայն՝ «Դատավորների վարձատրությունը պետք է համաչափ լինի իրենց մասնագիտությանն ու պարտականություններին, և պետք է հանդիսանա նրանց  որոշումների կայացման վրա ազդեցություն գործելու նպատակ հետապնդող ազդակներից պաշտպանության արդյունավետ միջոց»:</w:t>
            </w:r>
          </w:p>
          <w:p w:rsidR="00C03D3D" w:rsidRPr="00C03D3D" w:rsidRDefault="00C03D3D" w:rsidP="00C03D3D">
            <w:pPr>
              <w:tabs>
                <w:tab w:val="left" w:pos="5253"/>
              </w:tabs>
              <w:spacing w:after="0" w:line="360" w:lineRule="auto"/>
              <w:jc w:val="both"/>
              <w:rPr>
                <w:bCs/>
                <w:lang w:val="hy-AM"/>
              </w:rPr>
            </w:pPr>
            <w:r w:rsidRPr="00C03D3D">
              <w:rPr>
                <w:bCs/>
                <w:lang w:val="hy-AM"/>
              </w:rPr>
              <w:t>Եվրոպայի խորհրդի շրջանակներում 1998 թվականին ընդունված «Դատավորների կարգավի-ակի մասին» եվրոպական խարտիայի 6.2-րդ կետի համաձայն՝ դատավորի վարձատրության չափը մյուս տատավորների վարձատրության համեմատությամբ կարող է փոփոխվել  կախված ծառայության տևողությունից, իրենց կողմից կատարվող պարտականությունների բնույթից և իրենց վրա դրված առաջադրանքների կարևորությունից:</w:t>
            </w:r>
          </w:p>
          <w:p w:rsidR="00C03D3D" w:rsidRPr="00C03D3D" w:rsidRDefault="00C03D3D" w:rsidP="00C03D3D">
            <w:pPr>
              <w:tabs>
                <w:tab w:val="left" w:pos="5253"/>
              </w:tabs>
              <w:spacing w:after="0" w:line="360" w:lineRule="auto"/>
              <w:jc w:val="both"/>
              <w:rPr>
                <w:bCs/>
                <w:lang w:val="hy-AM"/>
              </w:rPr>
            </w:pPr>
            <w:r w:rsidRPr="00C03D3D">
              <w:rPr>
                <w:bCs/>
                <w:lang w:val="hy-AM"/>
              </w:rPr>
              <w:t>Դատավորի կարգավիճակին վերաբերող վերը նշված  միջազգային փոստաթղթերից հետևում է, որ ելնելով դատավորի բարձր կարգավիճակից և պատասխանատվությունից՝ դատավորները պետք է ունենան օրենսդրությամբ սահմանված նյութական և սոցիալական հատուկ երաշխիքներ: Այդ առումով՝ նրանց վարձատրության փոփթոխությունները պետք է համապատասխանեն կայունության սկզբունքին և կատարվեն՝ հիմք ընդունելով վերը ներկայացված փաստաթղթերում առկա միջազգային չափանիշները:</w:t>
            </w:r>
          </w:p>
          <w:p w:rsidR="00C03D3D" w:rsidRPr="00C03D3D" w:rsidRDefault="00C03D3D" w:rsidP="00C03D3D">
            <w:pPr>
              <w:tabs>
                <w:tab w:val="left" w:pos="5253"/>
              </w:tabs>
              <w:spacing w:after="0" w:line="360" w:lineRule="auto"/>
              <w:jc w:val="both"/>
              <w:rPr>
                <w:bCs/>
                <w:lang w:val="hy-AM"/>
              </w:rPr>
            </w:pPr>
            <w:r w:rsidRPr="00C03D3D">
              <w:rPr>
                <w:bCs/>
                <w:lang w:val="hy-AM"/>
              </w:rPr>
              <w:t xml:space="preserve">Հիմք ընդունելով վերոգրյալը, գտնում ենք, որ </w:t>
            </w:r>
            <w:r w:rsidRPr="00C03D3D">
              <w:rPr>
                <w:bCs/>
                <w:lang w:val="hy-AM"/>
              </w:rPr>
              <w:tab/>
              <w:t>Նախագծի 2-րդ հոդվածով առաջարկվող կարգավորումները խնդրահարույց է ՀՀ Սահմանադրությամբ և «Հայաստանի Հանրապետության դատական օրենսգիրք» սահմանադրական օրենքով սահմանված կարգավորումների, միջազգային չափանիշների համատեքստում՝ հաշվի առնելով, որ դրա ընդունումը չի համապատասխանում դատավորի վարձատրության կայունության սկզբունքին և առանց ծանրակշիռ հիմնավորուների նվազեցնում է դատավորների սոցիալական երաշխիքների գործող նշաձողը:</w:t>
            </w:r>
          </w:p>
          <w:p w:rsidR="00C03D3D" w:rsidRPr="00C03D3D" w:rsidRDefault="00C03D3D" w:rsidP="00C03D3D">
            <w:pPr>
              <w:tabs>
                <w:tab w:val="left" w:pos="5253"/>
              </w:tabs>
              <w:spacing w:after="0" w:line="360" w:lineRule="auto"/>
              <w:jc w:val="both"/>
              <w:rPr>
                <w:bCs/>
                <w:lang w:val="hy-AM"/>
              </w:rPr>
            </w:pPr>
          </w:p>
          <w:p w:rsidR="00C03D3D" w:rsidRPr="00C03D3D" w:rsidRDefault="00C03D3D" w:rsidP="00C03D3D">
            <w:pPr>
              <w:tabs>
                <w:tab w:val="left" w:pos="5253"/>
              </w:tabs>
              <w:spacing w:after="0" w:line="360" w:lineRule="auto"/>
              <w:jc w:val="both"/>
              <w:rPr>
                <w:bCs/>
                <w:lang w:val="hy-AM"/>
              </w:rPr>
            </w:pPr>
            <w:r w:rsidRPr="00C03D3D">
              <w:rPr>
                <w:bCs/>
                <w:lang w:val="hy-AM"/>
              </w:rPr>
              <w:t>ՎՃՌԱԲԵԿ ԴԱՏԱՐԱՆԻ ՀԱԿԱԿՈՌՈՒՊՑԻՈՆ ՊԱԼԱՏԻ ԱՌԱՆՁԻՆ ԿԱՐԾԻՔ</w:t>
            </w:r>
          </w:p>
          <w:p w:rsidR="00C03D3D" w:rsidRPr="00C03D3D" w:rsidRDefault="00C03D3D" w:rsidP="00C03D3D">
            <w:pPr>
              <w:tabs>
                <w:tab w:val="left" w:pos="5253"/>
              </w:tabs>
              <w:spacing w:after="0" w:line="360" w:lineRule="auto"/>
              <w:jc w:val="both"/>
              <w:rPr>
                <w:bCs/>
                <w:lang w:val="hy-AM"/>
              </w:rPr>
            </w:pPr>
          </w:p>
          <w:p w:rsidR="00C03D3D" w:rsidRPr="00C03D3D" w:rsidRDefault="00C03D3D" w:rsidP="00C03D3D">
            <w:pPr>
              <w:tabs>
                <w:tab w:val="left" w:pos="5253"/>
              </w:tabs>
              <w:spacing w:after="0" w:line="360" w:lineRule="auto"/>
              <w:jc w:val="both"/>
              <w:rPr>
                <w:bCs/>
                <w:lang w:val="hy-AM"/>
              </w:rPr>
            </w:pPr>
            <w:r w:rsidRPr="00C03D3D">
              <w:rPr>
                <w:bCs/>
                <w:lang w:val="hy-AM"/>
              </w:rPr>
              <w:t>Նախագծի 2-րդ հոդվածով նախատեսվում է փոփոխություններ կատարել  «Պետական պաշտոններ և պետական ծառայության պաշտոններ զբաղեցնող անձանց վարձատրության մասին» օրենքի (այսուհետ՝ Օրենք) 13-րդ հոդվածում որի արդյունքում նվազեցվում է դատավորների աշխատավարձերը, այդ թվում՝ հավելումը:</w:t>
            </w:r>
          </w:p>
          <w:p w:rsidR="00C03D3D" w:rsidRPr="00C03D3D" w:rsidRDefault="00C03D3D" w:rsidP="00C03D3D">
            <w:pPr>
              <w:tabs>
                <w:tab w:val="left" w:pos="5253"/>
              </w:tabs>
              <w:spacing w:after="0" w:line="360" w:lineRule="auto"/>
              <w:jc w:val="both"/>
              <w:rPr>
                <w:bCs/>
                <w:lang w:val="hy-AM"/>
              </w:rPr>
            </w:pPr>
            <w:r w:rsidRPr="00C03D3D">
              <w:rPr>
                <w:bCs/>
                <w:lang w:val="hy-AM"/>
              </w:rPr>
              <w:t xml:space="preserve">ՀՀ Սահմանադրության 164-րդ հոդվածի 10-րդ մասի համաձայն՝ դատավորի համար սահմանվում է նրա բարձր կարգավիճակին և պատասխանատվությանը  համապատասխանող վարձատրություն: Դատավորի վարձատրության չափը սահմանվում է օրենքով: </w:t>
            </w:r>
          </w:p>
          <w:p w:rsidR="00C03D3D" w:rsidRPr="00C03D3D" w:rsidRDefault="00C03D3D" w:rsidP="00C03D3D">
            <w:pPr>
              <w:tabs>
                <w:tab w:val="left" w:pos="5253"/>
              </w:tabs>
              <w:spacing w:after="0" w:line="360" w:lineRule="auto"/>
              <w:jc w:val="both"/>
              <w:rPr>
                <w:bCs/>
                <w:lang w:val="hy-AM"/>
              </w:rPr>
            </w:pPr>
            <w:r w:rsidRPr="00C03D3D">
              <w:rPr>
                <w:bCs/>
                <w:lang w:val="hy-AM"/>
              </w:rPr>
              <w:t>«Հայաստանի Հանրապետության դատական օրենսգիրք» սահմանադրական օրենքի 57-րդ հոդվածի 1-ին և 2-րդ մասերը համապատասխանաբար սահմանում են՝ 1)Դատավորի համար, Սահմանադրության 164-րդ հոդվածի 10-րդ մասի համաձայն, սահմանվում է նրա բարձր կարգավիճակին և պատասխանատվությանը համապատասխանող վարձատրություն: Դատավորի վարձատրության, այդ թվում՝ հիմնական և լրացուցիչ աշխատավարձերի հաշվարկների և չափերի հետ կապված հարաբերությունները կարգավորվում են օրենքով: 2)Դատավորի աշխատավարձը և դրա նկատմամբ սահմանված հավելավճարները, կենսաթոշակի չափը չեն կարող պակասեցվել, բացառությամբ այն դեպքերի, երբ համարժեք պակասեցում կատարվում է բոլոր բարձրաստիճան պաշտոնատար անձանց համար:</w:t>
            </w:r>
          </w:p>
          <w:p w:rsidR="00C03D3D" w:rsidRPr="00C03D3D" w:rsidRDefault="00C03D3D" w:rsidP="00C03D3D">
            <w:pPr>
              <w:tabs>
                <w:tab w:val="left" w:pos="5253"/>
              </w:tabs>
              <w:spacing w:after="0" w:line="360" w:lineRule="auto"/>
              <w:jc w:val="both"/>
              <w:rPr>
                <w:bCs/>
                <w:lang w:val="hy-AM"/>
              </w:rPr>
            </w:pPr>
            <w:r w:rsidRPr="00C03D3D">
              <w:rPr>
                <w:bCs/>
                <w:lang w:val="hy-AM"/>
              </w:rPr>
              <w:t xml:space="preserve">ՀՀ աշխատանքային օրենսգրքի 178-րդ հոդվածի 3-րդ մասի համաձայն՝ </w:t>
            </w:r>
          </w:p>
          <w:p w:rsidR="00C03D3D" w:rsidRPr="00C03D3D" w:rsidRDefault="00C03D3D" w:rsidP="00C03D3D">
            <w:pPr>
              <w:tabs>
                <w:tab w:val="left" w:pos="5253"/>
              </w:tabs>
              <w:spacing w:after="0" w:line="360" w:lineRule="auto"/>
              <w:jc w:val="both"/>
              <w:rPr>
                <w:bCs/>
                <w:lang w:val="hy-AM"/>
              </w:rPr>
            </w:pPr>
            <w:r w:rsidRPr="00C03D3D">
              <w:rPr>
                <w:bCs/>
                <w:lang w:val="hy-AM"/>
              </w:rPr>
              <w:t>Աշխատավարձը ներառում է հիմնական աշխատավարձը և գործատուի կողմից աշխատողին իր կատարած աշխատանքի համար տրված լրացուցիչ աշխատավարձը:</w:t>
            </w:r>
          </w:p>
          <w:p w:rsidR="00C03D3D" w:rsidRPr="00C03D3D" w:rsidRDefault="00C03D3D" w:rsidP="00C03D3D">
            <w:pPr>
              <w:tabs>
                <w:tab w:val="left" w:pos="5253"/>
              </w:tabs>
              <w:spacing w:after="0" w:line="360" w:lineRule="auto"/>
              <w:jc w:val="both"/>
              <w:rPr>
                <w:bCs/>
                <w:lang w:val="hy-AM"/>
              </w:rPr>
            </w:pPr>
            <w:r w:rsidRPr="00C03D3D">
              <w:rPr>
                <w:bCs/>
                <w:lang w:val="hy-AM"/>
              </w:rPr>
              <w:t>Հիմնական աշխատավարձը օրենքով, այլ նորմատիվ իրավական ակտով, աշխատանքային պայմանագրով նախատեսված աշխատանքները կատարելու համար սահմանված վարձատրության չափն է:</w:t>
            </w:r>
          </w:p>
          <w:p w:rsidR="00C03D3D" w:rsidRPr="00C03D3D" w:rsidRDefault="00C03D3D" w:rsidP="00C03D3D">
            <w:pPr>
              <w:tabs>
                <w:tab w:val="left" w:pos="5253"/>
              </w:tabs>
              <w:spacing w:after="0" w:line="360" w:lineRule="auto"/>
              <w:jc w:val="both"/>
              <w:rPr>
                <w:bCs/>
                <w:lang w:val="hy-AM"/>
              </w:rPr>
            </w:pPr>
            <w:r w:rsidRPr="00C03D3D">
              <w:rPr>
                <w:bCs/>
                <w:lang w:val="hy-AM"/>
              </w:rPr>
              <w:t>Լրացուցիչ աշխատավարձը սույն օրենսգրքով, օրենքով, այլ նորմատիվ իրավական ակտերով, կոլեկտիվ կամ աշխատանքային պայմանագրով, գործատուի իրավական ակտով սահմանված հիմնական աշխատավարձի նկատմամբ հաշվարկվող հավելումները, հավելավճարները, լրավճարները և պարգևատրումներն են:</w:t>
            </w:r>
          </w:p>
          <w:p w:rsidR="00C03D3D" w:rsidRPr="00C03D3D" w:rsidRDefault="00C03D3D" w:rsidP="00C03D3D">
            <w:pPr>
              <w:tabs>
                <w:tab w:val="left" w:pos="5253"/>
              </w:tabs>
              <w:spacing w:after="0" w:line="360" w:lineRule="auto"/>
              <w:jc w:val="both"/>
              <w:rPr>
                <w:bCs/>
                <w:lang w:val="hy-AM"/>
              </w:rPr>
            </w:pPr>
            <w:r w:rsidRPr="00C03D3D">
              <w:rPr>
                <w:bCs/>
                <w:lang w:val="hy-AM"/>
              </w:rPr>
              <w:t>Օրենքի 3-րդ հոդվածի 1-ին և 2-րդ մասերը համապատասխանաբար սահմանվում են՝ 1)հիմնական աշխատավարձ (այսուհետ նաև՝ պաշտոնային դրույքաչափ)՝ սույն հոդվածի 1-ին մասի 4-րդ կետով նախատեսված բազային  աշխատավարձի և սույն հոդվածի 1-ին մասի 5-րդ կետով նախատեսված գործակցի արտադրյալ.</w:t>
            </w:r>
          </w:p>
          <w:p w:rsidR="00C03D3D" w:rsidRPr="00C03D3D" w:rsidRDefault="00C03D3D" w:rsidP="00C03D3D">
            <w:pPr>
              <w:tabs>
                <w:tab w:val="left" w:pos="5253"/>
              </w:tabs>
              <w:spacing w:after="0" w:line="360" w:lineRule="auto"/>
              <w:jc w:val="both"/>
              <w:rPr>
                <w:bCs/>
                <w:lang w:val="hy-AM"/>
              </w:rPr>
            </w:pPr>
            <w:r w:rsidRPr="00C03D3D">
              <w:rPr>
                <w:bCs/>
                <w:lang w:val="hy-AM"/>
              </w:rPr>
              <w:t>2)լրացուցիչ աշխատավարձ՝ աշխատավարձի փոփոխական մաս, որը հաշվարկվում է պաշտոնային դրույքաչափի նկատմամբ, և որի վճարումը պայմանավորված է սույն կետի «ա» և «բ» ենթակետերում թվարկված որևէ պայմանի և (կամ) պայմանների առկայությամբ և ներառում է՝</w:t>
            </w:r>
          </w:p>
          <w:p w:rsidR="00C03D3D" w:rsidRPr="00C03D3D" w:rsidRDefault="00C03D3D" w:rsidP="00C03D3D">
            <w:pPr>
              <w:tabs>
                <w:tab w:val="left" w:pos="5253"/>
              </w:tabs>
              <w:spacing w:after="0" w:line="360" w:lineRule="auto"/>
              <w:jc w:val="both"/>
              <w:rPr>
                <w:bCs/>
                <w:lang w:val="hy-AM"/>
              </w:rPr>
            </w:pPr>
            <w:r w:rsidRPr="00C03D3D">
              <w:rPr>
                <w:bCs/>
                <w:lang w:val="hy-AM"/>
              </w:rPr>
              <w:t>ա. հավելում` սույն ենթակետում նշված պայմաններից որևէ մեկի կամ դրանցից մի քանիսի, այն է` վճռաբեկ դատարանի դատավորի (այդ թվում` վճռաբեկ դատարանի նախագահի և վճռաբեկ դատարանի պալատի նախագահի) պաշտոն զբաղեցնելու, Հայաստանի Հանրապետության աշխատանքային օրենսդրությամբ սահմանված ծանր, վնասակար, առանձնապես ծանր, առանձնապես վնասակար աշխատանքներ կատարելու, բարձրլեռնային վայրերում, արտաժամյա, գիշերային ժամերին, հանգստյան, տոնական օրերին աշխատելու, զինվորական, քրեակատարողական և փրկարար ծառայության, առանձնակի ռիսկայնության, ինչպես նաև հատուկ մասնագիտացման առանձնահատկություններով պայմանավորված` պաշտոնային դրույքաչափի նկատմամբ հաշվարկվող տոկոսային ավելացում կամ պաշտոնային դրույքաչափին դրամական բացարձակ մեծությամբ սահմանվող ավելացում,</w:t>
            </w:r>
          </w:p>
          <w:p w:rsidR="00C03D3D" w:rsidRPr="00C03D3D" w:rsidRDefault="00C03D3D" w:rsidP="00C03D3D">
            <w:pPr>
              <w:tabs>
                <w:tab w:val="left" w:pos="5253"/>
              </w:tabs>
              <w:spacing w:after="0" w:line="360" w:lineRule="auto"/>
              <w:jc w:val="both"/>
              <w:rPr>
                <w:bCs/>
                <w:lang w:val="hy-AM"/>
              </w:rPr>
            </w:pPr>
            <w:r w:rsidRPr="00C03D3D">
              <w:rPr>
                <w:bCs/>
                <w:lang w:val="hy-AM"/>
              </w:rPr>
              <w:t>բ. հավելավճար` սույն ենթակետում նշված պայմաններից որևէ մեկի կամ դրանցից մի քանիսի, այն է` Սահմանադրական դատարանի նախագահի, փոխնախագահի և դատավորի պաշտոն զբաղեցնելու, դասային, դիվանագիտական աստիճանների, տվյալ պաշտոնի ենթախմբին համապատասխանող դասային աստիճանից բարձր դասային աստիճան ունենալու, կոչումների, աշխատանքային և(կամ) ծառայության ստաժի, օտար լեզուների իմացության համար պաշտոնային դրույքաչափի նկատմամբ հաշվարկվող տոկոսային ավելացում.</w:t>
            </w:r>
          </w:p>
          <w:p w:rsidR="00C03D3D" w:rsidRPr="00C03D3D" w:rsidRDefault="00C03D3D" w:rsidP="00C03D3D">
            <w:pPr>
              <w:tabs>
                <w:tab w:val="left" w:pos="5253"/>
              </w:tabs>
              <w:spacing w:after="0" w:line="360" w:lineRule="auto"/>
              <w:jc w:val="both"/>
              <w:rPr>
                <w:bCs/>
                <w:lang w:val="hy-AM"/>
              </w:rPr>
            </w:pPr>
            <w:r w:rsidRPr="00C03D3D">
              <w:rPr>
                <w:bCs/>
                <w:lang w:val="hy-AM"/>
              </w:rPr>
              <w:t>Վերոգրյալ իրավակարգավորումների պահանջներից բխում է, որ սահմանադիրը սահմանադրական օրենքով արգելք է սահմանել դատավորների աշխատավարձերի նվազեցման վերաբերյալ, և միակ բացառությունն այն դեպքն է, երբ բոլոր բարձրաստիճան պաշտոնատար աձանց աշխատավարձի համարժեք պակասեցում է կատարվում: Նախագծի և դրան կից ներկայացված հիմնավորման ուսումնասիրությունից պարզ է դառնում, որ դրանով նախատեսված չէ բոլոր բարձրաստիճան պաշտոնատար անձանց աշխատավարձերի, ինչպես նաև դրանց նկատմամբ սահմանված հավելավճարների պակասեցումներ:</w:t>
            </w:r>
          </w:p>
          <w:p w:rsidR="00C03D3D" w:rsidRPr="00C03D3D" w:rsidRDefault="00C03D3D" w:rsidP="00C03D3D">
            <w:pPr>
              <w:tabs>
                <w:tab w:val="left" w:pos="5253"/>
              </w:tabs>
              <w:spacing w:after="0" w:line="360" w:lineRule="auto"/>
              <w:jc w:val="both"/>
              <w:rPr>
                <w:bCs/>
                <w:lang w:val="hy-AM"/>
              </w:rPr>
            </w:pPr>
            <w:r w:rsidRPr="00C03D3D">
              <w:rPr>
                <w:bCs/>
                <w:lang w:val="hy-AM"/>
              </w:rPr>
              <w:t>Հիմք ընդունելով վերոգրյալը՝ գտնում ենք, որ Նախագծի 2-րդ հոդվածով առաջարկվող կարգավորումն ուղղակիորեն հակասում է սահմանադրական օրենքի և դրանից բխող այլ նորմատիվ իրավական ակտերի իրավակարգավորմանն ու նպատակին, ուստի առաջարկում ենք զերծ մնալ բոլոր այն օրենսդրական նախաձեռնություններից, որոնց արդյունքում կարող են նվազել դատավորների անկախությունը:</w:t>
            </w:r>
          </w:p>
          <w:p w:rsidR="00C03D3D" w:rsidRPr="00C03D3D" w:rsidRDefault="00C03D3D" w:rsidP="00C03D3D">
            <w:pPr>
              <w:tabs>
                <w:tab w:val="left" w:pos="5253"/>
              </w:tabs>
              <w:spacing w:after="0" w:line="360" w:lineRule="auto"/>
              <w:jc w:val="both"/>
              <w:rPr>
                <w:bCs/>
                <w:lang w:val="hy-AM"/>
              </w:rPr>
            </w:pPr>
            <w:r w:rsidRPr="00C03D3D">
              <w:rPr>
                <w:bCs/>
                <w:lang w:val="hy-AM"/>
              </w:rPr>
              <w:t>Բացի այդ, «Ժողովրդավարություն՝ իրավունքի միջոցով» եվրոպական հանձնաժողովը (Վենետիկի հանձնաժողով) 2009 թվականի հունիսի 4-ի «Դատական համակարգի անկախությունը. Մաս 1. Դատավորների անկախությունը» զեկույցի շրջանակներում նշել է, որ. «Դատավորների վարձատրությունը պետք է համապատասխանի նրանց մասնագիտական արժանապատվությանը և այդ համարժեք վարձատրությունը անփոխարինելի է դատավորներին արտաքին անհարկի միջամտությունից պաշտպանելու համար: (...) Վարձատրությունը պետք է հիմնված լինի ընդհանուր ստանդարտների վրա և համապատասխանի օբյեկտիվության, թափանցիկության չափանիշներին և չհիմնվի դատավորի անհատական գործունեության գնահատման վրա:» :</w:t>
            </w:r>
          </w:p>
          <w:p w:rsidR="00C03D3D" w:rsidRPr="00C03D3D" w:rsidRDefault="00C03D3D" w:rsidP="00C03D3D">
            <w:pPr>
              <w:tabs>
                <w:tab w:val="left" w:pos="5253"/>
              </w:tabs>
              <w:spacing w:after="0" w:line="360" w:lineRule="auto"/>
              <w:jc w:val="both"/>
              <w:rPr>
                <w:bCs/>
                <w:lang w:val="hy-AM"/>
              </w:rPr>
            </w:pPr>
            <w:r w:rsidRPr="00C03D3D">
              <w:rPr>
                <w:bCs/>
                <w:lang w:val="hy-AM"/>
              </w:rPr>
              <w:t>Վենետիկի հանձնաժողովը 2019 թվականի դեկտեմբերի 11-ին «Դատարանների և դատավորների մասին Վենետիկի հանձնաժողովի կարծիքներ և զեկույցներ» ժողովածուի  շրջանակներում նշել է. «Դատավորի վարձատրությունը պետք է սահմանվի օրենքով և պետք է հավասար լինի նույն պարտականությունները կատարող դատավորների համար: Տարբերություններ կարող են լինել ավագության, դատարանի աստիճանի կամ օրենքով հստակորեն սահմանված այլ չափանիշների հիման վրա (...)»:</w:t>
            </w:r>
          </w:p>
          <w:p w:rsidR="00C03D3D" w:rsidRPr="00C03D3D" w:rsidRDefault="00C03D3D" w:rsidP="00C03D3D">
            <w:pPr>
              <w:tabs>
                <w:tab w:val="left" w:pos="5253"/>
              </w:tabs>
              <w:spacing w:after="0" w:line="360" w:lineRule="auto"/>
              <w:jc w:val="both"/>
              <w:rPr>
                <w:bCs/>
                <w:lang w:val="hy-AM"/>
              </w:rPr>
            </w:pPr>
            <w:r w:rsidRPr="00C03D3D">
              <w:rPr>
                <w:bCs/>
                <w:lang w:val="hy-AM"/>
              </w:rPr>
              <w:t>Եվրոպայի խորհրդի նախարարների կոմիտեի CM/Rec(2010)12 «Դատավորներ. անկախություն, արդյունավետություն և պատասխանատվություն» հանձնարարականի համաձայն՝ «Դատավորների վարձատրությունը պետք է համաչափ լինի իրենց մասնագիտությանն ու պարտականություններին, և պետք է հանդիսանա նրանց  որոշումների կայացման վրա ազդեցություն գործելու նպատակ հետապնդող ազդակներից պաշտպանության արդյունավետ միջոց:»:</w:t>
            </w:r>
          </w:p>
          <w:p w:rsidR="00C03D3D" w:rsidRPr="00C03D3D" w:rsidRDefault="00C03D3D" w:rsidP="00C03D3D">
            <w:pPr>
              <w:tabs>
                <w:tab w:val="left" w:pos="5253"/>
              </w:tabs>
              <w:spacing w:after="0" w:line="360" w:lineRule="auto"/>
              <w:jc w:val="both"/>
              <w:rPr>
                <w:bCs/>
                <w:lang w:val="hy-AM"/>
              </w:rPr>
            </w:pPr>
            <w:r w:rsidRPr="00C03D3D">
              <w:rPr>
                <w:bCs/>
                <w:lang w:val="hy-AM"/>
              </w:rPr>
              <w:t>Եվրոպայի խորհրդի շրջանակներում 1998 թվականին ընդունված «Դատավորների կարգավիճակի մասին» եվրոպական խարտիայի 6.2-րդ կետի համաձայն՝ դատավորի վարձատրության չափը մյուս դատավորի վարձատրության համեմատությամբ կարող է փոփոխվել  կախված ծառայության տևողությունից, իրենց կողմից կատարվող պարտականությունների բնույթից և իրենց վրա դրված առաջադրանքների կարևորությունից:</w:t>
            </w:r>
          </w:p>
          <w:p w:rsidR="00C03D3D" w:rsidRPr="00C03D3D" w:rsidRDefault="00C03D3D" w:rsidP="00C03D3D">
            <w:pPr>
              <w:tabs>
                <w:tab w:val="left" w:pos="5253"/>
              </w:tabs>
              <w:spacing w:after="0" w:line="360" w:lineRule="auto"/>
              <w:jc w:val="both"/>
              <w:rPr>
                <w:bCs/>
                <w:lang w:val="hy-AM"/>
              </w:rPr>
            </w:pPr>
            <w:r w:rsidRPr="00C03D3D">
              <w:rPr>
                <w:bCs/>
                <w:lang w:val="hy-AM"/>
              </w:rPr>
              <w:t>Դատավորի կարգավիճակին վերաբերող վերը նշված միջազգային փաստաթղթերի հետևում է, որ.</w:t>
            </w:r>
          </w:p>
          <w:p w:rsidR="00C03D3D" w:rsidRPr="00C03D3D" w:rsidRDefault="00C03D3D" w:rsidP="00C03D3D">
            <w:pPr>
              <w:tabs>
                <w:tab w:val="left" w:pos="5253"/>
              </w:tabs>
              <w:spacing w:after="0" w:line="360" w:lineRule="auto"/>
              <w:jc w:val="both"/>
              <w:rPr>
                <w:bCs/>
                <w:lang w:val="hy-AM"/>
              </w:rPr>
            </w:pPr>
            <w:r w:rsidRPr="00C03D3D">
              <w:rPr>
                <w:bCs/>
                <w:lang w:val="hy-AM"/>
              </w:rPr>
              <w:t>Դատավորների վարձատրությունը պետք է հանդիսանա նրանց որոշումների կայացման վրա ազդեցություն գործելու նպատակ հետապնդող ազդակներից պաշտպանության արդյունավետը միջոց:</w:t>
            </w:r>
          </w:p>
          <w:p w:rsidR="00C03D3D" w:rsidRPr="00C03D3D" w:rsidRDefault="00C03D3D" w:rsidP="00C03D3D">
            <w:pPr>
              <w:tabs>
                <w:tab w:val="left" w:pos="5253"/>
              </w:tabs>
              <w:spacing w:after="0" w:line="360" w:lineRule="auto"/>
              <w:jc w:val="both"/>
              <w:rPr>
                <w:bCs/>
                <w:lang w:val="hy-AM"/>
              </w:rPr>
            </w:pPr>
            <w:r w:rsidRPr="00C03D3D">
              <w:rPr>
                <w:bCs/>
                <w:lang w:val="hy-AM"/>
              </w:rPr>
              <w:t>Դատավորների վարձատրությունը պետք է հավասար լինի նույն պարտականությունները կատարող դատավորների համար:</w:t>
            </w:r>
          </w:p>
          <w:p w:rsidR="00C03D3D" w:rsidRPr="00C03D3D" w:rsidRDefault="00C03D3D" w:rsidP="00C03D3D">
            <w:pPr>
              <w:tabs>
                <w:tab w:val="left" w:pos="5253"/>
              </w:tabs>
              <w:spacing w:after="0" w:line="360" w:lineRule="auto"/>
              <w:jc w:val="both"/>
              <w:rPr>
                <w:bCs/>
                <w:lang w:val="hy-AM"/>
              </w:rPr>
            </w:pPr>
            <w:r w:rsidRPr="00C03D3D">
              <w:rPr>
                <w:bCs/>
                <w:lang w:val="hy-AM"/>
              </w:rPr>
              <w:t>Դատավորների վարձատրության տարբերություններ կարող են լինել ավագության, դատարանի աստիճանի կամ օրենքով հստակորեն սահմանված այլ չափանիշների հիման վրա:</w:t>
            </w:r>
          </w:p>
          <w:p w:rsidR="00C03D3D" w:rsidRPr="00C03D3D" w:rsidRDefault="00C03D3D" w:rsidP="00C03D3D">
            <w:pPr>
              <w:tabs>
                <w:tab w:val="left" w:pos="5253"/>
              </w:tabs>
              <w:spacing w:after="0" w:line="360" w:lineRule="auto"/>
              <w:jc w:val="both"/>
              <w:rPr>
                <w:bCs/>
                <w:lang w:val="hy-AM"/>
              </w:rPr>
            </w:pPr>
            <w:r w:rsidRPr="00C03D3D">
              <w:rPr>
                <w:bCs/>
                <w:lang w:val="hy-AM"/>
              </w:rPr>
              <w:t xml:space="preserve">Դատավորի վարձատրության չափը մյուս դատավորի վարձատրության համեմատությամբ կարող է փոփոխվել՝ կախված ծառայության տևողությունից, իրենց կողմից կատարովող պարտականությունների բնույթից և իրենց վրա դրված առաջադրանքների կարևորությունից: </w:t>
            </w:r>
          </w:p>
          <w:p w:rsidR="00C03D3D" w:rsidRPr="00C03D3D" w:rsidRDefault="00C03D3D" w:rsidP="00C03D3D">
            <w:pPr>
              <w:tabs>
                <w:tab w:val="left" w:pos="5253"/>
              </w:tabs>
              <w:spacing w:after="0" w:line="360" w:lineRule="auto"/>
              <w:jc w:val="both"/>
              <w:rPr>
                <w:bCs/>
                <w:lang w:val="hy-AM"/>
              </w:rPr>
            </w:pPr>
            <w:r w:rsidRPr="00C03D3D">
              <w:rPr>
                <w:bCs/>
                <w:lang w:val="hy-AM"/>
              </w:rPr>
              <w:t>Վերոգրյալի համատեքստում պետք է արձանագրել, որ.</w:t>
            </w:r>
          </w:p>
          <w:p w:rsidR="00C03D3D" w:rsidRPr="00C03D3D" w:rsidRDefault="00C03D3D" w:rsidP="00C03D3D">
            <w:pPr>
              <w:tabs>
                <w:tab w:val="left" w:pos="5253"/>
              </w:tabs>
              <w:spacing w:after="0" w:line="360" w:lineRule="auto"/>
              <w:jc w:val="both"/>
              <w:rPr>
                <w:bCs/>
                <w:lang w:val="hy-AM"/>
              </w:rPr>
            </w:pPr>
            <w:r w:rsidRPr="00C03D3D">
              <w:rPr>
                <w:bCs/>
                <w:lang w:val="hy-AM"/>
              </w:rPr>
              <w:t>Նախ գործող օրենսդրության  պայմաններում, պայմանավորված Հակակոռուպցիոն դատարանի և Վերաքննիչ դատարանի հակակոռուպցիոն դատարանի և Վերաքննիչ դատարանի հակակոռուպցիոն մասնագիտացման դատավորների մասնագիտացումից բխող ռիսկայնությամբ, նախատեսվել են հավելումներ՝ համապատասխանաբար 70 և 60 տոկոս չափերով: Մինչդեռ, ՀՀ վճռաբեկ դատարանի հակակոռուպցիոն պալատի դատավորների համար նշված երաշխիքը վերաբերում է ՀՀ վճռաբեկ դատարանի բոլոր դատավորներին: Սակայն, գտնում ենք, որ նման մոտեցումն արդարացված չե , քանզի այն խտրական , չի համապատասխանում բարձրագույն դատական մարմնի մասնագիտացված դատավորների որոշումների կայացման վրա ազդեցություն գործելու նպատակ հետապնդող ազդակներից պաշտպանության արդյունավետ միջոցի միջազգայնորեն ընդունված չափանիշին: Բացի այդ, կախված դատական ատյանի գործառույթներից, ըստ վերադասության ոչ թե նվազում, այլ աճում է դատավորի պատասխանատվությունը և բարձրանում նրա որոծումների կայացման վրա ազդեցություն գործելու նպատակ հետապնդող ազդակների հավանականությունը, ուստի տրամաբանական չենք համարում ինչպես Օրենքում, այնպես էլ Նախագծում առկա մոտեցումը, ըստ որի՝ հավելումների չափերը վերընթաց նվազում են, մինչդեռ պետք է լիներ հակառակը:</w:t>
            </w:r>
          </w:p>
          <w:p w:rsidR="00C03D3D" w:rsidRPr="00C03D3D" w:rsidRDefault="00C03D3D" w:rsidP="00C03D3D">
            <w:pPr>
              <w:tabs>
                <w:tab w:val="left" w:pos="5253"/>
              </w:tabs>
              <w:spacing w:after="0" w:line="360" w:lineRule="auto"/>
              <w:jc w:val="both"/>
              <w:rPr>
                <w:bCs/>
                <w:lang w:val="hy-AM"/>
              </w:rPr>
            </w:pPr>
            <w:r w:rsidRPr="00C03D3D">
              <w:rPr>
                <w:bCs/>
                <w:lang w:val="hy-AM"/>
              </w:rPr>
              <w:t>Երկրորդ՝ Նախագծի 2-րդ հոդվածով առաջարկվող փոփոխությունների անհրաժեշտությունը բացառապես հիմնավորվել է հակակոռուպցիոն մասնագիտացման և մյուս դատավորների աշխատավարձերի միջև էական տարբերությունը վերացնելու անհրաժեշտությամբ, մինչդեռ դատավորի կարգավիճակի վերաբերյալ միջազգային փաստաթղթերից հետևում է, որ կախված իրենց կողմից կատարվող պարտականությունների բնույթից և իրենց վրա դրված առաջադրանքների կարևորությունից, դատավորի վարձատրության չափը մյուս դատավորի վարձատրության համեմատությամբ կարող է տարբերվել:</w:t>
            </w:r>
          </w:p>
          <w:p w:rsidR="00C03D3D" w:rsidRPr="00C03D3D" w:rsidRDefault="00C03D3D" w:rsidP="00C03D3D">
            <w:pPr>
              <w:tabs>
                <w:tab w:val="left" w:pos="5253"/>
              </w:tabs>
              <w:spacing w:after="0" w:line="360" w:lineRule="auto"/>
              <w:jc w:val="both"/>
              <w:rPr>
                <w:bCs/>
                <w:lang w:val="hy-AM"/>
              </w:rPr>
            </w:pPr>
            <w:r w:rsidRPr="00C03D3D">
              <w:rPr>
                <w:bCs/>
                <w:lang w:val="hy-AM"/>
              </w:rPr>
              <w:t>Երրորդ՝ դատարանի աստիճանից, իրենց կողմից կատարվող պարտականությւոնների բնույթից և իրենց վրա դրված առաջադրանքների կարևորությունից, դատավորի վարձատրության հավելումները դատավորի անկախության հավելյալ երաշխիքներ են, որոնք նվազեցնելը չի բխում դատավորների որոշումների կայացման վրա ազդեցություն գործելու նպատակ հետապնդող ազդակներից պաշտպանության արդյունավետ միջոցի միջազգայնորեն ընդունված չափանիշից: Այս համատեքստում հակակշռող գործոնի նշանակություն չի կարող ունենալ այն հանգամանքը, որ դատավորի վարձատրության ընդհանուր չափի նվազում տեղի չի ունենալու  բազային աշխատավարձի բարձրացման հաշվին, քանզի  վերջինը չի վերաբերում բացառապես դատավորին և չի բխում դատավորի կարգավիճակից: Ըստ այդմ ընդունելի չենք համարում բազային աշխատավարձի բարձրացման հանգամանքով  պայմանավորված, դատավորի վարձատրության հավելյալ երաշխքիքի նվազեցման մոտեցումը:</w:t>
            </w:r>
          </w:p>
          <w:p w:rsidR="00C03D3D" w:rsidRPr="00C03D3D" w:rsidRDefault="00C03D3D" w:rsidP="00C03D3D">
            <w:pPr>
              <w:tabs>
                <w:tab w:val="left" w:pos="5253"/>
              </w:tabs>
              <w:spacing w:after="0" w:line="360" w:lineRule="auto"/>
              <w:jc w:val="both"/>
              <w:rPr>
                <w:bCs/>
                <w:lang w:val="hy-AM"/>
              </w:rPr>
            </w:pPr>
            <w:r w:rsidRPr="00C03D3D">
              <w:rPr>
                <w:bCs/>
                <w:lang w:val="hy-AM"/>
              </w:rPr>
              <w:t>Հիմք ընդունելով վերոգրյալը՝ առաջարկում ենք Նախագծում կատարել փոփոխություն, որի արդյունքում  չեն նվազի դատավորների վարձատրության հավելումների ներկա տոկոսային չափերը, այդ թվում՝ Վճռաբեկ դատարանի հակակոռուպցիոն պալատի դատավորների համար սահմանել հավելման նոր տոկոսային չափ, որը կգերազանցի 50 տոկոսն այնպես, որ վերընթաց աճի սկզբունքով տրամաբանական կապ կստեղծվի հակակոռուպցիոն  դատարանի, վերաքննիչ դատարանի հակակոռուպցիոն քաղաքացիական և կոռուպցիոն հանցագործությունների վերաբերյալ քրեական գործեր քննող դատավորների և Վճռաբեկ դատարանի (հակակոռուպցիոն պալատի) դատավորների վարձատրությունների միջև, մասնավորապես, որ Վճռաբեկ դատարանի դատավորի վարձատրությունը կլինի ավելի քան Վերաքննիչ   դատարանի հակակոռուպցիոն քաղաքացիական և կոռուպցիոն հանցագործությունների վերաբերյալ քրեական գործեր քննող դատավորի վարձատրությունն է, իսկ վերջիններիս վարձատրությունն էլ կգերազանցի հակակոռուպցիոն դատարանի  դատավորների վարձատրության չափը, միաժամանակ Վճռաբեկ դատարանի հակակոռուպցիոն պալատի դատավորի վարձատրությունը կլինի ավելին, քան Վճռաբեկ դատարանի այլ պալատների դատավորների վարձատրությունը:</w:t>
            </w:r>
          </w:p>
          <w:p w:rsidR="00C03D3D" w:rsidRPr="00C03D3D" w:rsidRDefault="00C03D3D" w:rsidP="00C03D3D">
            <w:pPr>
              <w:tabs>
                <w:tab w:val="left" w:pos="5253"/>
              </w:tabs>
              <w:spacing w:after="0" w:line="360" w:lineRule="auto"/>
              <w:jc w:val="both"/>
              <w:rPr>
                <w:bCs/>
                <w:lang w:val="hy-AM"/>
              </w:rPr>
            </w:pPr>
          </w:p>
          <w:p w:rsidR="00C03D3D" w:rsidRPr="00C03D3D" w:rsidRDefault="00C03D3D" w:rsidP="00C03D3D">
            <w:pPr>
              <w:tabs>
                <w:tab w:val="left" w:pos="5253"/>
              </w:tabs>
              <w:spacing w:after="0" w:line="360" w:lineRule="auto"/>
              <w:jc w:val="both"/>
              <w:rPr>
                <w:bCs/>
                <w:lang w:val="hy-AM"/>
              </w:rPr>
            </w:pPr>
          </w:p>
          <w:p w:rsidR="00C03D3D" w:rsidRPr="00C03D3D" w:rsidRDefault="00C03D3D" w:rsidP="00C03D3D">
            <w:pPr>
              <w:tabs>
                <w:tab w:val="left" w:pos="5253"/>
              </w:tabs>
              <w:spacing w:after="0" w:line="360" w:lineRule="auto"/>
              <w:jc w:val="both"/>
              <w:rPr>
                <w:bCs/>
                <w:lang w:val="hy-AM"/>
              </w:rPr>
            </w:pPr>
          </w:p>
          <w:p w:rsidR="00C03D3D" w:rsidRPr="00C03D3D" w:rsidRDefault="00C03D3D" w:rsidP="00C03D3D">
            <w:pPr>
              <w:tabs>
                <w:tab w:val="left" w:pos="5253"/>
              </w:tabs>
              <w:spacing w:after="0" w:line="360" w:lineRule="auto"/>
              <w:jc w:val="both"/>
              <w:rPr>
                <w:bCs/>
                <w:lang w:val="hy-AM"/>
              </w:rPr>
            </w:pPr>
          </w:p>
          <w:p w:rsidR="00C03D3D" w:rsidRPr="00C03D3D" w:rsidRDefault="00C03D3D" w:rsidP="00C03D3D">
            <w:pPr>
              <w:tabs>
                <w:tab w:val="left" w:pos="5253"/>
              </w:tabs>
              <w:spacing w:after="0" w:line="360" w:lineRule="auto"/>
              <w:jc w:val="both"/>
              <w:rPr>
                <w:bCs/>
                <w:lang w:val="hy-AM"/>
              </w:rPr>
            </w:pPr>
          </w:p>
          <w:p w:rsidR="00C03D3D" w:rsidRPr="00C03D3D" w:rsidRDefault="00C03D3D" w:rsidP="00C03D3D">
            <w:pPr>
              <w:tabs>
                <w:tab w:val="left" w:pos="5253"/>
              </w:tabs>
              <w:spacing w:after="0" w:line="360" w:lineRule="auto"/>
              <w:jc w:val="both"/>
              <w:rPr>
                <w:bCs/>
                <w:lang w:val="hy-AM"/>
              </w:rPr>
            </w:pPr>
          </w:p>
          <w:p w:rsidR="00C03D3D" w:rsidRPr="00C03D3D" w:rsidRDefault="00C03D3D" w:rsidP="00C03D3D">
            <w:pPr>
              <w:tabs>
                <w:tab w:val="left" w:pos="5253"/>
              </w:tabs>
              <w:spacing w:after="0" w:line="360" w:lineRule="auto"/>
              <w:jc w:val="both"/>
              <w:rPr>
                <w:bCs/>
                <w:lang w:val="hy-AM"/>
              </w:rPr>
            </w:pPr>
          </w:p>
          <w:p w:rsidR="00C03D3D" w:rsidRPr="00C03D3D" w:rsidRDefault="00C03D3D" w:rsidP="00C03D3D">
            <w:pPr>
              <w:tabs>
                <w:tab w:val="left" w:pos="5253"/>
              </w:tabs>
              <w:spacing w:after="0" w:line="360" w:lineRule="auto"/>
              <w:jc w:val="both"/>
              <w:rPr>
                <w:bCs/>
                <w:lang w:val="hy-AM"/>
              </w:rPr>
            </w:pPr>
          </w:p>
          <w:p w:rsidR="00C03D3D" w:rsidRPr="00C03D3D" w:rsidRDefault="00C03D3D" w:rsidP="00C03D3D">
            <w:pPr>
              <w:tabs>
                <w:tab w:val="left" w:pos="5253"/>
              </w:tabs>
              <w:spacing w:after="0" w:line="360" w:lineRule="auto"/>
              <w:jc w:val="both"/>
              <w:rPr>
                <w:bCs/>
                <w:lang w:val="hy-AM"/>
              </w:rPr>
            </w:pPr>
          </w:p>
          <w:p w:rsidR="00C03D3D" w:rsidRPr="00C03D3D" w:rsidRDefault="00C03D3D" w:rsidP="00C03D3D">
            <w:pPr>
              <w:tabs>
                <w:tab w:val="left" w:pos="5253"/>
              </w:tabs>
              <w:spacing w:after="0" w:line="360" w:lineRule="auto"/>
              <w:jc w:val="both"/>
              <w:rPr>
                <w:bCs/>
                <w:lang w:val="hy-AM"/>
              </w:rPr>
            </w:pPr>
          </w:p>
          <w:p w:rsidR="00C03D3D" w:rsidRPr="00C03D3D" w:rsidRDefault="00C03D3D" w:rsidP="00C03D3D">
            <w:pPr>
              <w:tabs>
                <w:tab w:val="left" w:pos="5253"/>
              </w:tabs>
              <w:spacing w:after="0" w:line="360" w:lineRule="auto"/>
              <w:jc w:val="both"/>
              <w:rPr>
                <w:bCs/>
                <w:lang w:val="hy-AM"/>
              </w:rPr>
            </w:pPr>
          </w:p>
          <w:p w:rsidR="00C03D3D" w:rsidRPr="00C03D3D" w:rsidRDefault="00C03D3D" w:rsidP="00C03D3D">
            <w:pPr>
              <w:tabs>
                <w:tab w:val="left" w:pos="5253"/>
              </w:tabs>
              <w:spacing w:after="0" w:line="360" w:lineRule="auto"/>
              <w:jc w:val="both"/>
              <w:rPr>
                <w:bCs/>
                <w:lang w:val="hy-AM"/>
              </w:rPr>
            </w:pPr>
          </w:p>
          <w:p w:rsidR="00C03D3D" w:rsidRPr="00C03D3D" w:rsidRDefault="00C03D3D" w:rsidP="00C03D3D">
            <w:pPr>
              <w:tabs>
                <w:tab w:val="left" w:pos="5253"/>
              </w:tabs>
              <w:spacing w:after="0" w:line="360" w:lineRule="auto"/>
              <w:jc w:val="both"/>
              <w:rPr>
                <w:bCs/>
                <w:lang w:val="hy-AM"/>
              </w:rPr>
            </w:pPr>
          </w:p>
          <w:p w:rsidR="00C03D3D" w:rsidRPr="00C03D3D" w:rsidRDefault="00C03D3D" w:rsidP="00C03D3D">
            <w:pPr>
              <w:tabs>
                <w:tab w:val="left" w:pos="5253"/>
              </w:tabs>
              <w:spacing w:after="0" w:line="360" w:lineRule="auto"/>
              <w:jc w:val="both"/>
              <w:rPr>
                <w:bCs/>
                <w:lang w:val="hy-AM"/>
              </w:rPr>
            </w:pPr>
          </w:p>
          <w:p w:rsidR="00C03D3D" w:rsidRPr="00C03D3D" w:rsidRDefault="00C03D3D" w:rsidP="00C03D3D">
            <w:pPr>
              <w:tabs>
                <w:tab w:val="left" w:pos="5253"/>
              </w:tabs>
              <w:spacing w:after="0" w:line="360" w:lineRule="auto"/>
              <w:jc w:val="both"/>
              <w:rPr>
                <w:bCs/>
                <w:lang w:val="hy-AM"/>
              </w:rPr>
            </w:pPr>
          </w:p>
          <w:p w:rsidR="00C03D3D" w:rsidRPr="00C03D3D" w:rsidRDefault="00C03D3D" w:rsidP="00C03D3D">
            <w:pPr>
              <w:tabs>
                <w:tab w:val="left" w:pos="5253"/>
              </w:tabs>
              <w:spacing w:after="0" w:line="360" w:lineRule="auto"/>
              <w:jc w:val="both"/>
              <w:rPr>
                <w:bCs/>
                <w:lang w:val="hy-AM"/>
              </w:rPr>
            </w:pPr>
          </w:p>
          <w:p w:rsidR="00C03D3D" w:rsidRPr="00C03D3D" w:rsidRDefault="00C03D3D" w:rsidP="00C03D3D">
            <w:pPr>
              <w:tabs>
                <w:tab w:val="left" w:pos="5253"/>
              </w:tabs>
              <w:spacing w:after="0" w:line="360" w:lineRule="auto"/>
              <w:jc w:val="both"/>
              <w:rPr>
                <w:bCs/>
                <w:lang w:val="hy-AM"/>
              </w:rPr>
            </w:pPr>
          </w:p>
        </w:tc>
        <w:tc>
          <w:tcPr>
            <w:tcW w:w="2559" w:type="pct"/>
            <w:gridSpan w:val="2"/>
            <w:tcBorders>
              <w:top w:val="outset" w:sz="6" w:space="0" w:color="auto"/>
              <w:left w:val="outset" w:sz="6" w:space="0" w:color="auto"/>
              <w:bottom w:val="outset" w:sz="6" w:space="0" w:color="auto"/>
              <w:right w:val="outset" w:sz="6" w:space="0" w:color="auto"/>
            </w:tcBorders>
            <w:shd w:val="clear" w:color="auto" w:fill="FFFFFF"/>
            <w:hideMark/>
          </w:tcPr>
          <w:p w:rsidR="00C03D3D" w:rsidRPr="00C03D3D" w:rsidRDefault="00C03D3D" w:rsidP="00C03D3D">
            <w:pPr>
              <w:tabs>
                <w:tab w:val="left" w:pos="5253"/>
              </w:tabs>
              <w:spacing w:after="0" w:line="360" w:lineRule="auto"/>
              <w:jc w:val="center"/>
              <w:rPr>
                <w:bCs/>
                <w:lang w:val="hy-AM"/>
              </w:rPr>
            </w:pPr>
            <w:r w:rsidRPr="00C03D3D">
              <w:rPr>
                <w:bCs/>
                <w:lang w:val="hy-AM"/>
              </w:rPr>
              <w:t>Ընդունվել է։</w:t>
            </w:r>
          </w:p>
          <w:p w:rsidR="00C03D3D" w:rsidRPr="00C03D3D" w:rsidRDefault="00C03D3D" w:rsidP="00C03D3D">
            <w:pPr>
              <w:tabs>
                <w:tab w:val="left" w:pos="5253"/>
              </w:tabs>
              <w:spacing w:after="0" w:line="360" w:lineRule="auto"/>
              <w:jc w:val="both"/>
              <w:rPr>
                <w:bCs/>
                <w:lang w:val="hy-AM"/>
              </w:rPr>
            </w:pPr>
            <w:r w:rsidRPr="00C03D3D">
              <w:rPr>
                <w:bCs/>
                <w:lang w:val="hy-AM"/>
              </w:rPr>
              <w:t>Նախագծով առաջարկվող փոփոխություններով նախատեսվում է դատավորների համար սահմանված հավելումները նվազեցնել հիմնական աշխատավարձի բարձրացման չափով։ Ընդ որում, Նախագծի լրամշակված տարբերակում վերանայվել է հավելումների նվազեցման բանաձևը՝ դատավորների աշխատավարձի ընդհանուր չափի մեջ հաշվի առնելով նաև պարգևատրումների չափը, միջին հաշվով պաշտոնային դրույքաչափի 30 տոկոսի չափով։ Ուստի հաշվի առնելով նաև ՀՀ Դատական օրենսգիրք սահմանադրական օրենքի 57-րդ հոդվածի պահանջը Նախագծով առաջարկվող փոփոխությունները նախատեսվել են այն տրամաբանությամբ, որ դատավորների զուտ եկամուտը չնվազի։ Ինչ վերաբերում է նույն հոդվածի այն դրույթին, որով թույլատրվում է դատավորների աշխատավարձը և հավելավճարը նվազեցնել միայն այն դեպքում, երբ համարժեք պակասեցում է կատարվում բոլոր բարձրաստիճան պաշտոնատար անձանց համար, ապա պետք է նկատել, որ Նախագծով առաջարկվում է վերանայել  բոլոր այն բարձրաստիճան պաշտոնատար անձանց աշխատավարձերը, որոնց համար սահմանված են համապատասխան հավելումներ։</w:t>
            </w:r>
          </w:p>
          <w:p w:rsidR="00C03D3D" w:rsidRPr="00C03D3D" w:rsidRDefault="00C03D3D" w:rsidP="00C03D3D">
            <w:pPr>
              <w:tabs>
                <w:tab w:val="left" w:pos="5253"/>
              </w:tabs>
              <w:spacing w:after="0" w:line="360" w:lineRule="auto"/>
              <w:jc w:val="both"/>
              <w:rPr>
                <w:bCs/>
                <w:lang w:val="hy-AM"/>
              </w:rPr>
            </w:pPr>
            <w:r w:rsidRPr="00C03D3D">
              <w:rPr>
                <w:bCs/>
                <w:lang w:val="hy-AM"/>
              </w:rPr>
              <w:t>Նախագծից հանվել է նաև Վճռաբեկ դատարանի դատավորի պաշտոն զբաղեցնող անձանց համար նախատեսված հավելումների նվազեցմանը վերաբերող դրույթը։</w:t>
            </w:r>
          </w:p>
        </w:tc>
      </w:tr>
      <w:tr w:rsidR="00C03D3D" w:rsidRPr="00C03D3D" w:rsidTr="005904E5">
        <w:trPr>
          <w:tblCellSpacing w:w="0" w:type="dxa"/>
          <w:jc w:val="center"/>
        </w:trPr>
        <w:tc>
          <w:tcPr>
            <w:tcW w:w="3827" w:type="pct"/>
            <w:gridSpan w:val="2"/>
            <w:vMerge w:val="restart"/>
            <w:tcBorders>
              <w:top w:val="outset" w:sz="6" w:space="0" w:color="auto"/>
              <w:left w:val="outset" w:sz="6" w:space="0" w:color="auto"/>
              <w:bottom w:val="outset" w:sz="6" w:space="0" w:color="auto"/>
              <w:right w:val="outset" w:sz="6" w:space="0" w:color="auto"/>
            </w:tcBorders>
            <w:shd w:val="clear" w:color="auto" w:fill="D0D0D0"/>
            <w:hideMark/>
          </w:tcPr>
          <w:p w:rsidR="00C03D3D" w:rsidRPr="00C03D3D" w:rsidRDefault="00C03D3D" w:rsidP="00C03D3D">
            <w:pPr>
              <w:tabs>
                <w:tab w:val="left" w:pos="5253"/>
              </w:tabs>
              <w:spacing w:after="0" w:line="360" w:lineRule="auto"/>
              <w:jc w:val="center"/>
              <w:rPr>
                <w:b/>
                <w:bCs/>
                <w:lang w:val="hy-AM"/>
              </w:rPr>
            </w:pPr>
            <w:r w:rsidRPr="00C03D3D">
              <w:rPr>
                <w:rFonts w:cs="GHEA Grapalat"/>
                <w:b/>
                <w:bCs/>
                <w:lang w:val="hy-AM"/>
              </w:rPr>
              <w:t>6. Վարչապետի աշխատակազմի ծրագրերի փորձաքննության վարչություն</w:t>
            </w:r>
          </w:p>
        </w:tc>
        <w:tc>
          <w:tcPr>
            <w:tcW w:w="1173" w:type="pct"/>
            <w:tcBorders>
              <w:top w:val="outset" w:sz="6" w:space="0" w:color="auto"/>
              <w:left w:val="outset" w:sz="6" w:space="0" w:color="auto"/>
              <w:bottom w:val="outset" w:sz="6" w:space="0" w:color="auto"/>
              <w:right w:val="outset" w:sz="6" w:space="0" w:color="auto"/>
            </w:tcBorders>
            <w:shd w:val="clear" w:color="auto" w:fill="D0D0D0"/>
            <w:hideMark/>
          </w:tcPr>
          <w:p w:rsidR="00C03D3D" w:rsidRPr="00C03D3D" w:rsidRDefault="00C03D3D" w:rsidP="00C03D3D">
            <w:pPr>
              <w:tabs>
                <w:tab w:val="left" w:pos="5253"/>
              </w:tabs>
              <w:spacing w:after="0" w:line="360" w:lineRule="auto"/>
              <w:rPr>
                <w:b/>
                <w:bCs/>
                <w:i/>
                <w:lang w:val="hy-AM"/>
              </w:rPr>
            </w:pPr>
            <w:r w:rsidRPr="00C03D3D">
              <w:rPr>
                <w:b/>
                <w:bCs/>
                <w:lang w:val="hy-AM"/>
              </w:rPr>
              <w:t>10.11.2022</w:t>
            </w:r>
          </w:p>
        </w:tc>
      </w:tr>
      <w:tr w:rsidR="00C03D3D" w:rsidRPr="00C03D3D" w:rsidTr="005904E5">
        <w:trPr>
          <w:trHeight w:val="853"/>
          <w:tblCellSpacing w:w="0" w:type="dxa"/>
          <w:jc w:val="center"/>
        </w:trPr>
        <w:tc>
          <w:tcPr>
            <w:tcW w:w="3827" w:type="pct"/>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03D3D" w:rsidRPr="00C03D3D" w:rsidRDefault="00C03D3D" w:rsidP="00C03D3D">
            <w:pPr>
              <w:tabs>
                <w:tab w:val="left" w:pos="5253"/>
              </w:tabs>
              <w:spacing w:after="0" w:line="360" w:lineRule="auto"/>
              <w:rPr>
                <w:b/>
                <w:bCs/>
                <w:lang w:val="hy-AM"/>
              </w:rPr>
            </w:pPr>
          </w:p>
        </w:tc>
        <w:tc>
          <w:tcPr>
            <w:tcW w:w="1173" w:type="pct"/>
            <w:tcBorders>
              <w:top w:val="outset" w:sz="6" w:space="0" w:color="auto"/>
              <w:left w:val="outset" w:sz="6" w:space="0" w:color="auto"/>
              <w:bottom w:val="outset" w:sz="6" w:space="0" w:color="auto"/>
              <w:right w:val="outset" w:sz="6" w:space="0" w:color="auto"/>
            </w:tcBorders>
            <w:shd w:val="clear" w:color="auto" w:fill="D0D0D0"/>
            <w:hideMark/>
          </w:tcPr>
          <w:p w:rsidR="00C03D3D" w:rsidRPr="00C03D3D" w:rsidRDefault="00C03D3D" w:rsidP="00C03D3D">
            <w:pPr>
              <w:tabs>
                <w:tab w:val="left" w:pos="5253"/>
              </w:tabs>
              <w:spacing w:after="0" w:line="360" w:lineRule="auto"/>
              <w:rPr>
                <w:b/>
                <w:bCs/>
                <w:lang w:val="hy-AM"/>
              </w:rPr>
            </w:pPr>
            <w:r w:rsidRPr="00C03D3D">
              <w:rPr>
                <w:b/>
                <w:bCs/>
                <w:lang w:val="hy-AM"/>
              </w:rPr>
              <w:t>N 02/46.3/36703-2022</w:t>
            </w:r>
          </w:p>
        </w:tc>
      </w:tr>
      <w:tr w:rsidR="00C03D3D" w:rsidRPr="00C03D3D" w:rsidTr="005904E5">
        <w:trPr>
          <w:tblCellSpacing w:w="0" w:type="dxa"/>
          <w:jc w:val="center"/>
        </w:trPr>
        <w:tc>
          <w:tcPr>
            <w:tcW w:w="2441" w:type="pct"/>
            <w:tcBorders>
              <w:top w:val="outset" w:sz="6" w:space="0" w:color="auto"/>
              <w:left w:val="outset" w:sz="6" w:space="0" w:color="auto"/>
              <w:bottom w:val="outset" w:sz="6" w:space="0" w:color="auto"/>
              <w:right w:val="outset" w:sz="6" w:space="0" w:color="auto"/>
            </w:tcBorders>
            <w:shd w:val="clear" w:color="auto" w:fill="FFFFFF"/>
            <w:hideMark/>
          </w:tcPr>
          <w:p w:rsidR="00C03D3D" w:rsidRPr="00C03D3D" w:rsidRDefault="00C03D3D" w:rsidP="00C03D3D">
            <w:pPr>
              <w:tabs>
                <w:tab w:val="left" w:pos="5253"/>
              </w:tabs>
              <w:spacing w:after="0" w:line="360" w:lineRule="auto"/>
              <w:jc w:val="both"/>
              <w:rPr>
                <w:bCs/>
                <w:lang w:val="hy-AM"/>
              </w:rPr>
            </w:pPr>
            <w:r w:rsidRPr="00C03D3D">
              <w:rPr>
                <w:bCs/>
                <w:lang w:val="hy-AM"/>
              </w:rPr>
              <w:t>Նախագծի վերաբերյալ դիտողություններ և առաջարկություններ չկան։</w:t>
            </w:r>
          </w:p>
        </w:tc>
        <w:tc>
          <w:tcPr>
            <w:tcW w:w="2559" w:type="pct"/>
            <w:gridSpan w:val="2"/>
            <w:tcBorders>
              <w:top w:val="outset" w:sz="6" w:space="0" w:color="auto"/>
              <w:left w:val="outset" w:sz="6" w:space="0" w:color="auto"/>
              <w:bottom w:val="outset" w:sz="6" w:space="0" w:color="auto"/>
              <w:right w:val="outset" w:sz="6" w:space="0" w:color="auto"/>
            </w:tcBorders>
            <w:shd w:val="clear" w:color="auto" w:fill="FFFFFF"/>
            <w:hideMark/>
          </w:tcPr>
          <w:p w:rsidR="00C03D3D" w:rsidRPr="00C03D3D" w:rsidRDefault="00C03D3D" w:rsidP="00C03D3D">
            <w:pPr>
              <w:tabs>
                <w:tab w:val="left" w:pos="5253"/>
              </w:tabs>
              <w:spacing w:after="0" w:line="360" w:lineRule="auto"/>
              <w:jc w:val="center"/>
              <w:rPr>
                <w:rFonts w:cs="Courier New"/>
                <w:bCs/>
                <w:lang w:val="hy-AM"/>
              </w:rPr>
            </w:pPr>
            <w:r w:rsidRPr="00C03D3D">
              <w:rPr>
                <w:rFonts w:cs="Courier New"/>
                <w:bCs/>
                <w:lang w:val="hy-AM"/>
              </w:rPr>
              <w:t>Ընդունվել է ի գիտություն:</w:t>
            </w:r>
          </w:p>
          <w:p w:rsidR="00C03D3D" w:rsidRPr="00C03D3D" w:rsidRDefault="00C03D3D" w:rsidP="00C03D3D">
            <w:pPr>
              <w:tabs>
                <w:tab w:val="left" w:pos="5253"/>
              </w:tabs>
              <w:spacing w:after="0" w:line="360" w:lineRule="auto"/>
              <w:jc w:val="both"/>
              <w:rPr>
                <w:bCs/>
                <w:lang w:val="hy-AM"/>
              </w:rPr>
            </w:pPr>
          </w:p>
        </w:tc>
      </w:tr>
      <w:tr w:rsidR="00C03D3D" w:rsidRPr="00C03D3D" w:rsidTr="005904E5">
        <w:trPr>
          <w:tblCellSpacing w:w="0" w:type="dxa"/>
          <w:jc w:val="center"/>
        </w:trPr>
        <w:tc>
          <w:tcPr>
            <w:tcW w:w="3827" w:type="pct"/>
            <w:gridSpan w:val="2"/>
            <w:vMerge w:val="restart"/>
            <w:tcBorders>
              <w:top w:val="outset" w:sz="6" w:space="0" w:color="auto"/>
              <w:left w:val="outset" w:sz="6" w:space="0" w:color="auto"/>
              <w:bottom w:val="outset" w:sz="6" w:space="0" w:color="auto"/>
              <w:right w:val="outset" w:sz="6" w:space="0" w:color="auto"/>
            </w:tcBorders>
            <w:shd w:val="clear" w:color="auto" w:fill="D0D0D0"/>
            <w:hideMark/>
          </w:tcPr>
          <w:p w:rsidR="00C03D3D" w:rsidRPr="00C03D3D" w:rsidRDefault="00C03D3D" w:rsidP="00C03D3D">
            <w:pPr>
              <w:tabs>
                <w:tab w:val="left" w:pos="5253"/>
              </w:tabs>
              <w:spacing w:after="0" w:line="360" w:lineRule="auto"/>
              <w:jc w:val="center"/>
              <w:rPr>
                <w:b/>
                <w:bCs/>
                <w:lang w:val="hy-AM"/>
              </w:rPr>
            </w:pPr>
            <w:r w:rsidRPr="00C03D3D">
              <w:rPr>
                <w:rFonts w:cs="GHEA Grapalat"/>
                <w:b/>
                <w:bCs/>
                <w:lang w:val="hy-AM"/>
              </w:rPr>
              <w:t>7. Վարչապետի աշխատակազմի ֆինանսական և հաշվապահական հաշվառման վարչություն</w:t>
            </w:r>
          </w:p>
        </w:tc>
        <w:tc>
          <w:tcPr>
            <w:tcW w:w="1173" w:type="pct"/>
            <w:tcBorders>
              <w:top w:val="outset" w:sz="6" w:space="0" w:color="auto"/>
              <w:left w:val="outset" w:sz="6" w:space="0" w:color="auto"/>
              <w:bottom w:val="outset" w:sz="6" w:space="0" w:color="auto"/>
              <w:right w:val="outset" w:sz="6" w:space="0" w:color="auto"/>
            </w:tcBorders>
            <w:shd w:val="clear" w:color="auto" w:fill="D0D0D0"/>
            <w:hideMark/>
          </w:tcPr>
          <w:p w:rsidR="00C03D3D" w:rsidRPr="00C03D3D" w:rsidRDefault="00C03D3D" w:rsidP="00C03D3D">
            <w:pPr>
              <w:tabs>
                <w:tab w:val="left" w:pos="5253"/>
              </w:tabs>
              <w:spacing w:after="0" w:line="360" w:lineRule="auto"/>
              <w:rPr>
                <w:b/>
                <w:bCs/>
                <w:i/>
                <w:lang w:val="hy-AM"/>
              </w:rPr>
            </w:pPr>
            <w:r w:rsidRPr="00C03D3D">
              <w:rPr>
                <w:b/>
                <w:bCs/>
                <w:lang w:val="hy-AM"/>
              </w:rPr>
              <w:t>10.11.2022</w:t>
            </w:r>
          </w:p>
        </w:tc>
      </w:tr>
      <w:tr w:rsidR="00C03D3D" w:rsidRPr="00C03D3D" w:rsidTr="005904E5">
        <w:trPr>
          <w:trHeight w:val="853"/>
          <w:tblCellSpacing w:w="0" w:type="dxa"/>
          <w:jc w:val="center"/>
        </w:trPr>
        <w:tc>
          <w:tcPr>
            <w:tcW w:w="3827" w:type="pct"/>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03D3D" w:rsidRPr="00C03D3D" w:rsidRDefault="00C03D3D" w:rsidP="00C03D3D">
            <w:pPr>
              <w:tabs>
                <w:tab w:val="left" w:pos="5253"/>
              </w:tabs>
              <w:spacing w:after="0" w:line="360" w:lineRule="auto"/>
              <w:rPr>
                <w:b/>
                <w:bCs/>
                <w:lang w:val="hy-AM"/>
              </w:rPr>
            </w:pPr>
          </w:p>
        </w:tc>
        <w:tc>
          <w:tcPr>
            <w:tcW w:w="1173" w:type="pct"/>
            <w:tcBorders>
              <w:top w:val="outset" w:sz="6" w:space="0" w:color="auto"/>
              <w:left w:val="outset" w:sz="6" w:space="0" w:color="auto"/>
              <w:bottom w:val="outset" w:sz="6" w:space="0" w:color="auto"/>
              <w:right w:val="outset" w:sz="6" w:space="0" w:color="auto"/>
            </w:tcBorders>
            <w:shd w:val="clear" w:color="auto" w:fill="D0D0D0"/>
            <w:hideMark/>
          </w:tcPr>
          <w:p w:rsidR="00C03D3D" w:rsidRPr="00C03D3D" w:rsidRDefault="00C03D3D" w:rsidP="00C03D3D">
            <w:pPr>
              <w:tabs>
                <w:tab w:val="left" w:pos="5253"/>
              </w:tabs>
              <w:spacing w:after="0" w:line="360" w:lineRule="auto"/>
              <w:rPr>
                <w:b/>
                <w:bCs/>
                <w:lang w:val="hy-AM"/>
              </w:rPr>
            </w:pPr>
            <w:r w:rsidRPr="00C03D3D">
              <w:rPr>
                <w:b/>
                <w:bCs/>
                <w:lang w:val="hy-AM"/>
              </w:rPr>
              <w:t>N 02/46.3/36703-2022</w:t>
            </w:r>
          </w:p>
        </w:tc>
      </w:tr>
      <w:tr w:rsidR="00C03D3D" w:rsidRPr="00C03D3D" w:rsidTr="005904E5">
        <w:trPr>
          <w:tblCellSpacing w:w="0" w:type="dxa"/>
          <w:jc w:val="center"/>
        </w:trPr>
        <w:tc>
          <w:tcPr>
            <w:tcW w:w="2441" w:type="pct"/>
            <w:tcBorders>
              <w:top w:val="outset" w:sz="6" w:space="0" w:color="auto"/>
              <w:left w:val="outset" w:sz="6" w:space="0" w:color="auto"/>
              <w:bottom w:val="outset" w:sz="6" w:space="0" w:color="auto"/>
              <w:right w:val="outset" w:sz="6" w:space="0" w:color="auto"/>
            </w:tcBorders>
            <w:shd w:val="clear" w:color="auto" w:fill="FFFFFF"/>
            <w:hideMark/>
          </w:tcPr>
          <w:p w:rsidR="00C03D3D" w:rsidRPr="00C03D3D" w:rsidRDefault="00C03D3D" w:rsidP="00C03D3D">
            <w:pPr>
              <w:tabs>
                <w:tab w:val="left" w:pos="5253"/>
              </w:tabs>
              <w:spacing w:after="0" w:line="360" w:lineRule="auto"/>
              <w:jc w:val="both"/>
              <w:rPr>
                <w:bCs/>
                <w:lang w:val="hy-AM"/>
              </w:rPr>
            </w:pPr>
            <w:r w:rsidRPr="00C03D3D">
              <w:rPr>
                <w:bCs/>
                <w:lang w:val="hy-AM"/>
              </w:rPr>
              <w:t>Նախագծի վերաբերյալ դիտողություններ և առաջարկություններ չկան։</w:t>
            </w:r>
          </w:p>
        </w:tc>
        <w:tc>
          <w:tcPr>
            <w:tcW w:w="2559" w:type="pct"/>
            <w:gridSpan w:val="2"/>
            <w:tcBorders>
              <w:top w:val="outset" w:sz="6" w:space="0" w:color="auto"/>
              <w:left w:val="outset" w:sz="6" w:space="0" w:color="auto"/>
              <w:bottom w:val="outset" w:sz="6" w:space="0" w:color="auto"/>
              <w:right w:val="outset" w:sz="6" w:space="0" w:color="auto"/>
            </w:tcBorders>
            <w:shd w:val="clear" w:color="auto" w:fill="FFFFFF"/>
            <w:hideMark/>
          </w:tcPr>
          <w:p w:rsidR="00C03D3D" w:rsidRPr="00C03D3D" w:rsidRDefault="00C03D3D" w:rsidP="00C03D3D">
            <w:pPr>
              <w:tabs>
                <w:tab w:val="left" w:pos="5253"/>
              </w:tabs>
              <w:spacing w:after="0" w:line="360" w:lineRule="auto"/>
              <w:jc w:val="center"/>
              <w:rPr>
                <w:rFonts w:cs="Courier New"/>
                <w:bCs/>
                <w:lang w:val="hy-AM"/>
              </w:rPr>
            </w:pPr>
            <w:r w:rsidRPr="00C03D3D">
              <w:rPr>
                <w:rFonts w:cs="Courier New"/>
                <w:bCs/>
                <w:lang w:val="hy-AM"/>
              </w:rPr>
              <w:t>Ընդունվել է ի գիտություն:</w:t>
            </w:r>
          </w:p>
          <w:p w:rsidR="00C03D3D" w:rsidRPr="00C03D3D" w:rsidRDefault="00C03D3D" w:rsidP="00C03D3D">
            <w:pPr>
              <w:tabs>
                <w:tab w:val="left" w:pos="5253"/>
              </w:tabs>
              <w:spacing w:after="0" w:line="360" w:lineRule="auto"/>
              <w:jc w:val="both"/>
              <w:rPr>
                <w:bCs/>
                <w:lang w:val="hy-AM"/>
              </w:rPr>
            </w:pPr>
          </w:p>
        </w:tc>
      </w:tr>
      <w:tr w:rsidR="00C03D3D" w:rsidRPr="00C03D3D" w:rsidTr="005904E5">
        <w:trPr>
          <w:tblCellSpacing w:w="0" w:type="dxa"/>
          <w:jc w:val="center"/>
        </w:trPr>
        <w:tc>
          <w:tcPr>
            <w:tcW w:w="3827" w:type="pct"/>
            <w:gridSpan w:val="2"/>
            <w:vMerge w:val="restart"/>
            <w:tcBorders>
              <w:top w:val="outset" w:sz="6" w:space="0" w:color="auto"/>
              <w:left w:val="outset" w:sz="6" w:space="0" w:color="auto"/>
              <w:bottom w:val="outset" w:sz="6" w:space="0" w:color="auto"/>
              <w:right w:val="outset" w:sz="6" w:space="0" w:color="auto"/>
            </w:tcBorders>
            <w:shd w:val="clear" w:color="auto" w:fill="D0D0D0"/>
            <w:hideMark/>
          </w:tcPr>
          <w:p w:rsidR="00C03D3D" w:rsidRPr="00C03D3D" w:rsidRDefault="00C03D3D" w:rsidP="00C03D3D">
            <w:pPr>
              <w:tabs>
                <w:tab w:val="left" w:pos="5253"/>
              </w:tabs>
              <w:spacing w:after="0" w:line="360" w:lineRule="auto"/>
              <w:jc w:val="center"/>
              <w:rPr>
                <w:b/>
                <w:bCs/>
                <w:lang w:val="hy-AM"/>
              </w:rPr>
            </w:pPr>
            <w:r w:rsidRPr="00C03D3D">
              <w:rPr>
                <w:rFonts w:cs="GHEA Grapalat"/>
                <w:b/>
                <w:bCs/>
                <w:lang w:val="hy-AM"/>
              </w:rPr>
              <w:t>8. Վարչապետի աշխատակազմի Ֆինանսատնտեսագիտական վարչություն</w:t>
            </w:r>
          </w:p>
        </w:tc>
        <w:tc>
          <w:tcPr>
            <w:tcW w:w="1173" w:type="pct"/>
            <w:tcBorders>
              <w:top w:val="outset" w:sz="6" w:space="0" w:color="auto"/>
              <w:left w:val="outset" w:sz="6" w:space="0" w:color="auto"/>
              <w:bottom w:val="outset" w:sz="6" w:space="0" w:color="auto"/>
              <w:right w:val="outset" w:sz="6" w:space="0" w:color="auto"/>
            </w:tcBorders>
            <w:shd w:val="clear" w:color="auto" w:fill="D0D0D0"/>
            <w:hideMark/>
          </w:tcPr>
          <w:p w:rsidR="00C03D3D" w:rsidRPr="00C03D3D" w:rsidRDefault="00C03D3D" w:rsidP="00C03D3D">
            <w:pPr>
              <w:tabs>
                <w:tab w:val="left" w:pos="5253"/>
              </w:tabs>
              <w:spacing w:after="0" w:line="360" w:lineRule="auto"/>
              <w:rPr>
                <w:b/>
                <w:bCs/>
                <w:i/>
                <w:lang w:val="hy-AM"/>
              </w:rPr>
            </w:pPr>
            <w:r w:rsidRPr="00C03D3D">
              <w:rPr>
                <w:b/>
                <w:bCs/>
                <w:lang w:val="hy-AM"/>
              </w:rPr>
              <w:t>10.11.2022</w:t>
            </w:r>
          </w:p>
        </w:tc>
      </w:tr>
      <w:tr w:rsidR="00C03D3D" w:rsidRPr="00C03D3D" w:rsidTr="005904E5">
        <w:trPr>
          <w:trHeight w:val="853"/>
          <w:tblCellSpacing w:w="0" w:type="dxa"/>
          <w:jc w:val="center"/>
        </w:trPr>
        <w:tc>
          <w:tcPr>
            <w:tcW w:w="3827" w:type="pct"/>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03D3D" w:rsidRPr="00C03D3D" w:rsidRDefault="00C03D3D" w:rsidP="00C03D3D">
            <w:pPr>
              <w:tabs>
                <w:tab w:val="left" w:pos="5253"/>
              </w:tabs>
              <w:spacing w:after="0" w:line="360" w:lineRule="auto"/>
              <w:rPr>
                <w:b/>
                <w:bCs/>
                <w:lang w:val="hy-AM"/>
              </w:rPr>
            </w:pPr>
          </w:p>
        </w:tc>
        <w:tc>
          <w:tcPr>
            <w:tcW w:w="1173" w:type="pct"/>
            <w:tcBorders>
              <w:top w:val="outset" w:sz="6" w:space="0" w:color="auto"/>
              <w:left w:val="outset" w:sz="6" w:space="0" w:color="auto"/>
              <w:bottom w:val="outset" w:sz="6" w:space="0" w:color="auto"/>
              <w:right w:val="outset" w:sz="6" w:space="0" w:color="auto"/>
            </w:tcBorders>
            <w:shd w:val="clear" w:color="auto" w:fill="D0D0D0"/>
            <w:hideMark/>
          </w:tcPr>
          <w:p w:rsidR="00C03D3D" w:rsidRPr="00C03D3D" w:rsidRDefault="00C03D3D" w:rsidP="00C03D3D">
            <w:pPr>
              <w:tabs>
                <w:tab w:val="left" w:pos="5253"/>
              </w:tabs>
              <w:spacing w:after="0" w:line="360" w:lineRule="auto"/>
              <w:rPr>
                <w:b/>
                <w:bCs/>
                <w:lang w:val="hy-AM"/>
              </w:rPr>
            </w:pPr>
            <w:r w:rsidRPr="00C03D3D">
              <w:rPr>
                <w:b/>
                <w:bCs/>
                <w:lang w:val="hy-AM"/>
              </w:rPr>
              <w:t>N 02/46.3/36703-2022</w:t>
            </w:r>
          </w:p>
        </w:tc>
      </w:tr>
      <w:tr w:rsidR="00C03D3D" w:rsidRPr="00C03D3D" w:rsidTr="005904E5">
        <w:trPr>
          <w:tblCellSpacing w:w="0" w:type="dxa"/>
          <w:jc w:val="center"/>
        </w:trPr>
        <w:tc>
          <w:tcPr>
            <w:tcW w:w="2441" w:type="pct"/>
            <w:tcBorders>
              <w:top w:val="outset" w:sz="6" w:space="0" w:color="auto"/>
              <w:left w:val="outset" w:sz="6" w:space="0" w:color="auto"/>
              <w:bottom w:val="outset" w:sz="6" w:space="0" w:color="auto"/>
              <w:right w:val="outset" w:sz="6" w:space="0" w:color="auto"/>
            </w:tcBorders>
            <w:shd w:val="clear" w:color="auto" w:fill="FFFFFF"/>
            <w:hideMark/>
          </w:tcPr>
          <w:p w:rsidR="00C03D3D" w:rsidRPr="00C03D3D" w:rsidRDefault="00C03D3D" w:rsidP="00C03D3D">
            <w:pPr>
              <w:tabs>
                <w:tab w:val="left" w:pos="5253"/>
              </w:tabs>
              <w:spacing w:after="0" w:line="360" w:lineRule="auto"/>
              <w:jc w:val="both"/>
              <w:rPr>
                <w:bCs/>
                <w:lang w:val="hy-AM"/>
              </w:rPr>
            </w:pPr>
            <w:r w:rsidRPr="00C03D3D">
              <w:rPr>
                <w:bCs/>
                <w:lang w:val="hy-AM"/>
              </w:rPr>
              <w:t>Նախագծի վերաբերյալ դիտողություններ և առաջարկություններ չկան։</w:t>
            </w:r>
          </w:p>
        </w:tc>
        <w:tc>
          <w:tcPr>
            <w:tcW w:w="2559" w:type="pct"/>
            <w:gridSpan w:val="2"/>
            <w:tcBorders>
              <w:top w:val="outset" w:sz="6" w:space="0" w:color="auto"/>
              <w:left w:val="outset" w:sz="6" w:space="0" w:color="auto"/>
              <w:bottom w:val="outset" w:sz="6" w:space="0" w:color="auto"/>
              <w:right w:val="outset" w:sz="6" w:space="0" w:color="auto"/>
            </w:tcBorders>
            <w:shd w:val="clear" w:color="auto" w:fill="FFFFFF"/>
            <w:hideMark/>
          </w:tcPr>
          <w:p w:rsidR="00C03D3D" w:rsidRPr="00C03D3D" w:rsidRDefault="00C03D3D" w:rsidP="00C03D3D">
            <w:pPr>
              <w:tabs>
                <w:tab w:val="left" w:pos="5253"/>
              </w:tabs>
              <w:spacing w:after="0" w:line="360" w:lineRule="auto"/>
              <w:jc w:val="center"/>
              <w:rPr>
                <w:rFonts w:cs="Courier New"/>
                <w:bCs/>
                <w:lang w:val="hy-AM"/>
              </w:rPr>
            </w:pPr>
            <w:r w:rsidRPr="00C03D3D">
              <w:rPr>
                <w:rFonts w:cs="Courier New"/>
                <w:bCs/>
                <w:lang w:val="hy-AM"/>
              </w:rPr>
              <w:t>Ընդունվել է ի գիտություն:</w:t>
            </w:r>
          </w:p>
          <w:p w:rsidR="00C03D3D" w:rsidRPr="00C03D3D" w:rsidRDefault="00C03D3D" w:rsidP="00C03D3D">
            <w:pPr>
              <w:tabs>
                <w:tab w:val="left" w:pos="5253"/>
              </w:tabs>
              <w:spacing w:after="0" w:line="360" w:lineRule="auto"/>
              <w:jc w:val="both"/>
              <w:rPr>
                <w:bCs/>
                <w:lang w:val="hy-AM"/>
              </w:rPr>
            </w:pPr>
          </w:p>
        </w:tc>
      </w:tr>
      <w:tr w:rsidR="00C03D3D" w:rsidRPr="00C03D3D" w:rsidTr="005904E5">
        <w:trPr>
          <w:tblCellSpacing w:w="0" w:type="dxa"/>
          <w:jc w:val="center"/>
        </w:trPr>
        <w:tc>
          <w:tcPr>
            <w:tcW w:w="3827" w:type="pct"/>
            <w:gridSpan w:val="2"/>
            <w:vMerge w:val="restart"/>
            <w:tcBorders>
              <w:top w:val="outset" w:sz="6" w:space="0" w:color="auto"/>
              <w:left w:val="outset" w:sz="6" w:space="0" w:color="auto"/>
              <w:bottom w:val="outset" w:sz="6" w:space="0" w:color="auto"/>
              <w:right w:val="outset" w:sz="6" w:space="0" w:color="auto"/>
            </w:tcBorders>
            <w:shd w:val="clear" w:color="auto" w:fill="D0D0D0"/>
            <w:hideMark/>
          </w:tcPr>
          <w:p w:rsidR="00C03D3D" w:rsidRPr="00C03D3D" w:rsidRDefault="00C03D3D" w:rsidP="00C03D3D">
            <w:pPr>
              <w:tabs>
                <w:tab w:val="left" w:pos="5253"/>
              </w:tabs>
              <w:spacing w:after="0" w:line="360" w:lineRule="auto"/>
              <w:jc w:val="center"/>
              <w:rPr>
                <w:b/>
                <w:bCs/>
                <w:lang w:val="hy-AM"/>
              </w:rPr>
            </w:pPr>
            <w:r w:rsidRPr="00C03D3D">
              <w:rPr>
                <w:rFonts w:cs="GHEA Grapalat"/>
                <w:b/>
                <w:bCs/>
                <w:lang w:val="hy-AM"/>
              </w:rPr>
              <w:t>9. Վարչապետի աշխատակազմի Ազգային ժողովի հետ կապերի վարչություն</w:t>
            </w:r>
          </w:p>
        </w:tc>
        <w:tc>
          <w:tcPr>
            <w:tcW w:w="1173" w:type="pct"/>
            <w:tcBorders>
              <w:top w:val="outset" w:sz="6" w:space="0" w:color="auto"/>
              <w:left w:val="outset" w:sz="6" w:space="0" w:color="auto"/>
              <w:bottom w:val="outset" w:sz="6" w:space="0" w:color="auto"/>
              <w:right w:val="outset" w:sz="6" w:space="0" w:color="auto"/>
            </w:tcBorders>
            <w:shd w:val="clear" w:color="auto" w:fill="D0D0D0"/>
            <w:hideMark/>
          </w:tcPr>
          <w:p w:rsidR="00C03D3D" w:rsidRPr="00C03D3D" w:rsidRDefault="00C03D3D" w:rsidP="00C03D3D">
            <w:pPr>
              <w:tabs>
                <w:tab w:val="left" w:pos="5253"/>
              </w:tabs>
              <w:spacing w:after="0" w:line="360" w:lineRule="auto"/>
              <w:rPr>
                <w:b/>
                <w:bCs/>
                <w:i/>
                <w:lang w:val="hy-AM"/>
              </w:rPr>
            </w:pPr>
            <w:r w:rsidRPr="00C03D3D">
              <w:rPr>
                <w:b/>
                <w:bCs/>
                <w:lang w:val="hy-AM"/>
              </w:rPr>
              <w:t>08.11.2022</w:t>
            </w:r>
          </w:p>
        </w:tc>
      </w:tr>
      <w:tr w:rsidR="00C03D3D" w:rsidRPr="00C03D3D" w:rsidTr="005904E5">
        <w:trPr>
          <w:trHeight w:val="853"/>
          <w:tblCellSpacing w:w="0" w:type="dxa"/>
          <w:jc w:val="center"/>
        </w:trPr>
        <w:tc>
          <w:tcPr>
            <w:tcW w:w="3827" w:type="pct"/>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03D3D" w:rsidRPr="00C03D3D" w:rsidRDefault="00C03D3D" w:rsidP="00C03D3D">
            <w:pPr>
              <w:tabs>
                <w:tab w:val="left" w:pos="5253"/>
              </w:tabs>
              <w:spacing w:after="0" w:line="360" w:lineRule="auto"/>
              <w:rPr>
                <w:b/>
                <w:bCs/>
                <w:lang w:val="hy-AM"/>
              </w:rPr>
            </w:pPr>
          </w:p>
        </w:tc>
        <w:tc>
          <w:tcPr>
            <w:tcW w:w="1173" w:type="pct"/>
            <w:tcBorders>
              <w:top w:val="outset" w:sz="6" w:space="0" w:color="auto"/>
              <w:left w:val="outset" w:sz="6" w:space="0" w:color="auto"/>
              <w:bottom w:val="outset" w:sz="6" w:space="0" w:color="auto"/>
              <w:right w:val="outset" w:sz="6" w:space="0" w:color="auto"/>
            </w:tcBorders>
            <w:shd w:val="clear" w:color="auto" w:fill="D0D0D0"/>
            <w:hideMark/>
          </w:tcPr>
          <w:p w:rsidR="00C03D3D" w:rsidRPr="00C03D3D" w:rsidRDefault="00C03D3D" w:rsidP="00C03D3D">
            <w:pPr>
              <w:tabs>
                <w:tab w:val="left" w:pos="5253"/>
              </w:tabs>
              <w:spacing w:after="0" w:line="360" w:lineRule="auto"/>
              <w:rPr>
                <w:b/>
                <w:bCs/>
                <w:lang w:val="hy-AM"/>
              </w:rPr>
            </w:pPr>
            <w:r w:rsidRPr="00C03D3D">
              <w:rPr>
                <w:b/>
                <w:bCs/>
                <w:lang w:val="hy-AM"/>
              </w:rPr>
              <w:t>N 02/46.3/36703-2022</w:t>
            </w:r>
          </w:p>
        </w:tc>
      </w:tr>
      <w:tr w:rsidR="00C03D3D" w:rsidRPr="00C03D3D" w:rsidTr="005904E5">
        <w:trPr>
          <w:tblCellSpacing w:w="0" w:type="dxa"/>
          <w:jc w:val="center"/>
        </w:trPr>
        <w:tc>
          <w:tcPr>
            <w:tcW w:w="2441" w:type="pct"/>
            <w:tcBorders>
              <w:top w:val="outset" w:sz="6" w:space="0" w:color="auto"/>
              <w:left w:val="outset" w:sz="6" w:space="0" w:color="auto"/>
              <w:bottom w:val="outset" w:sz="6" w:space="0" w:color="auto"/>
              <w:right w:val="outset" w:sz="6" w:space="0" w:color="auto"/>
            </w:tcBorders>
            <w:shd w:val="clear" w:color="auto" w:fill="FFFFFF"/>
            <w:hideMark/>
          </w:tcPr>
          <w:p w:rsidR="00C03D3D" w:rsidRPr="00C03D3D" w:rsidRDefault="00C03D3D" w:rsidP="00C03D3D">
            <w:pPr>
              <w:tabs>
                <w:tab w:val="left" w:pos="5253"/>
              </w:tabs>
              <w:spacing w:after="0" w:line="360" w:lineRule="auto"/>
              <w:jc w:val="both"/>
              <w:rPr>
                <w:bCs/>
                <w:lang w:val="hy-AM"/>
              </w:rPr>
            </w:pPr>
            <w:r w:rsidRPr="00C03D3D">
              <w:rPr>
                <w:bCs/>
                <w:lang w:val="hy-AM"/>
              </w:rPr>
              <w:t>Նախագծի վերաբերյալ դիտողություններ և առաջարկություններ չկան։</w:t>
            </w:r>
          </w:p>
        </w:tc>
        <w:tc>
          <w:tcPr>
            <w:tcW w:w="2559" w:type="pct"/>
            <w:gridSpan w:val="2"/>
            <w:tcBorders>
              <w:top w:val="outset" w:sz="6" w:space="0" w:color="auto"/>
              <w:left w:val="outset" w:sz="6" w:space="0" w:color="auto"/>
              <w:bottom w:val="outset" w:sz="6" w:space="0" w:color="auto"/>
              <w:right w:val="outset" w:sz="6" w:space="0" w:color="auto"/>
            </w:tcBorders>
            <w:shd w:val="clear" w:color="auto" w:fill="FFFFFF"/>
            <w:hideMark/>
          </w:tcPr>
          <w:p w:rsidR="00C03D3D" w:rsidRPr="00C03D3D" w:rsidRDefault="00C03D3D" w:rsidP="00C03D3D">
            <w:pPr>
              <w:tabs>
                <w:tab w:val="left" w:pos="5253"/>
              </w:tabs>
              <w:spacing w:after="0" w:line="360" w:lineRule="auto"/>
              <w:jc w:val="center"/>
              <w:rPr>
                <w:rFonts w:cs="Courier New"/>
                <w:bCs/>
                <w:lang w:val="hy-AM"/>
              </w:rPr>
            </w:pPr>
            <w:r w:rsidRPr="00C03D3D">
              <w:rPr>
                <w:rFonts w:cs="Courier New"/>
                <w:bCs/>
                <w:lang w:val="hy-AM"/>
              </w:rPr>
              <w:t>Ընդունվել է ի գիտություն:</w:t>
            </w:r>
          </w:p>
          <w:p w:rsidR="00C03D3D" w:rsidRPr="00C03D3D" w:rsidRDefault="00C03D3D" w:rsidP="00C03D3D">
            <w:pPr>
              <w:tabs>
                <w:tab w:val="left" w:pos="5253"/>
              </w:tabs>
              <w:spacing w:after="0" w:line="360" w:lineRule="auto"/>
              <w:jc w:val="both"/>
              <w:rPr>
                <w:bCs/>
                <w:lang w:val="hy-AM"/>
              </w:rPr>
            </w:pPr>
          </w:p>
        </w:tc>
      </w:tr>
      <w:tr w:rsidR="00C03D3D" w:rsidRPr="00C03D3D" w:rsidTr="005904E5">
        <w:trPr>
          <w:tblCellSpacing w:w="0" w:type="dxa"/>
          <w:jc w:val="center"/>
        </w:trPr>
        <w:tc>
          <w:tcPr>
            <w:tcW w:w="3827" w:type="pct"/>
            <w:gridSpan w:val="2"/>
            <w:vMerge w:val="restart"/>
            <w:tcBorders>
              <w:top w:val="outset" w:sz="6" w:space="0" w:color="auto"/>
              <w:left w:val="outset" w:sz="6" w:space="0" w:color="auto"/>
              <w:bottom w:val="outset" w:sz="6" w:space="0" w:color="auto"/>
              <w:right w:val="outset" w:sz="6" w:space="0" w:color="auto"/>
            </w:tcBorders>
            <w:shd w:val="clear" w:color="auto" w:fill="D0D0D0"/>
            <w:hideMark/>
          </w:tcPr>
          <w:p w:rsidR="00C03D3D" w:rsidRPr="00C03D3D" w:rsidRDefault="00C03D3D" w:rsidP="00C03D3D">
            <w:pPr>
              <w:tabs>
                <w:tab w:val="left" w:pos="5253"/>
              </w:tabs>
              <w:spacing w:after="0" w:line="360" w:lineRule="auto"/>
              <w:jc w:val="center"/>
              <w:rPr>
                <w:b/>
                <w:bCs/>
                <w:lang w:val="hy-AM"/>
              </w:rPr>
            </w:pPr>
            <w:r w:rsidRPr="00C03D3D">
              <w:rPr>
                <w:rFonts w:cs="GHEA Grapalat"/>
                <w:b/>
                <w:bCs/>
                <w:lang w:val="hy-AM"/>
              </w:rPr>
              <w:t>10. Վարչապետի աշխատակազմի իրավաբանական վարչություն</w:t>
            </w:r>
          </w:p>
        </w:tc>
        <w:tc>
          <w:tcPr>
            <w:tcW w:w="1173" w:type="pct"/>
            <w:tcBorders>
              <w:top w:val="outset" w:sz="6" w:space="0" w:color="auto"/>
              <w:left w:val="outset" w:sz="6" w:space="0" w:color="auto"/>
              <w:bottom w:val="outset" w:sz="6" w:space="0" w:color="auto"/>
              <w:right w:val="outset" w:sz="6" w:space="0" w:color="auto"/>
            </w:tcBorders>
            <w:shd w:val="clear" w:color="auto" w:fill="D0D0D0"/>
            <w:hideMark/>
          </w:tcPr>
          <w:p w:rsidR="00C03D3D" w:rsidRPr="00C03D3D" w:rsidRDefault="00C03D3D" w:rsidP="00C03D3D">
            <w:pPr>
              <w:tabs>
                <w:tab w:val="left" w:pos="5253"/>
              </w:tabs>
              <w:spacing w:after="0" w:line="360" w:lineRule="auto"/>
              <w:rPr>
                <w:b/>
                <w:bCs/>
                <w:i/>
                <w:lang w:val="hy-AM"/>
              </w:rPr>
            </w:pPr>
            <w:r w:rsidRPr="00C03D3D">
              <w:rPr>
                <w:b/>
                <w:bCs/>
                <w:lang w:val="hy-AM"/>
              </w:rPr>
              <w:t>10.11.2022</w:t>
            </w:r>
          </w:p>
        </w:tc>
      </w:tr>
      <w:tr w:rsidR="00C03D3D" w:rsidRPr="00C03D3D" w:rsidTr="005904E5">
        <w:trPr>
          <w:trHeight w:val="853"/>
          <w:tblCellSpacing w:w="0" w:type="dxa"/>
          <w:jc w:val="center"/>
        </w:trPr>
        <w:tc>
          <w:tcPr>
            <w:tcW w:w="3827" w:type="pct"/>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03D3D" w:rsidRPr="00C03D3D" w:rsidRDefault="00C03D3D" w:rsidP="00C03D3D">
            <w:pPr>
              <w:tabs>
                <w:tab w:val="left" w:pos="5253"/>
              </w:tabs>
              <w:spacing w:after="0" w:line="360" w:lineRule="auto"/>
              <w:rPr>
                <w:b/>
                <w:bCs/>
                <w:lang w:val="hy-AM"/>
              </w:rPr>
            </w:pPr>
          </w:p>
        </w:tc>
        <w:tc>
          <w:tcPr>
            <w:tcW w:w="1173" w:type="pct"/>
            <w:tcBorders>
              <w:top w:val="outset" w:sz="6" w:space="0" w:color="auto"/>
              <w:left w:val="outset" w:sz="6" w:space="0" w:color="auto"/>
              <w:bottom w:val="outset" w:sz="6" w:space="0" w:color="auto"/>
              <w:right w:val="outset" w:sz="6" w:space="0" w:color="auto"/>
            </w:tcBorders>
            <w:shd w:val="clear" w:color="auto" w:fill="D0D0D0"/>
            <w:hideMark/>
          </w:tcPr>
          <w:p w:rsidR="00C03D3D" w:rsidRPr="00C03D3D" w:rsidRDefault="00C03D3D" w:rsidP="00C03D3D">
            <w:pPr>
              <w:tabs>
                <w:tab w:val="left" w:pos="5253"/>
              </w:tabs>
              <w:spacing w:after="0" w:line="360" w:lineRule="auto"/>
              <w:rPr>
                <w:b/>
                <w:bCs/>
                <w:lang w:val="hy-AM"/>
              </w:rPr>
            </w:pPr>
            <w:r w:rsidRPr="00C03D3D">
              <w:rPr>
                <w:b/>
                <w:bCs/>
                <w:lang w:val="hy-AM"/>
              </w:rPr>
              <w:t>N 02/46.3/36703-2022</w:t>
            </w:r>
          </w:p>
        </w:tc>
      </w:tr>
      <w:tr w:rsidR="00C03D3D" w:rsidRPr="00C03D3D" w:rsidTr="005904E5">
        <w:trPr>
          <w:tblCellSpacing w:w="0" w:type="dxa"/>
          <w:jc w:val="center"/>
        </w:trPr>
        <w:tc>
          <w:tcPr>
            <w:tcW w:w="2441" w:type="pct"/>
            <w:tcBorders>
              <w:top w:val="outset" w:sz="6" w:space="0" w:color="auto"/>
              <w:left w:val="outset" w:sz="6" w:space="0" w:color="auto"/>
              <w:bottom w:val="outset" w:sz="6" w:space="0" w:color="auto"/>
              <w:right w:val="outset" w:sz="6" w:space="0" w:color="auto"/>
            </w:tcBorders>
            <w:shd w:val="clear" w:color="auto" w:fill="FFFFFF"/>
            <w:hideMark/>
          </w:tcPr>
          <w:p w:rsidR="00C03D3D" w:rsidRPr="00C03D3D" w:rsidRDefault="00C03D3D" w:rsidP="00C03D3D">
            <w:pPr>
              <w:tabs>
                <w:tab w:val="left" w:pos="5253"/>
              </w:tabs>
              <w:spacing w:after="0" w:line="360" w:lineRule="auto"/>
              <w:jc w:val="both"/>
              <w:rPr>
                <w:bCs/>
                <w:lang w:val="hy-AM"/>
              </w:rPr>
            </w:pPr>
            <w:r w:rsidRPr="00C03D3D">
              <w:rPr>
                <w:bCs/>
                <w:lang w:val="hy-AM"/>
              </w:rPr>
              <w:t>Նախագծի վերաբերյալ դիտողություններ և առաջարկություններ չկան։</w:t>
            </w:r>
          </w:p>
        </w:tc>
        <w:tc>
          <w:tcPr>
            <w:tcW w:w="2559" w:type="pct"/>
            <w:gridSpan w:val="2"/>
            <w:tcBorders>
              <w:top w:val="outset" w:sz="6" w:space="0" w:color="auto"/>
              <w:left w:val="outset" w:sz="6" w:space="0" w:color="auto"/>
              <w:bottom w:val="outset" w:sz="6" w:space="0" w:color="auto"/>
              <w:right w:val="outset" w:sz="6" w:space="0" w:color="auto"/>
            </w:tcBorders>
            <w:shd w:val="clear" w:color="auto" w:fill="FFFFFF"/>
            <w:hideMark/>
          </w:tcPr>
          <w:p w:rsidR="00C03D3D" w:rsidRPr="00C03D3D" w:rsidRDefault="00C03D3D" w:rsidP="00C03D3D">
            <w:pPr>
              <w:tabs>
                <w:tab w:val="left" w:pos="5253"/>
              </w:tabs>
              <w:spacing w:after="0" w:line="360" w:lineRule="auto"/>
              <w:jc w:val="center"/>
              <w:rPr>
                <w:rFonts w:cs="Courier New"/>
                <w:bCs/>
                <w:lang w:val="hy-AM"/>
              </w:rPr>
            </w:pPr>
            <w:r w:rsidRPr="00C03D3D">
              <w:rPr>
                <w:rFonts w:cs="Courier New"/>
                <w:bCs/>
                <w:lang w:val="hy-AM"/>
              </w:rPr>
              <w:t>Ընդունվել է ի գիտություն:</w:t>
            </w:r>
          </w:p>
          <w:p w:rsidR="00C03D3D" w:rsidRPr="00C03D3D" w:rsidRDefault="00C03D3D" w:rsidP="00C03D3D">
            <w:pPr>
              <w:tabs>
                <w:tab w:val="left" w:pos="5253"/>
              </w:tabs>
              <w:spacing w:after="0" w:line="360" w:lineRule="auto"/>
              <w:jc w:val="both"/>
              <w:rPr>
                <w:bCs/>
                <w:lang w:val="hy-AM"/>
              </w:rPr>
            </w:pPr>
          </w:p>
        </w:tc>
      </w:tr>
      <w:tr w:rsidR="00C03D3D" w:rsidRPr="00C03D3D" w:rsidTr="005904E5">
        <w:trPr>
          <w:tblCellSpacing w:w="0" w:type="dxa"/>
          <w:jc w:val="center"/>
        </w:trPr>
        <w:tc>
          <w:tcPr>
            <w:tcW w:w="3827" w:type="pct"/>
            <w:gridSpan w:val="2"/>
            <w:vMerge w:val="restart"/>
            <w:tcBorders>
              <w:top w:val="outset" w:sz="6" w:space="0" w:color="auto"/>
              <w:left w:val="outset" w:sz="6" w:space="0" w:color="auto"/>
              <w:bottom w:val="outset" w:sz="6" w:space="0" w:color="auto"/>
              <w:right w:val="outset" w:sz="6" w:space="0" w:color="auto"/>
            </w:tcBorders>
            <w:shd w:val="clear" w:color="auto" w:fill="D0D0D0"/>
            <w:hideMark/>
          </w:tcPr>
          <w:p w:rsidR="00C03D3D" w:rsidRPr="00C03D3D" w:rsidRDefault="00C03D3D" w:rsidP="00C03D3D">
            <w:pPr>
              <w:tabs>
                <w:tab w:val="left" w:pos="5253"/>
              </w:tabs>
              <w:spacing w:after="0" w:line="360" w:lineRule="auto"/>
              <w:jc w:val="center"/>
              <w:rPr>
                <w:b/>
                <w:bCs/>
                <w:lang w:val="hy-AM"/>
              </w:rPr>
            </w:pPr>
            <w:r w:rsidRPr="00C03D3D">
              <w:rPr>
                <w:rFonts w:cs="GHEA Grapalat"/>
                <w:b/>
                <w:bCs/>
                <w:lang w:val="hy-AM"/>
              </w:rPr>
              <w:t>11. Վարչապետի աշխատակազմի սոցիալական հարցերի վարչություն</w:t>
            </w:r>
          </w:p>
        </w:tc>
        <w:tc>
          <w:tcPr>
            <w:tcW w:w="1173" w:type="pct"/>
            <w:tcBorders>
              <w:top w:val="outset" w:sz="6" w:space="0" w:color="auto"/>
              <w:left w:val="outset" w:sz="6" w:space="0" w:color="auto"/>
              <w:bottom w:val="outset" w:sz="6" w:space="0" w:color="auto"/>
              <w:right w:val="outset" w:sz="6" w:space="0" w:color="auto"/>
            </w:tcBorders>
            <w:shd w:val="clear" w:color="auto" w:fill="D0D0D0"/>
            <w:hideMark/>
          </w:tcPr>
          <w:p w:rsidR="00C03D3D" w:rsidRPr="00C03D3D" w:rsidRDefault="00C03D3D" w:rsidP="00C03D3D">
            <w:pPr>
              <w:tabs>
                <w:tab w:val="left" w:pos="5253"/>
              </w:tabs>
              <w:spacing w:after="0" w:line="360" w:lineRule="auto"/>
              <w:rPr>
                <w:b/>
                <w:bCs/>
                <w:i/>
                <w:lang w:val="hy-AM"/>
              </w:rPr>
            </w:pPr>
            <w:r w:rsidRPr="00C03D3D">
              <w:rPr>
                <w:b/>
                <w:bCs/>
                <w:lang w:val="hy-AM"/>
              </w:rPr>
              <w:t>09.11.2022</w:t>
            </w:r>
          </w:p>
        </w:tc>
      </w:tr>
      <w:tr w:rsidR="00C03D3D" w:rsidRPr="00C03D3D" w:rsidTr="005904E5">
        <w:trPr>
          <w:trHeight w:val="853"/>
          <w:tblCellSpacing w:w="0" w:type="dxa"/>
          <w:jc w:val="center"/>
        </w:trPr>
        <w:tc>
          <w:tcPr>
            <w:tcW w:w="3827" w:type="pct"/>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03D3D" w:rsidRPr="00C03D3D" w:rsidRDefault="00C03D3D" w:rsidP="00C03D3D">
            <w:pPr>
              <w:tabs>
                <w:tab w:val="left" w:pos="5253"/>
              </w:tabs>
              <w:spacing w:after="0" w:line="360" w:lineRule="auto"/>
              <w:rPr>
                <w:b/>
                <w:bCs/>
                <w:lang w:val="hy-AM"/>
              </w:rPr>
            </w:pPr>
          </w:p>
        </w:tc>
        <w:tc>
          <w:tcPr>
            <w:tcW w:w="1173" w:type="pct"/>
            <w:tcBorders>
              <w:top w:val="outset" w:sz="6" w:space="0" w:color="auto"/>
              <w:left w:val="outset" w:sz="6" w:space="0" w:color="auto"/>
              <w:bottom w:val="outset" w:sz="6" w:space="0" w:color="auto"/>
              <w:right w:val="outset" w:sz="6" w:space="0" w:color="auto"/>
            </w:tcBorders>
            <w:shd w:val="clear" w:color="auto" w:fill="D0D0D0"/>
            <w:hideMark/>
          </w:tcPr>
          <w:p w:rsidR="00C03D3D" w:rsidRPr="00C03D3D" w:rsidRDefault="00C03D3D" w:rsidP="00C03D3D">
            <w:pPr>
              <w:tabs>
                <w:tab w:val="left" w:pos="5253"/>
              </w:tabs>
              <w:spacing w:after="0" w:line="360" w:lineRule="auto"/>
              <w:rPr>
                <w:b/>
                <w:bCs/>
                <w:lang w:val="hy-AM"/>
              </w:rPr>
            </w:pPr>
            <w:r w:rsidRPr="00C03D3D">
              <w:rPr>
                <w:b/>
                <w:bCs/>
                <w:lang w:val="hy-AM"/>
              </w:rPr>
              <w:t>N 02/46.3/36703-2022</w:t>
            </w:r>
          </w:p>
        </w:tc>
      </w:tr>
      <w:tr w:rsidR="00C03D3D" w:rsidRPr="00C03D3D" w:rsidTr="005904E5">
        <w:trPr>
          <w:tblCellSpacing w:w="0" w:type="dxa"/>
          <w:jc w:val="center"/>
        </w:trPr>
        <w:tc>
          <w:tcPr>
            <w:tcW w:w="2441" w:type="pct"/>
            <w:tcBorders>
              <w:top w:val="outset" w:sz="6" w:space="0" w:color="auto"/>
              <w:left w:val="outset" w:sz="6" w:space="0" w:color="auto"/>
              <w:bottom w:val="outset" w:sz="6" w:space="0" w:color="auto"/>
              <w:right w:val="outset" w:sz="6" w:space="0" w:color="auto"/>
            </w:tcBorders>
            <w:shd w:val="clear" w:color="auto" w:fill="FFFFFF"/>
            <w:hideMark/>
          </w:tcPr>
          <w:p w:rsidR="00C03D3D" w:rsidRPr="00C03D3D" w:rsidRDefault="00C03D3D" w:rsidP="00C03D3D">
            <w:pPr>
              <w:tabs>
                <w:tab w:val="left" w:pos="5253"/>
              </w:tabs>
              <w:spacing w:after="0" w:line="360" w:lineRule="auto"/>
              <w:jc w:val="both"/>
              <w:rPr>
                <w:bCs/>
                <w:lang w:val="hy-AM"/>
              </w:rPr>
            </w:pPr>
            <w:r w:rsidRPr="00C03D3D">
              <w:rPr>
                <w:bCs/>
                <w:lang w:val="hy-AM"/>
              </w:rPr>
              <w:t>Նախագծի վերաբերյալ դիտողություններ և առաջարկություններ չկան։</w:t>
            </w:r>
          </w:p>
        </w:tc>
        <w:tc>
          <w:tcPr>
            <w:tcW w:w="2559" w:type="pct"/>
            <w:gridSpan w:val="2"/>
            <w:tcBorders>
              <w:top w:val="outset" w:sz="6" w:space="0" w:color="auto"/>
              <w:left w:val="outset" w:sz="6" w:space="0" w:color="auto"/>
              <w:bottom w:val="outset" w:sz="6" w:space="0" w:color="auto"/>
              <w:right w:val="outset" w:sz="6" w:space="0" w:color="auto"/>
            </w:tcBorders>
            <w:shd w:val="clear" w:color="auto" w:fill="FFFFFF"/>
            <w:hideMark/>
          </w:tcPr>
          <w:p w:rsidR="00C03D3D" w:rsidRPr="00C03D3D" w:rsidRDefault="00C03D3D" w:rsidP="00C03D3D">
            <w:pPr>
              <w:tabs>
                <w:tab w:val="left" w:pos="5253"/>
              </w:tabs>
              <w:spacing w:after="0" w:line="360" w:lineRule="auto"/>
              <w:jc w:val="center"/>
              <w:rPr>
                <w:rFonts w:cs="Courier New"/>
                <w:bCs/>
                <w:lang w:val="hy-AM"/>
              </w:rPr>
            </w:pPr>
            <w:r w:rsidRPr="00C03D3D">
              <w:rPr>
                <w:rFonts w:cs="Courier New"/>
                <w:bCs/>
                <w:lang w:val="hy-AM"/>
              </w:rPr>
              <w:t>Ընդունվել է ի գիտություն:</w:t>
            </w:r>
          </w:p>
          <w:p w:rsidR="00C03D3D" w:rsidRPr="00C03D3D" w:rsidRDefault="00C03D3D" w:rsidP="00C03D3D">
            <w:pPr>
              <w:tabs>
                <w:tab w:val="left" w:pos="5253"/>
              </w:tabs>
              <w:spacing w:after="0" w:line="360" w:lineRule="auto"/>
              <w:jc w:val="both"/>
              <w:rPr>
                <w:bCs/>
                <w:lang w:val="hy-AM"/>
              </w:rPr>
            </w:pPr>
          </w:p>
        </w:tc>
      </w:tr>
      <w:tr w:rsidR="00C03D3D" w:rsidRPr="00C03D3D" w:rsidTr="005904E5">
        <w:trPr>
          <w:tblCellSpacing w:w="0" w:type="dxa"/>
          <w:jc w:val="center"/>
        </w:trPr>
        <w:tc>
          <w:tcPr>
            <w:tcW w:w="3827" w:type="pct"/>
            <w:gridSpan w:val="2"/>
            <w:vMerge w:val="restart"/>
            <w:tcBorders>
              <w:top w:val="outset" w:sz="6" w:space="0" w:color="auto"/>
              <w:left w:val="outset" w:sz="6" w:space="0" w:color="auto"/>
              <w:bottom w:val="outset" w:sz="6" w:space="0" w:color="auto"/>
              <w:right w:val="outset" w:sz="6" w:space="0" w:color="auto"/>
            </w:tcBorders>
            <w:shd w:val="clear" w:color="auto" w:fill="D0D0D0"/>
            <w:hideMark/>
          </w:tcPr>
          <w:p w:rsidR="00C03D3D" w:rsidRPr="00C03D3D" w:rsidRDefault="00C03D3D" w:rsidP="00C03D3D">
            <w:pPr>
              <w:tabs>
                <w:tab w:val="left" w:pos="5253"/>
              </w:tabs>
              <w:spacing w:after="0" w:line="360" w:lineRule="auto"/>
              <w:jc w:val="center"/>
              <w:rPr>
                <w:b/>
                <w:bCs/>
                <w:lang w:val="hy-AM"/>
              </w:rPr>
            </w:pPr>
            <w:r w:rsidRPr="00C03D3D">
              <w:rPr>
                <w:rFonts w:cs="GHEA Grapalat"/>
                <w:b/>
                <w:bCs/>
                <w:lang w:val="hy-AM"/>
              </w:rPr>
              <w:t>12. Վարչապետի աշխատակազմի պետաիրավական վարչություն</w:t>
            </w:r>
          </w:p>
        </w:tc>
        <w:tc>
          <w:tcPr>
            <w:tcW w:w="1173" w:type="pct"/>
            <w:tcBorders>
              <w:top w:val="outset" w:sz="6" w:space="0" w:color="auto"/>
              <w:left w:val="outset" w:sz="6" w:space="0" w:color="auto"/>
              <w:bottom w:val="outset" w:sz="6" w:space="0" w:color="auto"/>
              <w:right w:val="outset" w:sz="6" w:space="0" w:color="auto"/>
            </w:tcBorders>
            <w:shd w:val="clear" w:color="auto" w:fill="D0D0D0"/>
            <w:hideMark/>
          </w:tcPr>
          <w:p w:rsidR="00C03D3D" w:rsidRPr="00C03D3D" w:rsidRDefault="00C03D3D" w:rsidP="00C03D3D">
            <w:pPr>
              <w:tabs>
                <w:tab w:val="left" w:pos="5253"/>
              </w:tabs>
              <w:spacing w:after="0" w:line="360" w:lineRule="auto"/>
              <w:rPr>
                <w:b/>
                <w:bCs/>
                <w:i/>
                <w:lang w:val="hy-AM"/>
              </w:rPr>
            </w:pPr>
            <w:r w:rsidRPr="00C03D3D">
              <w:rPr>
                <w:b/>
                <w:bCs/>
                <w:lang w:val="hy-AM"/>
              </w:rPr>
              <w:t>10.11.2022</w:t>
            </w:r>
          </w:p>
        </w:tc>
      </w:tr>
      <w:tr w:rsidR="00C03D3D" w:rsidRPr="00C03D3D" w:rsidTr="005904E5">
        <w:trPr>
          <w:trHeight w:val="853"/>
          <w:tblCellSpacing w:w="0" w:type="dxa"/>
          <w:jc w:val="center"/>
        </w:trPr>
        <w:tc>
          <w:tcPr>
            <w:tcW w:w="3827" w:type="pct"/>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03D3D" w:rsidRPr="00C03D3D" w:rsidRDefault="00C03D3D" w:rsidP="00C03D3D">
            <w:pPr>
              <w:tabs>
                <w:tab w:val="left" w:pos="5253"/>
              </w:tabs>
              <w:spacing w:after="0" w:line="360" w:lineRule="auto"/>
              <w:rPr>
                <w:b/>
                <w:bCs/>
                <w:lang w:val="hy-AM"/>
              </w:rPr>
            </w:pPr>
          </w:p>
        </w:tc>
        <w:tc>
          <w:tcPr>
            <w:tcW w:w="1173" w:type="pct"/>
            <w:tcBorders>
              <w:top w:val="outset" w:sz="6" w:space="0" w:color="auto"/>
              <w:left w:val="outset" w:sz="6" w:space="0" w:color="auto"/>
              <w:bottom w:val="outset" w:sz="6" w:space="0" w:color="auto"/>
              <w:right w:val="outset" w:sz="6" w:space="0" w:color="auto"/>
            </w:tcBorders>
            <w:shd w:val="clear" w:color="auto" w:fill="D0D0D0"/>
            <w:hideMark/>
          </w:tcPr>
          <w:p w:rsidR="00C03D3D" w:rsidRPr="00C03D3D" w:rsidRDefault="00C03D3D" w:rsidP="00C03D3D">
            <w:pPr>
              <w:tabs>
                <w:tab w:val="left" w:pos="5253"/>
              </w:tabs>
              <w:spacing w:after="0" w:line="360" w:lineRule="auto"/>
              <w:rPr>
                <w:b/>
                <w:bCs/>
                <w:lang w:val="hy-AM"/>
              </w:rPr>
            </w:pPr>
            <w:r w:rsidRPr="00C03D3D">
              <w:rPr>
                <w:b/>
                <w:bCs/>
                <w:lang w:val="hy-AM"/>
              </w:rPr>
              <w:t>N 02/46.3/36703-2022</w:t>
            </w:r>
          </w:p>
        </w:tc>
      </w:tr>
      <w:tr w:rsidR="00C03D3D" w:rsidRPr="00C03D3D" w:rsidTr="005904E5">
        <w:trPr>
          <w:tblCellSpacing w:w="0" w:type="dxa"/>
          <w:jc w:val="center"/>
        </w:trPr>
        <w:tc>
          <w:tcPr>
            <w:tcW w:w="2441" w:type="pct"/>
            <w:tcBorders>
              <w:top w:val="outset" w:sz="6" w:space="0" w:color="auto"/>
              <w:left w:val="outset" w:sz="6" w:space="0" w:color="auto"/>
              <w:bottom w:val="outset" w:sz="6" w:space="0" w:color="auto"/>
              <w:right w:val="outset" w:sz="6" w:space="0" w:color="auto"/>
            </w:tcBorders>
            <w:shd w:val="clear" w:color="auto" w:fill="FFFFFF"/>
            <w:hideMark/>
          </w:tcPr>
          <w:p w:rsidR="00C03D3D" w:rsidRPr="00C03D3D" w:rsidRDefault="00C03D3D" w:rsidP="00C03D3D">
            <w:pPr>
              <w:tabs>
                <w:tab w:val="left" w:pos="5253"/>
              </w:tabs>
              <w:spacing w:after="0" w:line="360" w:lineRule="auto"/>
              <w:jc w:val="both"/>
              <w:rPr>
                <w:bCs/>
                <w:lang w:val="hy-AM"/>
              </w:rPr>
            </w:pPr>
            <w:r w:rsidRPr="00C03D3D">
              <w:rPr>
                <w:bCs/>
                <w:lang w:val="hy-AM"/>
              </w:rPr>
              <w:t>Պետաիրավական վարչության իրավասության շրջանակներում դիտարկումներ չկան, սակայն, հաշվի առնելով հատկապես նախագծի ընդունման հիմնավորումը, ըստ ամենայնի, անհրաժեշտ է վերանայել նաև Հայաստանի Հանրապետության կառավարության 2022 թվականի ապրիլի 7-ի N 446-Ն որոշումը։</w:t>
            </w:r>
          </w:p>
        </w:tc>
        <w:tc>
          <w:tcPr>
            <w:tcW w:w="2559" w:type="pct"/>
            <w:gridSpan w:val="2"/>
            <w:tcBorders>
              <w:top w:val="outset" w:sz="6" w:space="0" w:color="auto"/>
              <w:left w:val="outset" w:sz="6" w:space="0" w:color="auto"/>
              <w:bottom w:val="outset" w:sz="6" w:space="0" w:color="auto"/>
              <w:right w:val="outset" w:sz="6" w:space="0" w:color="auto"/>
            </w:tcBorders>
            <w:shd w:val="clear" w:color="auto" w:fill="FFFFFF"/>
            <w:hideMark/>
          </w:tcPr>
          <w:p w:rsidR="00C03D3D" w:rsidRPr="00C03D3D" w:rsidRDefault="00C03D3D" w:rsidP="00C03D3D">
            <w:pPr>
              <w:tabs>
                <w:tab w:val="left" w:pos="5253"/>
              </w:tabs>
              <w:spacing w:after="0" w:line="360" w:lineRule="auto"/>
              <w:jc w:val="center"/>
              <w:rPr>
                <w:rFonts w:cs="Courier New"/>
                <w:bCs/>
                <w:lang w:val="hy-AM"/>
              </w:rPr>
            </w:pPr>
            <w:r w:rsidRPr="00C03D3D">
              <w:rPr>
                <w:rFonts w:cs="Courier New"/>
                <w:bCs/>
                <w:lang w:val="hy-AM"/>
              </w:rPr>
              <w:t>Ընդունվել է ի գիտություն:</w:t>
            </w:r>
          </w:p>
          <w:p w:rsidR="00C03D3D" w:rsidRPr="00C03D3D" w:rsidRDefault="00C03D3D" w:rsidP="00C03D3D">
            <w:pPr>
              <w:tabs>
                <w:tab w:val="left" w:pos="5253"/>
              </w:tabs>
              <w:spacing w:after="0" w:line="360" w:lineRule="auto"/>
              <w:jc w:val="both"/>
              <w:rPr>
                <w:rFonts w:cs="Courier New"/>
                <w:bCs/>
                <w:lang w:val="hy-AM"/>
              </w:rPr>
            </w:pPr>
            <w:r w:rsidRPr="00C03D3D">
              <w:rPr>
                <w:rFonts w:cs="Courier New"/>
                <w:bCs/>
                <w:lang w:val="hy-AM"/>
              </w:rPr>
              <w:t>«Հայաստանի Հանրապետության կառավարության 2022 թվականի ապրիլի 7-ի N 446-Ն որոշման մեջ փոփոխություններ կատարելու մասին» Կառավարության որոշման նախագիծը աշխատանքային կարգով արդեն իսկ քննարկվել է Դատախազության և Ֆինանսների նախարարության ներկայացուցիչների հետ, որը նախատեսվում է դնել շրջանառության մեջ։</w:t>
            </w:r>
          </w:p>
          <w:p w:rsidR="00C03D3D" w:rsidRPr="00C03D3D" w:rsidRDefault="00C03D3D" w:rsidP="00C03D3D">
            <w:pPr>
              <w:tabs>
                <w:tab w:val="left" w:pos="5253"/>
              </w:tabs>
              <w:spacing w:after="0" w:line="360" w:lineRule="auto"/>
              <w:jc w:val="both"/>
              <w:rPr>
                <w:bCs/>
                <w:lang w:val="hy-AM"/>
              </w:rPr>
            </w:pPr>
          </w:p>
        </w:tc>
      </w:tr>
    </w:tbl>
    <w:p w:rsidR="00C03D3D" w:rsidRPr="00C03D3D" w:rsidRDefault="00C03D3D" w:rsidP="00C03D3D">
      <w:pPr>
        <w:tabs>
          <w:tab w:val="left" w:pos="5253"/>
        </w:tabs>
        <w:spacing w:after="0" w:line="360" w:lineRule="auto"/>
        <w:rPr>
          <w:b/>
          <w:bCs/>
          <w:lang w:val="hy-AM"/>
        </w:rPr>
      </w:pPr>
    </w:p>
    <w:p w:rsidR="00C03D3D" w:rsidRPr="00C03D3D" w:rsidRDefault="00C03D3D" w:rsidP="00C03D3D">
      <w:pPr>
        <w:tabs>
          <w:tab w:val="left" w:pos="5253"/>
        </w:tabs>
        <w:spacing w:after="0" w:line="360" w:lineRule="auto"/>
        <w:rPr>
          <w:b/>
          <w:bCs/>
          <w:lang w:val="hy-AM"/>
        </w:rPr>
      </w:pPr>
    </w:p>
    <w:p w:rsidR="00C03D3D" w:rsidRPr="00C03D3D" w:rsidRDefault="00C03D3D" w:rsidP="00C03D3D">
      <w:pPr>
        <w:tabs>
          <w:tab w:val="left" w:pos="5253"/>
        </w:tabs>
        <w:spacing w:after="0" w:line="360" w:lineRule="auto"/>
        <w:rPr>
          <w:b/>
          <w:bCs/>
          <w:lang w:val="hy-AM"/>
        </w:rPr>
      </w:pPr>
    </w:p>
    <w:p w:rsidR="009B1A90" w:rsidRPr="00C03D3D" w:rsidRDefault="009B1A90" w:rsidP="00C03D3D">
      <w:pPr>
        <w:rPr>
          <w:lang w:val="hy-AM"/>
        </w:rPr>
      </w:pPr>
    </w:p>
    <w:sectPr w:rsidR="009B1A90" w:rsidRPr="00C03D3D" w:rsidSect="003121E2">
      <w:headerReference w:type="default" r:id="rId8"/>
      <w:footerReference w:type="default" r:id="rId9"/>
      <w:pgSz w:w="16838" w:h="11906" w:orient="landscape"/>
      <w:pgMar w:top="-426" w:right="1134" w:bottom="567" w:left="1134"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EE5" w:rsidRDefault="00296EE5" w:rsidP="00966809">
      <w:pPr>
        <w:spacing w:after="0" w:line="240" w:lineRule="auto"/>
      </w:pPr>
      <w:r>
        <w:separator/>
      </w:r>
    </w:p>
  </w:endnote>
  <w:endnote w:type="continuationSeparator" w:id="0">
    <w:p w:rsidR="00296EE5" w:rsidRDefault="00296EE5" w:rsidP="00966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A50" w:rsidRDefault="00A10E77">
    <w:pPr>
      <w:pStyle w:val="Footer"/>
      <w:jc w:val="right"/>
    </w:pPr>
    <w:r>
      <w:fldChar w:fldCharType="begin"/>
    </w:r>
    <w:r w:rsidR="00F42F01">
      <w:instrText xml:space="preserve"> PAGE   \* MERGEFORMAT </w:instrText>
    </w:r>
    <w:r>
      <w:fldChar w:fldCharType="separate"/>
    </w:r>
    <w:r w:rsidR="00C03D3D">
      <w:rPr>
        <w:noProof/>
      </w:rPr>
      <w:t>2</w:t>
    </w:r>
    <w:r>
      <w:rPr>
        <w:noProof/>
      </w:rPr>
      <w:fldChar w:fldCharType="end"/>
    </w:r>
  </w:p>
  <w:p w:rsidR="00724A50" w:rsidRDefault="00724A5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EE5" w:rsidRDefault="00296EE5" w:rsidP="00966809">
      <w:pPr>
        <w:spacing w:after="0" w:line="240" w:lineRule="auto"/>
      </w:pPr>
      <w:r>
        <w:separator/>
      </w:r>
    </w:p>
  </w:footnote>
  <w:footnote w:type="continuationSeparator" w:id="0">
    <w:p w:rsidR="00296EE5" w:rsidRDefault="00296EE5" w:rsidP="009668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A50" w:rsidRDefault="00724A50">
    <w:pPr>
      <w:pStyle w:val="Header"/>
    </w:pPr>
  </w:p>
  <w:p w:rsidR="00724A50" w:rsidRDefault="00724A50"/>
  <w:p w:rsidR="00724A50" w:rsidRDefault="00724A50"/>
  <w:p w:rsidR="00724A50" w:rsidRDefault="00724A5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65EBF"/>
    <w:multiLevelType w:val="hybridMultilevel"/>
    <w:tmpl w:val="2398EBC8"/>
    <w:lvl w:ilvl="0" w:tplc="EFDC52B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C2E06"/>
    <w:multiLevelType w:val="hybridMultilevel"/>
    <w:tmpl w:val="A66C1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90CE8"/>
    <w:multiLevelType w:val="hybridMultilevel"/>
    <w:tmpl w:val="31107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120D5"/>
    <w:multiLevelType w:val="hybridMultilevel"/>
    <w:tmpl w:val="40ECFF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A9825BC"/>
    <w:multiLevelType w:val="hybridMultilevel"/>
    <w:tmpl w:val="31107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CA784C"/>
    <w:multiLevelType w:val="hybridMultilevel"/>
    <w:tmpl w:val="31107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9156DC"/>
    <w:multiLevelType w:val="hybridMultilevel"/>
    <w:tmpl w:val="31107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5F4551"/>
    <w:multiLevelType w:val="hybridMultilevel"/>
    <w:tmpl w:val="31107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BA3DA9"/>
    <w:multiLevelType w:val="hybridMultilevel"/>
    <w:tmpl w:val="31107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97163F"/>
    <w:multiLevelType w:val="hybridMultilevel"/>
    <w:tmpl w:val="31107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BF6207"/>
    <w:multiLevelType w:val="hybridMultilevel"/>
    <w:tmpl w:val="31107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2601FA"/>
    <w:multiLevelType w:val="hybridMultilevel"/>
    <w:tmpl w:val="31107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5853E4"/>
    <w:multiLevelType w:val="hybridMultilevel"/>
    <w:tmpl w:val="31107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BD2B34"/>
    <w:multiLevelType w:val="hybridMultilevel"/>
    <w:tmpl w:val="31107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F02F7F"/>
    <w:multiLevelType w:val="hybridMultilevel"/>
    <w:tmpl w:val="A66C1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9A27DC"/>
    <w:multiLevelType w:val="hybridMultilevel"/>
    <w:tmpl w:val="AAEA88C6"/>
    <w:lvl w:ilvl="0" w:tplc="0C1E5358">
      <w:start w:val="1"/>
      <w:numFmt w:val="decimal"/>
      <w:lvlText w:val="%1."/>
      <w:lvlJc w:val="left"/>
      <w:pPr>
        <w:ind w:left="495" w:hanging="360"/>
      </w:pPr>
      <w:rPr>
        <w:rFonts w:cs="GHEA Grapalat"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6" w15:restartNumberingAfterBreak="0">
    <w:nsid w:val="3CCF139D"/>
    <w:multiLevelType w:val="hybridMultilevel"/>
    <w:tmpl w:val="31107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4443B2"/>
    <w:multiLevelType w:val="hybridMultilevel"/>
    <w:tmpl w:val="79E60404"/>
    <w:lvl w:ilvl="0" w:tplc="7C2653C0">
      <w:start w:val="1"/>
      <w:numFmt w:val="decimal"/>
      <w:lvlText w:val="%1."/>
      <w:lvlJc w:val="left"/>
      <w:pPr>
        <w:ind w:left="510" w:hanging="375"/>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8" w15:restartNumberingAfterBreak="0">
    <w:nsid w:val="3FD9368A"/>
    <w:multiLevelType w:val="hybridMultilevel"/>
    <w:tmpl w:val="31107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3C5017"/>
    <w:multiLevelType w:val="hybridMultilevel"/>
    <w:tmpl w:val="E000F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585DDA"/>
    <w:multiLevelType w:val="hybridMultilevel"/>
    <w:tmpl w:val="31107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0A4B7A"/>
    <w:multiLevelType w:val="hybridMultilevel"/>
    <w:tmpl w:val="31107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FA786F"/>
    <w:multiLevelType w:val="hybridMultilevel"/>
    <w:tmpl w:val="31107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F64CFF"/>
    <w:multiLevelType w:val="hybridMultilevel"/>
    <w:tmpl w:val="A542582A"/>
    <w:lvl w:ilvl="0" w:tplc="BC186E8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8D3D7F"/>
    <w:multiLevelType w:val="hybridMultilevel"/>
    <w:tmpl w:val="31107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CF7F27"/>
    <w:multiLevelType w:val="hybridMultilevel"/>
    <w:tmpl w:val="31107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BD187A"/>
    <w:multiLevelType w:val="hybridMultilevel"/>
    <w:tmpl w:val="A66C1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B414F8"/>
    <w:multiLevelType w:val="hybridMultilevel"/>
    <w:tmpl w:val="A66C1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F25432"/>
    <w:multiLevelType w:val="hybridMultilevel"/>
    <w:tmpl w:val="31107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F66F5E"/>
    <w:multiLevelType w:val="hybridMultilevel"/>
    <w:tmpl w:val="31107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0"/>
  </w:num>
  <w:num w:numId="3">
    <w:abstractNumId w:val="12"/>
  </w:num>
  <w:num w:numId="4">
    <w:abstractNumId w:val="11"/>
  </w:num>
  <w:num w:numId="5">
    <w:abstractNumId w:val="8"/>
  </w:num>
  <w:num w:numId="6">
    <w:abstractNumId w:val="9"/>
  </w:num>
  <w:num w:numId="7">
    <w:abstractNumId w:val="28"/>
  </w:num>
  <w:num w:numId="8">
    <w:abstractNumId w:val="5"/>
  </w:num>
  <w:num w:numId="9">
    <w:abstractNumId w:val="13"/>
  </w:num>
  <w:num w:numId="10">
    <w:abstractNumId w:val="7"/>
  </w:num>
  <w:num w:numId="11">
    <w:abstractNumId w:val="4"/>
  </w:num>
  <w:num w:numId="12">
    <w:abstractNumId w:val="29"/>
  </w:num>
  <w:num w:numId="13">
    <w:abstractNumId w:val="22"/>
  </w:num>
  <w:num w:numId="14">
    <w:abstractNumId w:val="24"/>
  </w:num>
  <w:num w:numId="15">
    <w:abstractNumId w:val="2"/>
  </w:num>
  <w:num w:numId="16">
    <w:abstractNumId w:val="18"/>
  </w:num>
  <w:num w:numId="17">
    <w:abstractNumId w:val="21"/>
  </w:num>
  <w:num w:numId="18">
    <w:abstractNumId w:val="6"/>
  </w:num>
  <w:num w:numId="19">
    <w:abstractNumId w:val="16"/>
  </w:num>
  <w:num w:numId="20">
    <w:abstractNumId w:val="25"/>
  </w:num>
  <w:num w:numId="21">
    <w:abstractNumId w:val="23"/>
  </w:num>
  <w:num w:numId="22">
    <w:abstractNumId w:val="26"/>
  </w:num>
  <w:num w:numId="23">
    <w:abstractNumId w:val="27"/>
  </w:num>
  <w:num w:numId="24">
    <w:abstractNumId w:val="19"/>
  </w:num>
  <w:num w:numId="25">
    <w:abstractNumId w:val="14"/>
  </w:num>
  <w:num w:numId="26">
    <w:abstractNumId w:val="1"/>
  </w:num>
  <w:num w:numId="27">
    <w:abstractNumId w:val="0"/>
  </w:num>
  <w:num w:numId="28">
    <w:abstractNumId w:val="10"/>
  </w:num>
  <w:num w:numId="29">
    <w:abstractNumId w:val="3"/>
  </w:num>
  <w:num w:numId="30">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50C"/>
    <w:rsid w:val="000069BB"/>
    <w:rsid w:val="0001172C"/>
    <w:rsid w:val="00013539"/>
    <w:rsid w:val="00013B9B"/>
    <w:rsid w:val="000143DA"/>
    <w:rsid w:val="000169BC"/>
    <w:rsid w:val="000228B4"/>
    <w:rsid w:val="00022FD4"/>
    <w:rsid w:val="000267A6"/>
    <w:rsid w:val="0003057E"/>
    <w:rsid w:val="00032071"/>
    <w:rsid w:val="00033B22"/>
    <w:rsid w:val="00034DBB"/>
    <w:rsid w:val="00035797"/>
    <w:rsid w:val="00036969"/>
    <w:rsid w:val="00047780"/>
    <w:rsid w:val="00050256"/>
    <w:rsid w:val="00050B4B"/>
    <w:rsid w:val="00050F84"/>
    <w:rsid w:val="00052029"/>
    <w:rsid w:val="00053C65"/>
    <w:rsid w:val="0005475C"/>
    <w:rsid w:val="0005669E"/>
    <w:rsid w:val="00056F3E"/>
    <w:rsid w:val="00065FB5"/>
    <w:rsid w:val="00070183"/>
    <w:rsid w:val="000701BD"/>
    <w:rsid w:val="000717E2"/>
    <w:rsid w:val="0007472A"/>
    <w:rsid w:val="00075E06"/>
    <w:rsid w:val="000764DB"/>
    <w:rsid w:val="00076B0E"/>
    <w:rsid w:val="00076DB5"/>
    <w:rsid w:val="00083072"/>
    <w:rsid w:val="000847EC"/>
    <w:rsid w:val="00084A69"/>
    <w:rsid w:val="000853EA"/>
    <w:rsid w:val="000901E8"/>
    <w:rsid w:val="00090E26"/>
    <w:rsid w:val="0009240E"/>
    <w:rsid w:val="00093349"/>
    <w:rsid w:val="00096425"/>
    <w:rsid w:val="000A377E"/>
    <w:rsid w:val="000A3D09"/>
    <w:rsid w:val="000B0E59"/>
    <w:rsid w:val="000B5082"/>
    <w:rsid w:val="000B6B73"/>
    <w:rsid w:val="000B7085"/>
    <w:rsid w:val="000C20CC"/>
    <w:rsid w:val="000C2B00"/>
    <w:rsid w:val="000C6F9E"/>
    <w:rsid w:val="000D1781"/>
    <w:rsid w:val="000D1926"/>
    <w:rsid w:val="000E0E8F"/>
    <w:rsid w:val="000E5CA8"/>
    <w:rsid w:val="000F3A9D"/>
    <w:rsid w:val="000F4D9E"/>
    <w:rsid w:val="000F712F"/>
    <w:rsid w:val="000F7B11"/>
    <w:rsid w:val="00100065"/>
    <w:rsid w:val="00101FB9"/>
    <w:rsid w:val="00103189"/>
    <w:rsid w:val="00104371"/>
    <w:rsid w:val="00106034"/>
    <w:rsid w:val="0010609A"/>
    <w:rsid w:val="00111942"/>
    <w:rsid w:val="00112148"/>
    <w:rsid w:val="0011677D"/>
    <w:rsid w:val="001168CE"/>
    <w:rsid w:val="001269FB"/>
    <w:rsid w:val="00127D4F"/>
    <w:rsid w:val="00137C95"/>
    <w:rsid w:val="00142989"/>
    <w:rsid w:val="001432A0"/>
    <w:rsid w:val="00152A70"/>
    <w:rsid w:val="0015404D"/>
    <w:rsid w:val="00154437"/>
    <w:rsid w:val="00154AD5"/>
    <w:rsid w:val="00154FC7"/>
    <w:rsid w:val="001550B2"/>
    <w:rsid w:val="00162201"/>
    <w:rsid w:val="00166790"/>
    <w:rsid w:val="00171473"/>
    <w:rsid w:val="0017594B"/>
    <w:rsid w:val="00175FCF"/>
    <w:rsid w:val="0017642A"/>
    <w:rsid w:val="001777B2"/>
    <w:rsid w:val="00182C82"/>
    <w:rsid w:val="00182ED5"/>
    <w:rsid w:val="00182F38"/>
    <w:rsid w:val="001851DF"/>
    <w:rsid w:val="0018550C"/>
    <w:rsid w:val="0018693C"/>
    <w:rsid w:val="00186B77"/>
    <w:rsid w:val="00190CA3"/>
    <w:rsid w:val="00191E93"/>
    <w:rsid w:val="00192C33"/>
    <w:rsid w:val="00196AF3"/>
    <w:rsid w:val="00196E65"/>
    <w:rsid w:val="001A1E91"/>
    <w:rsid w:val="001A6FAB"/>
    <w:rsid w:val="001A71C9"/>
    <w:rsid w:val="001B025A"/>
    <w:rsid w:val="001B1C3E"/>
    <w:rsid w:val="001B23AA"/>
    <w:rsid w:val="001B37A1"/>
    <w:rsid w:val="001B59AD"/>
    <w:rsid w:val="001B5BFD"/>
    <w:rsid w:val="001B7112"/>
    <w:rsid w:val="001B7141"/>
    <w:rsid w:val="001C0EC2"/>
    <w:rsid w:val="001C3BC8"/>
    <w:rsid w:val="001C3C26"/>
    <w:rsid w:val="001C5EC5"/>
    <w:rsid w:val="001D1B6F"/>
    <w:rsid w:val="001D25EC"/>
    <w:rsid w:val="001E1E1B"/>
    <w:rsid w:val="001E1EFB"/>
    <w:rsid w:val="001E6665"/>
    <w:rsid w:val="001E6CD0"/>
    <w:rsid w:val="001F1EA2"/>
    <w:rsid w:val="001F2FAA"/>
    <w:rsid w:val="001F432B"/>
    <w:rsid w:val="001F497A"/>
    <w:rsid w:val="001F4CE9"/>
    <w:rsid w:val="001F7213"/>
    <w:rsid w:val="001F7418"/>
    <w:rsid w:val="001F7E7C"/>
    <w:rsid w:val="00200A54"/>
    <w:rsid w:val="0020213A"/>
    <w:rsid w:val="0020243A"/>
    <w:rsid w:val="00203D7B"/>
    <w:rsid w:val="002048C5"/>
    <w:rsid w:val="002050F9"/>
    <w:rsid w:val="0020784F"/>
    <w:rsid w:val="002118C4"/>
    <w:rsid w:val="00213429"/>
    <w:rsid w:val="00213FB8"/>
    <w:rsid w:val="00220CF0"/>
    <w:rsid w:val="00222F2A"/>
    <w:rsid w:val="00225593"/>
    <w:rsid w:val="00226DEE"/>
    <w:rsid w:val="00227919"/>
    <w:rsid w:val="00227A86"/>
    <w:rsid w:val="00230565"/>
    <w:rsid w:val="00231F19"/>
    <w:rsid w:val="00242C11"/>
    <w:rsid w:val="00245EF5"/>
    <w:rsid w:val="00250B94"/>
    <w:rsid w:val="00252173"/>
    <w:rsid w:val="0025306C"/>
    <w:rsid w:val="00253B6C"/>
    <w:rsid w:val="00256F36"/>
    <w:rsid w:val="00261CAE"/>
    <w:rsid w:val="002622F4"/>
    <w:rsid w:val="0026243F"/>
    <w:rsid w:val="00264306"/>
    <w:rsid w:val="00274539"/>
    <w:rsid w:val="0028082E"/>
    <w:rsid w:val="002812B5"/>
    <w:rsid w:val="00282C7D"/>
    <w:rsid w:val="0028562F"/>
    <w:rsid w:val="002906A2"/>
    <w:rsid w:val="0029469B"/>
    <w:rsid w:val="002948B2"/>
    <w:rsid w:val="002960A2"/>
    <w:rsid w:val="00296EE5"/>
    <w:rsid w:val="002A2B3A"/>
    <w:rsid w:val="002B258F"/>
    <w:rsid w:val="002B2C6B"/>
    <w:rsid w:val="002B4F0B"/>
    <w:rsid w:val="002B5308"/>
    <w:rsid w:val="002B683A"/>
    <w:rsid w:val="002B7CE4"/>
    <w:rsid w:val="002C03F0"/>
    <w:rsid w:val="002C0C4C"/>
    <w:rsid w:val="002C123B"/>
    <w:rsid w:val="002D277B"/>
    <w:rsid w:val="002D4490"/>
    <w:rsid w:val="002E0529"/>
    <w:rsid w:val="002E1A64"/>
    <w:rsid w:val="002E2376"/>
    <w:rsid w:val="002E41F5"/>
    <w:rsid w:val="002E4B78"/>
    <w:rsid w:val="002E50CD"/>
    <w:rsid w:val="002E5B33"/>
    <w:rsid w:val="002F10E0"/>
    <w:rsid w:val="002F1699"/>
    <w:rsid w:val="002F1C1C"/>
    <w:rsid w:val="002F4286"/>
    <w:rsid w:val="002F4CF2"/>
    <w:rsid w:val="0030098D"/>
    <w:rsid w:val="00300E0E"/>
    <w:rsid w:val="00311202"/>
    <w:rsid w:val="003121E2"/>
    <w:rsid w:val="0031453D"/>
    <w:rsid w:val="003145B7"/>
    <w:rsid w:val="003172EF"/>
    <w:rsid w:val="0032304A"/>
    <w:rsid w:val="00326861"/>
    <w:rsid w:val="0033282A"/>
    <w:rsid w:val="00344751"/>
    <w:rsid w:val="00357541"/>
    <w:rsid w:val="00360828"/>
    <w:rsid w:val="00367AE4"/>
    <w:rsid w:val="0037225B"/>
    <w:rsid w:val="0037281A"/>
    <w:rsid w:val="0037459C"/>
    <w:rsid w:val="00377692"/>
    <w:rsid w:val="00382763"/>
    <w:rsid w:val="00383681"/>
    <w:rsid w:val="00385FF4"/>
    <w:rsid w:val="00391749"/>
    <w:rsid w:val="00391C79"/>
    <w:rsid w:val="00393209"/>
    <w:rsid w:val="003933F0"/>
    <w:rsid w:val="00396053"/>
    <w:rsid w:val="003A16D4"/>
    <w:rsid w:val="003A5DEA"/>
    <w:rsid w:val="003A78FB"/>
    <w:rsid w:val="003A7B3E"/>
    <w:rsid w:val="003B489C"/>
    <w:rsid w:val="003B4D9E"/>
    <w:rsid w:val="003C2656"/>
    <w:rsid w:val="003C3011"/>
    <w:rsid w:val="003C5248"/>
    <w:rsid w:val="003C52E3"/>
    <w:rsid w:val="003D31FC"/>
    <w:rsid w:val="003D7D10"/>
    <w:rsid w:val="003E2628"/>
    <w:rsid w:val="003E7046"/>
    <w:rsid w:val="003E73C2"/>
    <w:rsid w:val="003E7EC8"/>
    <w:rsid w:val="003F49D7"/>
    <w:rsid w:val="003F53B7"/>
    <w:rsid w:val="003F6F95"/>
    <w:rsid w:val="003F7132"/>
    <w:rsid w:val="003F7E91"/>
    <w:rsid w:val="00401D50"/>
    <w:rsid w:val="004033FA"/>
    <w:rsid w:val="00404113"/>
    <w:rsid w:val="0040797C"/>
    <w:rsid w:val="00410529"/>
    <w:rsid w:val="00415507"/>
    <w:rsid w:val="00415C56"/>
    <w:rsid w:val="00420132"/>
    <w:rsid w:val="004225BF"/>
    <w:rsid w:val="004234D2"/>
    <w:rsid w:val="004305F7"/>
    <w:rsid w:val="00431583"/>
    <w:rsid w:val="00434756"/>
    <w:rsid w:val="00443256"/>
    <w:rsid w:val="00443933"/>
    <w:rsid w:val="00447FD0"/>
    <w:rsid w:val="004504F9"/>
    <w:rsid w:val="00452FCA"/>
    <w:rsid w:val="00454995"/>
    <w:rsid w:val="00455AFD"/>
    <w:rsid w:val="00465551"/>
    <w:rsid w:val="00467049"/>
    <w:rsid w:val="0047032C"/>
    <w:rsid w:val="004712B7"/>
    <w:rsid w:val="004712C4"/>
    <w:rsid w:val="00471305"/>
    <w:rsid w:val="004735CA"/>
    <w:rsid w:val="00475D99"/>
    <w:rsid w:val="00476384"/>
    <w:rsid w:val="00482786"/>
    <w:rsid w:val="004839F9"/>
    <w:rsid w:val="00485379"/>
    <w:rsid w:val="00485A8D"/>
    <w:rsid w:val="00486869"/>
    <w:rsid w:val="00490F7C"/>
    <w:rsid w:val="004912B6"/>
    <w:rsid w:val="004A25E8"/>
    <w:rsid w:val="004A378D"/>
    <w:rsid w:val="004A56E8"/>
    <w:rsid w:val="004A7FAD"/>
    <w:rsid w:val="004B0ADB"/>
    <w:rsid w:val="004B0E95"/>
    <w:rsid w:val="004B1AEC"/>
    <w:rsid w:val="004B2191"/>
    <w:rsid w:val="004B2204"/>
    <w:rsid w:val="004B7423"/>
    <w:rsid w:val="004C6DAA"/>
    <w:rsid w:val="004D1031"/>
    <w:rsid w:val="004D53DC"/>
    <w:rsid w:val="004D5BF6"/>
    <w:rsid w:val="004E01CF"/>
    <w:rsid w:val="004E1139"/>
    <w:rsid w:val="004E16CD"/>
    <w:rsid w:val="004E2D86"/>
    <w:rsid w:val="004F5E31"/>
    <w:rsid w:val="00500619"/>
    <w:rsid w:val="0050217D"/>
    <w:rsid w:val="00505AFB"/>
    <w:rsid w:val="00506175"/>
    <w:rsid w:val="00511166"/>
    <w:rsid w:val="0051180C"/>
    <w:rsid w:val="00516EC6"/>
    <w:rsid w:val="0052281D"/>
    <w:rsid w:val="005256B6"/>
    <w:rsid w:val="005260CE"/>
    <w:rsid w:val="005262A3"/>
    <w:rsid w:val="005268DA"/>
    <w:rsid w:val="00530F6F"/>
    <w:rsid w:val="00533966"/>
    <w:rsid w:val="00536BFA"/>
    <w:rsid w:val="00537831"/>
    <w:rsid w:val="00542E3B"/>
    <w:rsid w:val="00542ED4"/>
    <w:rsid w:val="00545E04"/>
    <w:rsid w:val="00552149"/>
    <w:rsid w:val="00553282"/>
    <w:rsid w:val="00555B32"/>
    <w:rsid w:val="00562970"/>
    <w:rsid w:val="00565A12"/>
    <w:rsid w:val="0057030B"/>
    <w:rsid w:val="00573928"/>
    <w:rsid w:val="005746D4"/>
    <w:rsid w:val="00576ABA"/>
    <w:rsid w:val="00577CAA"/>
    <w:rsid w:val="00580268"/>
    <w:rsid w:val="00584909"/>
    <w:rsid w:val="005857A6"/>
    <w:rsid w:val="0058713C"/>
    <w:rsid w:val="0058771B"/>
    <w:rsid w:val="00592305"/>
    <w:rsid w:val="00593653"/>
    <w:rsid w:val="00594A3B"/>
    <w:rsid w:val="005A7897"/>
    <w:rsid w:val="005B0966"/>
    <w:rsid w:val="005B39F6"/>
    <w:rsid w:val="005B5871"/>
    <w:rsid w:val="005C2B6D"/>
    <w:rsid w:val="005D0074"/>
    <w:rsid w:val="005D46B4"/>
    <w:rsid w:val="005D5E73"/>
    <w:rsid w:val="005D6957"/>
    <w:rsid w:val="005E0374"/>
    <w:rsid w:val="005E16DA"/>
    <w:rsid w:val="005E1F9A"/>
    <w:rsid w:val="005E45CB"/>
    <w:rsid w:val="005E5A61"/>
    <w:rsid w:val="005E7048"/>
    <w:rsid w:val="005E7EE5"/>
    <w:rsid w:val="005F0D9C"/>
    <w:rsid w:val="005F3D81"/>
    <w:rsid w:val="006020A5"/>
    <w:rsid w:val="006021FD"/>
    <w:rsid w:val="00602F3B"/>
    <w:rsid w:val="00603D68"/>
    <w:rsid w:val="00603EC5"/>
    <w:rsid w:val="00603F9E"/>
    <w:rsid w:val="006063F8"/>
    <w:rsid w:val="00606563"/>
    <w:rsid w:val="00606592"/>
    <w:rsid w:val="006068AD"/>
    <w:rsid w:val="00613B79"/>
    <w:rsid w:val="00616D07"/>
    <w:rsid w:val="00617698"/>
    <w:rsid w:val="00620EA9"/>
    <w:rsid w:val="00620F20"/>
    <w:rsid w:val="006212D1"/>
    <w:rsid w:val="00621835"/>
    <w:rsid w:val="00622FE7"/>
    <w:rsid w:val="006244F0"/>
    <w:rsid w:val="00630851"/>
    <w:rsid w:val="00631DD3"/>
    <w:rsid w:val="0063266F"/>
    <w:rsid w:val="0063306E"/>
    <w:rsid w:val="00637708"/>
    <w:rsid w:val="00644A9E"/>
    <w:rsid w:val="00646ADD"/>
    <w:rsid w:val="00651066"/>
    <w:rsid w:val="006566E5"/>
    <w:rsid w:val="006645CD"/>
    <w:rsid w:val="006645F1"/>
    <w:rsid w:val="0066546A"/>
    <w:rsid w:val="00666682"/>
    <w:rsid w:val="00671DF3"/>
    <w:rsid w:val="00672AE6"/>
    <w:rsid w:val="00674415"/>
    <w:rsid w:val="00684F60"/>
    <w:rsid w:val="00685853"/>
    <w:rsid w:val="00687808"/>
    <w:rsid w:val="00694CD2"/>
    <w:rsid w:val="006A19BB"/>
    <w:rsid w:val="006A47D4"/>
    <w:rsid w:val="006A498B"/>
    <w:rsid w:val="006A54B2"/>
    <w:rsid w:val="006A721C"/>
    <w:rsid w:val="006B1B17"/>
    <w:rsid w:val="006B405F"/>
    <w:rsid w:val="006B4205"/>
    <w:rsid w:val="006B5A8B"/>
    <w:rsid w:val="006C038B"/>
    <w:rsid w:val="006C4361"/>
    <w:rsid w:val="006C796F"/>
    <w:rsid w:val="006D6CF1"/>
    <w:rsid w:val="006D76C8"/>
    <w:rsid w:val="006D7946"/>
    <w:rsid w:val="006D79D8"/>
    <w:rsid w:val="006E0EA5"/>
    <w:rsid w:val="006E124B"/>
    <w:rsid w:val="006E4529"/>
    <w:rsid w:val="006E55A4"/>
    <w:rsid w:val="006E6772"/>
    <w:rsid w:val="006E7CA0"/>
    <w:rsid w:val="006F2013"/>
    <w:rsid w:val="006F6F2A"/>
    <w:rsid w:val="0070016D"/>
    <w:rsid w:val="0070165D"/>
    <w:rsid w:val="0070322A"/>
    <w:rsid w:val="00703EBA"/>
    <w:rsid w:val="007045C8"/>
    <w:rsid w:val="007068DA"/>
    <w:rsid w:val="00711D10"/>
    <w:rsid w:val="00717135"/>
    <w:rsid w:val="007223EE"/>
    <w:rsid w:val="00724A50"/>
    <w:rsid w:val="00726AD9"/>
    <w:rsid w:val="007272AD"/>
    <w:rsid w:val="0073074D"/>
    <w:rsid w:val="0073446E"/>
    <w:rsid w:val="0073519F"/>
    <w:rsid w:val="00735D6F"/>
    <w:rsid w:val="00736013"/>
    <w:rsid w:val="00736EF3"/>
    <w:rsid w:val="00737BBF"/>
    <w:rsid w:val="0074012E"/>
    <w:rsid w:val="00740B67"/>
    <w:rsid w:val="00740F61"/>
    <w:rsid w:val="00742776"/>
    <w:rsid w:val="00742D1F"/>
    <w:rsid w:val="0074533E"/>
    <w:rsid w:val="00747B98"/>
    <w:rsid w:val="00750585"/>
    <w:rsid w:val="00753814"/>
    <w:rsid w:val="00753DEE"/>
    <w:rsid w:val="00753EAC"/>
    <w:rsid w:val="0076081C"/>
    <w:rsid w:val="007614BE"/>
    <w:rsid w:val="00762BBD"/>
    <w:rsid w:val="00762DA9"/>
    <w:rsid w:val="00763B10"/>
    <w:rsid w:val="00764D94"/>
    <w:rsid w:val="007665D9"/>
    <w:rsid w:val="00766998"/>
    <w:rsid w:val="007711A2"/>
    <w:rsid w:val="00771229"/>
    <w:rsid w:val="00771D75"/>
    <w:rsid w:val="0077226D"/>
    <w:rsid w:val="00773C61"/>
    <w:rsid w:val="00776E06"/>
    <w:rsid w:val="0077784F"/>
    <w:rsid w:val="00780473"/>
    <w:rsid w:val="007831E3"/>
    <w:rsid w:val="00783786"/>
    <w:rsid w:val="00785A2F"/>
    <w:rsid w:val="00791C04"/>
    <w:rsid w:val="00792A22"/>
    <w:rsid w:val="0079690D"/>
    <w:rsid w:val="007970CE"/>
    <w:rsid w:val="007A0EEE"/>
    <w:rsid w:val="007A1040"/>
    <w:rsid w:val="007A7764"/>
    <w:rsid w:val="007B22F3"/>
    <w:rsid w:val="007B3BEB"/>
    <w:rsid w:val="007B3CAD"/>
    <w:rsid w:val="007B5FC0"/>
    <w:rsid w:val="007C1BBF"/>
    <w:rsid w:val="007E0595"/>
    <w:rsid w:val="007E33B1"/>
    <w:rsid w:val="007E6207"/>
    <w:rsid w:val="007E6C84"/>
    <w:rsid w:val="007F0FFB"/>
    <w:rsid w:val="007F1572"/>
    <w:rsid w:val="007F246B"/>
    <w:rsid w:val="007F3CB2"/>
    <w:rsid w:val="0080127C"/>
    <w:rsid w:val="00803993"/>
    <w:rsid w:val="008040FA"/>
    <w:rsid w:val="00810054"/>
    <w:rsid w:val="00813E75"/>
    <w:rsid w:val="0081778B"/>
    <w:rsid w:val="008204C7"/>
    <w:rsid w:val="00821C30"/>
    <w:rsid w:val="00827466"/>
    <w:rsid w:val="00830DEA"/>
    <w:rsid w:val="00842741"/>
    <w:rsid w:val="00842D5C"/>
    <w:rsid w:val="0084490A"/>
    <w:rsid w:val="0084588D"/>
    <w:rsid w:val="008459B0"/>
    <w:rsid w:val="008461E9"/>
    <w:rsid w:val="00846558"/>
    <w:rsid w:val="008504FF"/>
    <w:rsid w:val="00854135"/>
    <w:rsid w:val="00855691"/>
    <w:rsid w:val="0086081C"/>
    <w:rsid w:val="00860E83"/>
    <w:rsid w:val="00861D2A"/>
    <w:rsid w:val="0086228C"/>
    <w:rsid w:val="00865943"/>
    <w:rsid w:val="008660E0"/>
    <w:rsid w:val="00866EEC"/>
    <w:rsid w:val="00867536"/>
    <w:rsid w:val="0087234C"/>
    <w:rsid w:val="008736AB"/>
    <w:rsid w:val="0087646C"/>
    <w:rsid w:val="008808DA"/>
    <w:rsid w:val="00880993"/>
    <w:rsid w:val="00882025"/>
    <w:rsid w:val="0088244B"/>
    <w:rsid w:val="00884C4A"/>
    <w:rsid w:val="00886511"/>
    <w:rsid w:val="00891AA3"/>
    <w:rsid w:val="008943EF"/>
    <w:rsid w:val="0089445E"/>
    <w:rsid w:val="0089480D"/>
    <w:rsid w:val="0089520A"/>
    <w:rsid w:val="00897A28"/>
    <w:rsid w:val="008A3F62"/>
    <w:rsid w:val="008A4A83"/>
    <w:rsid w:val="008A61D6"/>
    <w:rsid w:val="008B088E"/>
    <w:rsid w:val="008B2A0F"/>
    <w:rsid w:val="008B7A39"/>
    <w:rsid w:val="008C0CB0"/>
    <w:rsid w:val="008C0E8C"/>
    <w:rsid w:val="008C228B"/>
    <w:rsid w:val="008C3C83"/>
    <w:rsid w:val="008C585D"/>
    <w:rsid w:val="008D0A67"/>
    <w:rsid w:val="008D4CED"/>
    <w:rsid w:val="008D6F6A"/>
    <w:rsid w:val="008E0C7F"/>
    <w:rsid w:val="008E0E79"/>
    <w:rsid w:val="008E178C"/>
    <w:rsid w:val="008E21F6"/>
    <w:rsid w:val="008E5635"/>
    <w:rsid w:val="008F0498"/>
    <w:rsid w:val="008F0DEC"/>
    <w:rsid w:val="008F1102"/>
    <w:rsid w:val="008F14AE"/>
    <w:rsid w:val="008F2701"/>
    <w:rsid w:val="008F30FC"/>
    <w:rsid w:val="00900969"/>
    <w:rsid w:val="009073A7"/>
    <w:rsid w:val="00912AFD"/>
    <w:rsid w:val="00912B42"/>
    <w:rsid w:val="0091362A"/>
    <w:rsid w:val="00914007"/>
    <w:rsid w:val="009142AA"/>
    <w:rsid w:val="009153F2"/>
    <w:rsid w:val="0091760D"/>
    <w:rsid w:val="0091793F"/>
    <w:rsid w:val="009205A8"/>
    <w:rsid w:val="009206E4"/>
    <w:rsid w:val="00921C65"/>
    <w:rsid w:val="00923A22"/>
    <w:rsid w:val="00927E70"/>
    <w:rsid w:val="0093166C"/>
    <w:rsid w:val="00931F37"/>
    <w:rsid w:val="009364BA"/>
    <w:rsid w:val="00936D2A"/>
    <w:rsid w:val="00940B66"/>
    <w:rsid w:val="00944911"/>
    <w:rsid w:val="009500E9"/>
    <w:rsid w:val="0095043A"/>
    <w:rsid w:val="009542D6"/>
    <w:rsid w:val="00955308"/>
    <w:rsid w:val="00955904"/>
    <w:rsid w:val="00955E74"/>
    <w:rsid w:val="00956DC0"/>
    <w:rsid w:val="00957D76"/>
    <w:rsid w:val="00962998"/>
    <w:rsid w:val="00964669"/>
    <w:rsid w:val="0096495C"/>
    <w:rsid w:val="0096525D"/>
    <w:rsid w:val="0096595C"/>
    <w:rsid w:val="00966343"/>
    <w:rsid w:val="00966809"/>
    <w:rsid w:val="00967DE3"/>
    <w:rsid w:val="009712C1"/>
    <w:rsid w:val="00971B33"/>
    <w:rsid w:val="00974F20"/>
    <w:rsid w:val="00975436"/>
    <w:rsid w:val="00976CE2"/>
    <w:rsid w:val="00977691"/>
    <w:rsid w:val="00980949"/>
    <w:rsid w:val="00983226"/>
    <w:rsid w:val="0099263C"/>
    <w:rsid w:val="009926FA"/>
    <w:rsid w:val="00994BB8"/>
    <w:rsid w:val="00997B5D"/>
    <w:rsid w:val="009A298D"/>
    <w:rsid w:val="009A329C"/>
    <w:rsid w:val="009A3C8A"/>
    <w:rsid w:val="009A490E"/>
    <w:rsid w:val="009A5D96"/>
    <w:rsid w:val="009A70ED"/>
    <w:rsid w:val="009A7A8C"/>
    <w:rsid w:val="009B1A65"/>
    <w:rsid w:val="009B1A90"/>
    <w:rsid w:val="009B2578"/>
    <w:rsid w:val="009B3D58"/>
    <w:rsid w:val="009B4DFC"/>
    <w:rsid w:val="009B6EE0"/>
    <w:rsid w:val="009C0493"/>
    <w:rsid w:val="009C1AEC"/>
    <w:rsid w:val="009C5169"/>
    <w:rsid w:val="009C6C5D"/>
    <w:rsid w:val="009D42C2"/>
    <w:rsid w:val="009D6128"/>
    <w:rsid w:val="009E19F7"/>
    <w:rsid w:val="009E27E5"/>
    <w:rsid w:val="009E5AAC"/>
    <w:rsid w:val="009E7D3E"/>
    <w:rsid w:val="009F5CD4"/>
    <w:rsid w:val="009F5D2E"/>
    <w:rsid w:val="009F670F"/>
    <w:rsid w:val="009F70AE"/>
    <w:rsid w:val="009F7848"/>
    <w:rsid w:val="00A0053C"/>
    <w:rsid w:val="00A02ED1"/>
    <w:rsid w:val="00A03816"/>
    <w:rsid w:val="00A10E77"/>
    <w:rsid w:val="00A13E21"/>
    <w:rsid w:val="00A13E2B"/>
    <w:rsid w:val="00A209A0"/>
    <w:rsid w:val="00A2235C"/>
    <w:rsid w:val="00A26A61"/>
    <w:rsid w:val="00A31101"/>
    <w:rsid w:val="00A350C6"/>
    <w:rsid w:val="00A35BE1"/>
    <w:rsid w:val="00A36769"/>
    <w:rsid w:val="00A3703D"/>
    <w:rsid w:val="00A371F8"/>
    <w:rsid w:val="00A4359F"/>
    <w:rsid w:val="00A46ACA"/>
    <w:rsid w:val="00A47362"/>
    <w:rsid w:val="00A4759D"/>
    <w:rsid w:val="00A505A9"/>
    <w:rsid w:val="00A51F24"/>
    <w:rsid w:val="00A57924"/>
    <w:rsid w:val="00A60E8F"/>
    <w:rsid w:val="00A61DFB"/>
    <w:rsid w:val="00A643FD"/>
    <w:rsid w:val="00A64AB9"/>
    <w:rsid w:val="00A64C02"/>
    <w:rsid w:val="00A65820"/>
    <w:rsid w:val="00A6613D"/>
    <w:rsid w:val="00A700B5"/>
    <w:rsid w:val="00A70211"/>
    <w:rsid w:val="00A70E3A"/>
    <w:rsid w:val="00A74B98"/>
    <w:rsid w:val="00A77EE9"/>
    <w:rsid w:val="00A82474"/>
    <w:rsid w:val="00A86EDC"/>
    <w:rsid w:val="00A875EF"/>
    <w:rsid w:val="00A91F51"/>
    <w:rsid w:val="00A94FA2"/>
    <w:rsid w:val="00A95E9E"/>
    <w:rsid w:val="00A96589"/>
    <w:rsid w:val="00AA3652"/>
    <w:rsid w:val="00AA36E7"/>
    <w:rsid w:val="00AA570C"/>
    <w:rsid w:val="00AA5B6B"/>
    <w:rsid w:val="00AB010F"/>
    <w:rsid w:val="00AB11AB"/>
    <w:rsid w:val="00AB1CF6"/>
    <w:rsid w:val="00AB5244"/>
    <w:rsid w:val="00AB5CCA"/>
    <w:rsid w:val="00AB64E9"/>
    <w:rsid w:val="00AB6778"/>
    <w:rsid w:val="00AB764A"/>
    <w:rsid w:val="00AC0A32"/>
    <w:rsid w:val="00AC36B9"/>
    <w:rsid w:val="00AC4361"/>
    <w:rsid w:val="00AC7526"/>
    <w:rsid w:val="00AC7B4C"/>
    <w:rsid w:val="00AD194C"/>
    <w:rsid w:val="00AD2A48"/>
    <w:rsid w:val="00AD450C"/>
    <w:rsid w:val="00AE4DC4"/>
    <w:rsid w:val="00AE61D8"/>
    <w:rsid w:val="00AE69FF"/>
    <w:rsid w:val="00AF0F61"/>
    <w:rsid w:val="00AF1786"/>
    <w:rsid w:val="00AF2948"/>
    <w:rsid w:val="00AF3268"/>
    <w:rsid w:val="00AF3ED5"/>
    <w:rsid w:val="00AF60C1"/>
    <w:rsid w:val="00B000FD"/>
    <w:rsid w:val="00B003E9"/>
    <w:rsid w:val="00B064AB"/>
    <w:rsid w:val="00B11E5F"/>
    <w:rsid w:val="00B1267E"/>
    <w:rsid w:val="00B12E82"/>
    <w:rsid w:val="00B15B68"/>
    <w:rsid w:val="00B170A2"/>
    <w:rsid w:val="00B20078"/>
    <w:rsid w:val="00B2296B"/>
    <w:rsid w:val="00B26A37"/>
    <w:rsid w:val="00B30FB4"/>
    <w:rsid w:val="00B40987"/>
    <w:rsid w:val="00B454BF"/>
    <w:rsid w:val="00B45B66"/>
    <w:rsid w:val="00B47962"/>
    <w:rsid w:val="00B50130"/>
    <w:rsid w:val="00B51C2B"/>
    <w:rsid w:val="00B5214E"/>
    <w:rsid w:val="00B6228B"/>
    <w:rsid w:val="00B62ED5"/>
    <w:rsid w:val="00B639D8"/>
    <w:rsid w:val="00B6545E"/>
    <w:rsid w:val="00B654EB"/>
    <w:rsid w:val="00B65E7D"/>
    <w:rsid w:val="00B725B7"/>
    <w:rsid w:val="00B74351"/>
    <w:rsid w:val="00B75023"/>
    <w:rsid w:val="00B810D0"/>
    <w:rsid w:val="00B81AA3"/>
    <w:rsid w:val="00B83D28"/>
    <w:rsid w:val="00B857C6"/>
    <w:rsid w:val="00B91A35"/>
    <w:rsid w:val="00B935F7"/>
    <w:rsid w:val="00B93DCE"/>
    <w:rsid w:val="00B93EC1"/>
    <w:rsid w:val="00B9605E"/>
    <w:rsid w:val="00B97AD1"/>
    <w:rsid w:val="00BA18ED"/>
    <w:rsid w:val="00BA452F"/>
    <w:rsid w:val="00BA51CA"/>
    <w:rsid w:val="00BA7715"/>
    <w:rsid w:val="00BB1CAE"/>
    <w:rsid w:val="00BB3FBC"/>
    <w:rsid w:val="00BB51D2"/>
    <w:rsid w:val="00BB7E1C"/>
    <w:rsid w:val="00BC0C2B"/>
    <w:rsid w:val="00BC3F79"/>
    <w:rsid w:val="00BD38BD"/>
    <w:rsid w:val="00BD6E63"/>
    <w:rsid w:val="00BE0320"/>
    <w:rsid w:val="00BE131B"/>
    <w:rsid w:val="00BE1B7D"/>
    <w:rsid w:val="00BE1C80"/>
    <w:rsid w:val="00BE35CB"/>
    <w:rsid w:val="00BE5EAB"/>
    <w:rsid w:val="00BE6DA1"/>
    <w:rsid w:val="00BE78AA"/>
    <w:rsid w:val="00BF0922"/>
    <w:rsid w:val="00BF4A88"/>
    <w:rsid w:val="00BF4E39"/>
    <w:rsid w:val="00C005CF"/>
    <w:rsid w:val="00C00AA5"/>
    <w:rsid w:val="00C02826"/>
    <w:rsid w:val="00C03D3D"/>
    <w:rsid w:val="00C1022E"/>
    <w:rsid w:val="00C107EC"/>
    <w:rsid w:val="00C1757A"/>
    <w:rsid w:val="00C20901"/>
    <w:rsid w:val="00C20E54"/>
    <w:rsid w:val="00C218B4"/>
    <w:rsid w:val="00C24981"/>
    <w:rsid w:val="00C307B8"/>
    <w:rsid w:val="00C344E4"/>
    <w:rsid w:val="00C37599"/>
    <w:rsid w:val="00C41807"/>
    <w:rsid w:val="00C4693D"/>
    <w:rsid w:val="00C47516"/>
    <w:rsid w:val="00C47A58"/>
    <w:rsid w:val="00C47D55"/>
    <w:rsid w:val="00C52D62"/>
    <w:rsid w:val="00C547F8"/>
    <w:rsid w:val="00C55062"/>
    <w:rsid w:val="00C551AB"/>
    <w:rsid w:val="00C63D0F"/>
    <w:rsid w:val="00C66382"/>
    <w:rsid w:val="00C66518"/>
    <w:rsid w:val="00C71FC2"/>
    <w:rsid w:val="00C74392"/>
    <w:rsid w:val="00C766EA"/>
    <w:rsid w:val="00C76F6F"/>
    <w:rsid w:val="00C778A2"/>
    <w:rsid w:val="00C81053"/>
    <w:rsid w:val="00C90386"/>
    <w:rsid w:val="00C91E40"/>
    <w:rsid w:val="00C93526"/>
    <w:rsid w:val="00C94AF3"/>
    <w:rsid w:val="00CA5F07"/>
    <w:rsid w:val="00CA7460"/>
    <w:rsid w:val="00CB43CC"/>
    <w:rsid w:val="00CB6C96"/>
    <w:rsid w:val="00CC3631"/>
    <w:rsid w:val="00CC60B7"/>
    <w:rsid w:val="00CC7E8A"/>
    <w:rsid w:val="00CD11FC"/>
    <w:rsid w:val="00CD1FB4"/>
    <w:rsid w:val="00CD438E"/>
    <w:rsid w:val="00CD4FD1"/>
    <w:rsid w:val="00CD62D8"/>
    <w:rsid w:val="00CE143B"/>
    <w:rsid w:val="00CE38FC"/>
    <w:rsid w:val="00CE4F21"/>
    <w:rsid w:val="00CE53F1"/>
    <w:rsid w:val="00CE61F5"/>
    <w:rsid w:val="00CE715D"/>
    <w:rsid w:val="00CF153A"/>
    <w:rsid w:val="00CF2D07"/>
    <w:rsid w:val="00CF2F61"/>
    <w:rsid w:val="00CF3327"/>
    <w:rsid w:val="00CF72B6"/>
    <w:rsid w:val="00D0170B"/>
    <w:rsid w:val="00D07154"/>
    <w:rsid w:val="00D131A6"/>
    <w:rsid w:val="00D16769"/>
    <w:rsid w:val="00D173E3"/>
    <w:rsid w:val="00D2711F"/>
    <w:rsid w:val="00D33383"/>
    <w:rsid w:val="00D416DC"/>
    <w:rsid w:val="00D41C2F"/>
    <w:rsid w:val="00D42BFB"/>
    <w:rsid w:val="00D44581"/>
    <w:rsid w:val="00D44AF0"/>
    <w:rsid w:val="00D50169"/>
    <w:rsid w:val="00D52257"/>
    <w:rsid w:val="00D56FFB"/>
    <w:rsid w:val="00D64C68"/>
    <w:rsid w:val="00D66192"/>
    <w:rsid w:val="00D71B28"/>
    <w:rsid w:val="00D75EE3"/>
    <w:rsid w:val="00D7758B"/>
    <w:rsid w:val="00D82365"/>
    <w:rsid w:val="00D8492B"/>
    <w:rsid w:val="00D8555B"/>
    <w:rsid w:val="00D87E06"/>
    <w:rsid w:val="00D905B1"/>
    <w:rsid w:val="00D9713B"/>
    <w:rsid w:val="00DA1204"/>
    <w:rsid w:val="00DA63AD"/>
    <w:rsid w:val="00DA64EE"/>
    <w:rsid w:val="00DA7437"/>
    <w:rsid w:val="00DA744A"/>
    <w:rsid w:val="00DB1C7B"/>
    <w:rsid w:val="00DB3D60"/>
    <w:rsid w:val="00DB70AC"/>
    <w:rsid w:val="00DB734C"/>
    <w:rsid w:val="00DB7730"/>
    <w:rsid w:val="00DC02D9"/>
    <w:rsid w:val="00DC0B48"/>
    <w:rsid w:val="00DC0B95"/>
    <w:rsid w:val="00DC0FF2"/>
    <w:rsid w:val="00DC2D04"/>
    <w:rsid w:val="00DC48EA"/>
    <w:rsid w:val="00DC4C12"/>
    <w:rsid w:val="00DC4DB0"/>
    <w:rsid w:val="00DC5D2F"/>
    <w:rsid w:val="00DD0810"/>
    <w:rsid w:val="00DD0A57"/>
    <w:rsid w:val="00DD2CFF"/>
    <w:rsid w:val="00DD32FE"/>
    <w:rsid w:val="00DD34B8"/>
    <w:rsid w:val="00DD3643"/>
    <w:rsid w:val="00DD41C1"/>
    <w:rsid w:val="00DD5EE6"/>
    <w:rsid w:val="00DE38DF"/>
    <w:rsid w:val="00DE57BE"/>
    <w:rsid w:val="00DE5E9D"/>
    <w:rsid w:val="00DF201C"/>
    <w:rsid w:val="00DF3759"/>
    <w:rsid w:val="00DF4E01"/>
    <w:rsid w:val="00DF77E4"/>
    <w:rsid w:val="00DF7E81"/>
    <w:rsid w:val="00DF7E91"/>
    <w:rsid w:val="00E01355"/>
    <w:rsid w:val="00E01777"/>
    <w:rsid w:val="00E02308"/>
    <w:rsid w:val="00E05B41"/>
    <w:rsid w:val="00E05D4A"/>
    <w:rsid w:val="00E06EC2"/>
    <w:rsid w:val="00E072CC"/>
    <w:rsid w:val="00E10C78"/>
    <w:rsid w:val="00E13236"/>
    <w:rsid w:val="00E15CC9"/>
    <w:rsid w:val="00E224BA"/>
    <w:rsid w:val="00E22C0D"/>
    <w:rsid w:val="00E24860"/>
    <w:rsid w:val="00E2575A"/>
    <w:rsid w:val="00E25A1C"/>
    <w:rsid w:val="00E26E0C"/>
    <w:rsid w:val="00E274D6"/>
    <w:rsid w:val="00E274F2"/>
    <w:rsid w:val="00E279B0"/>
    <w:rsid w:val="00E30609"/>
    <w:rsid w:val="00E34FF3"/>
    <w:rsid w:val="00E41663"/>
    <w:rsid w:val="00E4195C"/>
    <w:rsid w:val="00E41BA0"/>
    <w:rsid w:val="00E441BF"/>
    <w:rsid w:val="00E453AF"/>
    <w:rsid w:val="00E537E6"/>
    <w:rsid w:val="00E55715"/>
    <w:rsid w:val="00E6006A"/>
    <w:rsid w:val="00E60B3B"/>
    <w:rsid w:val="00E634C1"/>
    <w:rsid w:val="00E66040"/>
    <w:rsid w:val="00E677AC"/>
    <w:rsid w:val="00E7368E"/>
    <w:rsid w:val="00E74AFE"/>
    <w:rsid w:val="00E761E2"/>
    <w:rsid w:val="00E82659"/>
    <w:rsid w:val="00E840DF"/>
    <w:rsid w:val="00E84433"/>
    <w:rsid w:val="00E91472"/>
    <w:rsid w:val="00E92319"/>
    <w:rsid w:val="00E94A08"/>
    <w:rsid w:val="00E968DA"/>
    <w:rsid w:val="00EA0349"/>
    <w:rsid w:val="00EA278D"/>
    <w:rsid w:val="00EA2D43"/>
    <w:rsid w:val="00EB114A"/>
    <w:rsid w:val="00EB4197"/>
    <w:rsid w:val="00EB5DA0"/>
    <w:rsid w:val="00EC0B55"/>
    <w:rsid w:val="00EC17AB"/>
    <w:rsid w:val="00EC4A0A"/>
    <w:rsid w:val="00ED1499"/>
    <w:rsid w:val="00EE32A8"/>
    <w:rsid w:val="00EE3717"/>
    <w:rsid w:val="00EF01AB"/>
    <w:rsid w:val="00EF42CE"/>
    <w:rsid w:val="00EF7520"/>
    <w:rsid w:val="00F02893"/>
    <w:rsid w:val="00F02B4F"/>
    <w:rsid w:val="00F05803"/>
    <w:rsid w:val="00F06E19"/>
    <w:rsid w:val="00F134ED"/>
    <w:rsid w:val="00F1411C"/>
    <w:rsid w:val="00F158C5"/>
    <w:rsid w:val="00F1678C"/>
    <w:rsid w:val="00F210BA"/>
    <w:rsid w:val="00F2490A"/>
    <w:rsid w:val="00F30387"/>
    <w:rsid w:val="00F3162B"/>
    <w:rsid w:val="00F424FA"/>
    <w:rsid w:val="00F42F01"/>
    <w:rsid w:val="00F43212"/>
    <w:rsid w:val="00F44B21"/>
    <w:rsid w:val="00F44DEE"/>
    <w:rsid w:val="00F45194"/>
    <w:rsid w:val="00F54123"/>
    <w:rsid w:val="00F573F2"/>
    <w:rsid w:val="00F60D2E"/>
    <w:rsid w:val="00F60EA3"/>
    <w:rsid w:val="00F62B81"/>
    <w:rsid w:val="00F70607"/>
    <w:rsid w:val="00F7140E"/>
    <w:rsid w:val="00F77165"/>
    <w:rsid w:val="00F808C1"/>
    <w:rsid w:val="00FA24AC"/>
    <w:rsid w:val="00FA6A7F"/>
    <w:rsid w:val="00FA6AE2"/>
    <w:rsid w:val="00FB02E2"/>
    <w:rsid w:val="00FB0852"/>
    <w:rsid w:val="00FB29C9"/>
    <w:rsid w:val="00FB4473"/>
    <w:rsid w:val="00FB78F5"/>
    <w:rsid w:val="00FC5728"/>
    <w:rsid w:val="00FC5F47"/>
    <w:rsid w:val="00FD047A"/>
    <w:rsid w:val="00FD1052"/>
    <w:rsid w:val="00FD2404"/>
    <w:rsid w:val="00FD32B6"/>
    <w:rsid w:val="00FD54A2"/>
    <w:rsid w:val="00FD7D2A"/>
    <w:rsid w:val="00FE0A5A"/>
    <w:rsid w:val="00FE27A9"/>
    <w:rsid w:val="00FE5B1E"/>
    <w:rsid w:val="00FE5D1F"/>
    <w:rsid w:val="00FE5FE2"/>
    <w:rsid w:val="00FE6431"/>
    <w:rsid w:val="00FE7CD6"/>
    <w:rsid w:val="00FF6E0D"/>
    <w:rsid w:val="00FF7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AFF83"/>
  <w15:docId w15:val="{E7CBEFC6-1D55-4FC5-A6BF-AF6729E1F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HEA Grapalat" w:eastAsiaTheme="minorHAnsi" w:hAnsi="GHEA Grapalat"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3DC"/>
  </w:style>
  <w:style w:type="paragraph" w:styleId="Heading2">
    <w:name w:val="heading 2"/>
    <w:basedOn w:val="Normal"/>
    <w:next w:val="Normal"/>
    <w:link w:val="Heading2Char"/>
    <w:uiPriority w:val="9"/>
    <w:unhideWhenUsed/>
    <w:qFormat/>
    <w:rsid w:val="005E5A61"/>
    <w:pPr>
      <w:keepNext/>
      <w:keepLines/>
      <w:spacing w:before="40" w:line="259" w:lineRule="auto"/>
      <w:ind w:left="720" w:right="720"/>
      <w:jc w:val="both"/>
      <w:outlineLvl w:val="1"/>
    </w:pPr>
    <w:rPr>
      <w:rFonts w:ascii="Calibri" w:eastAsia="Times New Roman" w:hAnsi="Calibri" w:cs="Latha"/>
      <w:b/>
      <w:i/>
      <w:color w:val="2E74B5"/>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D450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D450C"/>
  </w:style>
  <w:style w:type="paragraph" w:styleId="Footer">
    <w:name w:val="footer"/>
    <w:basedOn w:val="Normal"/>
    <w:link w:val="FooterChar"/>
    <w:uiPriority w:val="99"/>
    <w:semiHidden/>
    <w:unhideWhenUsed/>
    <w:rsid w:val="00AD450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D450C"/>
  </w:style>
  <w:style w:type="paragraph" w:styleId="FootnoteText">
    <w:name w:val="footnote text"/>
    <w:basedOn w:val="Normal"/>
    <w:link w:val="FootnoteTextChar"/>
    <w:uiPriority w:val="99"/>
    <w:semiHidden/>
    <w:unhideWhenUsed/>
    <w:rsid w:val="005D5E73"/>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5D5E73"/>
    <w:rPr>
      <w:rFonts w:asciiTheme="minorHAnsi" w:hAnsiTheme="minorHAnsi"/>
      <w:sz w:val="20"/>
      <w:szCs w:val="20"/>
    </w:rPr>
  </w:style>
  <w:style w:type="character" w:styleId="FootnoteReference">
    <w:name w:val="footnote reference"/>
    <w:basedOn w:val="DefaultParagraphFont"/>
    <w:uiPriority w:val="99"/>
    <w:semiHidden/>
    <w:unhideWhenUsed/>
    <w:rsid w:val="005D5E73"/>
    <w:rPr>
      <w:vertAlign w:val="superscript"/>
    </w:rPr>
  </w:style>
  <w:style w:type="paragraph" w:styleId="ListParagraph">
    <w:name w:val="List Paragraph"/>
    <w:basedOn w:val="Normal"/>
    <w:uiPriority w:val="34"/>
    <w:qFormat/>
    <w:rsid w:val="009C1AEC"/>
    <w:pPr>
      <w:ind w:left="720"/>
      <w:contextualSpacing/>
    </w:pPr>
  </w:style>
  <w:style w:type="paragraph" w:styleId="NormalWeb">
    <w:name w:val="Normal (Web)"/>
    <w:basedOn w:val="Normal"/>
    <w:uiPriority w:val="99"/>
    <w:unhideWhenUsed/>
    <w:rsid w:val="0079690D"/>
    <w:pPr>
      <w:spacing w:before="100" w:beforeAutospacing="1" w:after="100" w:afterAutospacing="1" w:line="240" w:lineRule="auto"/>
    </w:pPr>
    <w:rPr>
      <w:rFonts w:ascii="Times New Roman" w:eastAsia="Times New Roman" w:hAnsi="Times New Roman" w:cs="Times New Roman"/>
      <w:lang w:val="en-GB" w:eastAsia="en-GB"/>
    </w:rPr>
  </w:style>
  <w:style w:type="character" w:customStyle="1" w:styleId="Heading2Char">
    <w:name w:val="Heading 2 Char"/>
    <w:basedOn w:val="DefaultParagraphFont"/>
    <w:link w:val="Heading2"/>
    <w:uiPriority w:val="9"/>
    <w:rsid w:val="005E5A61"/>
    <w:rPr>
      <w:rFonts w:ascii="Calibri" w:eastAsia="Times New Roman" w:hAnsi="Calibri" w:cs="Latha"/>
      <w:b/>
      <w:i/>
      <w:color w:val="2E74B5"/>
      <w:szCs w:val="26"/>
    </w:rPr>
  </w:style>
  <w:style w:type="character" w:styleId="Hyperlink">
    <w:name w:val="Hyperlink"/>
    <w:basedOn w:val="DefaultParagraphFont"/>
    <w:uiPriority w:val="99"/>
    <w:unhideWhenUsed/>
    <w:rsid w:val="009A7A8C"/>
    <w:rPr>
      <w:color w:val="0000FF" w:themeColor="hyperlink"/>
      <w:u w:val="single"/>
    </w:rPr>
  </w:style>
  <w:style w:type="table" w:styleId="TableGrid">
    <w:name w:val="Table Grid"/>
    <w:basedOn w:val="TableNormal"/>
    <w:uiPriority w:val="59"/>
    <w:rsid w:val="009B1A90"/>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0493"/>
    <w:pPr>
      <w:spacing w:after="0" w:line="240" w:lineRule="auto"/>
    </w:pPr>
    <w:rPr>
      <w:rFonts w:ascii="Tahoma" w:eastAsia="Arial" w:hAnsi="Tahoma" w:cs="Tahoma"/>
      <w:sz w:val="16"/>
      <w:szCs w:val="16"/>
      <w:lang w:val="hy-AM"/>
    </w:rPr>
  </w:style>
  <w:style w:type="character" w:customStyle="1" w:styleId="BalloonTextChar">
    <w:name w:val="Balloon Text Char"/>
    <w:basedOn w:val="DefaultParagraphFont"/>
    <w:link w:val="BalloonText"/>
    <w:uiPriority w:val="99"/>
    <w:semiHidden/>
    <w:rsid w:val="009C0493"/>
    <w:rPr>
      <w:rFonts w:ascii="Tahoma" w:eastAsia="Arial" w:hAnsi="Tahoma" w:cs="Tahoma"/>
      <w:sz w:val="16"/>
      <w:szCs w:val="16"/>
      <w:lang w:val="hy-AM"/>
    </w:rPr>
  </w:style>
  <w:style w:type="character" w:styleId="CommentReference">
    <w:name w:val="annotation reference"/>
    <w:rsid w:val="00E84433"/>
    <w:rPr>
      <w:sz w:val="16"/>
      <w:szCs w:val="16"/>
    </w:rPr>
  </w:style>
  <w:style w:type="paragraph" w:styleId="CommentText">
    <w:name w:val="annotation text"/>
    <w:basedOn w:val="Normal"/>
    <w:link w:val="CommentTextChar"/>
    <w:rsid w:val="00E8443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E8443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A3F62"/>
    <w:pPr>
      <w:spacing w:after="200"/>
    </w:pPr>
    <w:rPr>
      <w:rFonts w:ascii="GHEA Grapalat" w:eastAsiaTheme="minorHAnsi" w:hAnsi="GHEA Grapalat" w:cstheme="minorBidi"/>
      <w:b/>
      <w:bCs/>
    </w:rPr>
  </w:style>
  <w:style w:type="character" w:customStyle="1" w:styleId="CommentSubjectChar">
    <w:name w:val="Comment Subject Char"/>
    <w:basedOn w:val="CommentTextChar"/>
    <w:link w:val="CommentSubject"/>
    <w:uiPriority w:val="99"/>
    <w:semiHidden/>
    <w:rsid w:val="008A3F62"/>
    <w:rPr>
      <w:rFonts w:ascii="Times New Roman" w:eastAsia="Times New Roman" w:hAnsi="Times New Roman" w:cs="Times New Roman"/>
      <w:b/>
      <w:bCs/>
      <w:sz w:val="20"/>
      <w:szCs w:val="20"/>
    </w:rPr>
  </w:style>
  <w:style w:type="character" w:styleId="Strong">
    <w:name w:val="Strong"/>
    <w:basedOn w:val="DefaultParagraphFont"/>
    <w:uiPriority w:val="22"/>
    <w:qFormat/>
    <w:rsid w:val="00957D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7443">
      <w:bodyDiv w:val="1"/>
      <w:marLeft w:val="0"/>
      <w:marRight w:val="0"/>
      <w:marTop w:val="0"/>
      <w:marBottom w:val="0"/>
      <w:divBdr>
        <w:top w:val="none" w:sz="0" w:space="0" w:color="auto"/>
        <w:left w:val="none" w:sz="0" w:space="0" w:color="auto"/>
        <w:bottom w:val="none" w:sz="0" w:space="0" w:color="auto"/>
        <w:right w:val="none" w:sz="0" w:space="0" w:color="auto"/>
      </w:divBdr>
    </w:div>
    <w:div w:id="42754555">
      <w:bodyDiv w:val="1"/>
      <w:marLeft w:val="0"/>
      <w:marRight w:val="0"/>
      <w:marTop w:val="0"/>
      <w:marBottom w:val="0"/>
      <w:divBdr>
        <w:top w:val="none" w:sz="0" w:space="0" w:color="auto"/>
        <w:left w:val="none" w:sz="0" w:space="0" w:color="auto"/>
        <w:bottom w:val="none" w:sz="0" w:space="0" w:color="auto"/>
        <w:right w:val="none" w:sz="0" w:space="0" w:color="auto"/>
      </w:divBdr>
    </w:div>
    <w:div w:id="49307387">
      <w:bodyDiv w:val="1"/>
      <w:marLeft w:val="0"/>
      <w:marRight w:val="0"/>
      <w:marTop w:val="0"/>
      <w:marBottom w:val="0"/>
      <w:divBdr>
        <w:top w:val="none" w:sz="0" w:space="0" w:color="auto"/>
        <w:left w:val="none" w:sz="0" w:space="0" w:color="auto"/>
        <w:bottom w:val="none" w:sz="0" w:space="0" w:color="auto"/>
        <w:right w:val="none" w:sz="0" w:space="0" w:color="auto"/>
      </w:divBdr>
    </w:div>
    <w:div w:id="68188554">
      <w:bodyDiv w:val="1"/>
      <w:marLeft w:val="0"/>
      <w:marRight w:val="0"/>
      <w:marTop w:val="0"/>
      <w:marBottom w:val="0"/>
      <w:divBdr>
        <w:top w:val="none" w:sz="0" w:space="0" w:color="auto"/>
        <w:left w:val="none" w:sz="0" w:space="0" w:color="auto"/>
        <w:bottom w:val="none" w:sz="0" w:space="0" w:color="auto"/>
        <w:right w:val="none" w:sz="0" w:space="0" w:color="auto"/>
      </w:divBdr>
    </w:div>
    <w:div w:id="78840761">
      <w:bodyDiv w:val="1"/>
      <w:marLeft w:val="0"/>
      <w:marRight w:val="0"/>
      <w:marTop w:val="0"/>
      <w:marBottom w:val="0"/>
      <w:divBdr>
        <w:top w:val="none" w:sz="0" w:space="0" w:color="auto"/>
        <w:left w:val="none" w:sz="0" w:space="0" w:color="auto"/>
        <w:bottom w:val="none" w:sz="0" w:space="0" w:color="auto"/>
        <w:right w:val="none" w:sz="0" w:space="0" w:color="auto"/>
      </w:divBdr>
    </w:div>
    <w:div w:id="94713877">
      <w:bodyDiv w:val="1"/>
      <w:marLeft w:val="0"/>
      <w:marRight w:val="0"/>
      <w:marTop w:val="0"/>
      <w:marBottom w:val="0"/>
      <w:divBdr>
        <w:top w:val="none" w:sz="0" w:space="0" w:color="auto"/>
        <w:left w:val="none" w:sz="0" w:space="0" w:color="auto"/>
        <w:bottom w:val="none" w:sz="0" w:space="0" w:color="auto"/>
        <w:right w:val="none" w:sz="0" w:space="0" w:color="auto"/>
      </w:divBdr>
    </w:div>
    <w:div w:id="126706900">
      <w:bodyDiv w:val="1"/>
      <w:marLeft w:val="0"/>
      <w:marRight w:val="0"/>
      <w:marTop w:val="0"/>
      <w:marBottom w:val="0"/>
      <w:divBdr>
        <w:top w:val="none" w:sz="0" w:space="0" w:color="auto"/>
        <w:left w:val="none" w:sz="0" w:space="0" w:color="auto"/>
        <w:bottom w:val="none" w:sz="0" w:space="0" w:color="auto"/>
        <w:right w:val="none" w:sz="0" w:space="0" w:color="auto"/>
      </w:divBdr>
    </w:div>
    <w:div w:id="140539101">
      <w:bodyDiv w:val="1"/>
      <w:marLeft w:val="0"/>
      <w:marRight w:val="0"/>
      <w:marTop w:val="0"/>
      <w:marBottom w:val="0"/>
      <w:divBdr>
        <w:top w:val="none" w:sz="0" w:space="0" w:color="auto"/>
        <w:left w:val="none" w:sz="0" w:space="0" w:color="auto"/>
        <w:bottom w:val="none" w:sz="0" w:space="0" w:color="auto"/>
        <w:right w:val="none" w:sz="0" w:space="0" w:color="auto"/>
      </w:divBdr>
    </w:div>
    <w:div w:id="172770665">
      <w:bodyDiv w:val="1"/>
      <w:marLeft w:val="0"/>
      <w:marRight w:val="0"/>
      <w:marTop w:val="0"/>
      <w:marBottom w:val="0"/>
      <w:divBdr>
        <w:top w:val="none" w:sz="0" w:space="0" w:color="auto"/>
        <w:left w:val="none" w:sz="0" w:space="0" w:color="auto"/>
        <w:bottom w:val="none" w:sz="0" w:space="0" w:color="auto"/>
        <w:right w:val="none" w:sz="0" w:space="0" w:color="auto"/>
      </w:divBdr>
    </w:div>
    <w:div w:id="215432601">
      <w:bodyDiv w:val="1"/>
      <w:marLeft w:val="0"/>
      <w:marRight w:val="0"/>
      <w:marTop w:val="0"/>
      <w:marBottom w:val="0"/>
      <w:divBdr>
        <w:top w:val="none" w:sz="0" w:space="0" w:color="auto"/>
        <w:left w:val="none" w:sz="0" w:space="0" w:color="auto"/>
        <w:bottom w:val="none" w:sz="0" w:space="0" w:color="auto"/>
        <w:right w:val="none" w:sz="0" w:space="0" w:color="auto"/>
      </w:divBdr>
      <w:divsChild>
        <w:div w:id="848911081">
          <w:marLeft w:val="0"/>
          <w:marRight w:val="0"/>
          <w:marTop w:val="0"/>
          <w:marBottom w:val="0"/>
          <w:divBdr>
            <w:top w:val="none" w:sz="0" w:space="0" w:color="auto"/>
            <w:left w:val="none" w:sz="0" w:space="0" w:color="auto"/>
            <w:bottom w:val="none" w:sz="0" w:space="0" w:color="auto"/>
            <w:right w:val="none" w:sz="0" w:space="0" w:color="auto"/>
          </w:divBdr>
          <w:divsChild>
            <w:div w:id="211262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839358">
      <w:bodyDiv w:val="1"/>
      <w:marLeft w:val="0"/>
      <w:marRight w:val="0"/>
      <w:marTop w:val="0"/>
      <w:marBottom w:val="0"/>
      <w:divBdr>
        <w:top w:val="none" w:sz="0" w:space="0" w:color="auto"/>
        <w:left w:val="none" w:sz="0" w:space="0" w:color="auto"/>
        <w:bottom w:val="none" w:sz="0" w:space="0" w:color="auto"/>
        <w:right w:val="none" w:sz="0" w:space="0" w:color="auto"/>
      </w:divBdr>
    </w:div>
    <w:div w:id="226184840">
      <w:bodyDiv w:val="1"/>
      <w:marLeft w:val="0"/>
      <w:marRight w:val="0"/>
      <w:marTop w:val="0"/>
      <w:marBottom w:val="0"/>
      <w:divBdr>
        <w:top w:val="none" w:sz="0" w:space="0" w:color="auto"/>
        <w:left w:val="none" w:sz="0" w:space="0" w:color="auto"/>
        <w:bottom w:val="none" w:sz="0" w:space="0" w:color="auto"/>
        <w:right w:val="none" w:sz="0" w:space="0" w:color="auto"/>
      </w:divBdr>
    </w:div>
    <w:div w:id="256446443">
      <w:bodyDiv w:val="1"/>
      <w:marLeft w:val="0"/>
      <w:marRight w:val="0"/>
      <w:marTop w:val="0"/>
      <w:marBottom w:val="0"/>
      <w:divBdr>
        <w:top w:val="none" w:sz="0" w:space="0" w:color="auto"/>
        <w:left w:val="none" w:sz="0" w:space="0" w:color="auto"/>
        <w:bottom w:val="none" w:sz="0" w:space="0" w:color="auto"/>
        <w:right w:val="none" w:sz="0" w:space="0" w:color="auto"/>
      </w:divBdr>
    </w:div>
    <w:div w:id="260572394">
      <w:bodyDiv w:val="1"/>
      <w:marLeft w:val="0"/>
      <w:marRight w:val="0"/>
      <w:marTop w:val="0"/>
      <w:marBottom w:val="0"/>
      <w:divBdr>
        <w:top w:val="none" w:sz="0" w:space="0" w:color="auto"/>
        <w:left w:val="none" w:sz="0" w:space="0" w:color="auto"/>
        <w:bottom w:val="none" w:sz="0" w:space="0" w:color="auto"/>
        <w:right w:val="none" w:sz="0" w:space="0" w:color="auto"/>
      </w:divBdr>
    </w:div>
    <w:div w:id="292178570">
      <w:bodyDiv w:val="1"/>
      <w:marLeft w:val="0"/>
      <w:marRight w:val="0"/>
      <w:marTop w:val="0"/>
      <w:marBottom w:val="0"/>
      <w:divBdr>
        <w:top w:val="none" w:sz="0" w:space="0" w:color="auto"/>
        <w:left w:val="none" w:sz="0" w:space="0" w:color="auto"/>
        <w:bottom w:val="none" w:sz="0" w:space="0" w:color="auto"/>
        <w:right w:val="none" w:sz="0" w:space="0" w:color="auto"/>
      </w:divBdr>
    </w:div>
    <w:div w:id="347609696">
      <w:bodyDiv w:val="1"/>
      <w:marLeft w:val="0"/>
      <w:marRight w:val="0"/>
      <w:marTop w:val="0"/>
      <w:marBottom w:val="0"/>
      <w:divBdr>
        <w:top w:val="none" w:sz="0" w:space="0" w:color="auto"/>
        <w:left w:val="none" w:sz="0" w:space="0" w:color="auto"/>
        <w:bottom w:val="none" w:sz="0" w:space="0" w:color="auto"/>
        <w:right w:val="none" w:sz="0" w:space="0" w:color="auto"/>
      </w:divBdr>
    </w:div>
    <w:div w:id="390344395">
      <w:bodyDiv w:val="1"/>
      <w:marLeft w:val="0"/>
      <w:marRight w:val="0"/>
      <w:marTop w:val="0"/>
      <w:marBottom w:val="0"/>
      <w:divBdr>
        <w:top w:val="none" w:sz="0" w:space="0" w:color="auto"/>
        <w:left w:val="none" w:sz="0" w:space="0" w:color="auto"/>
        <w:bottom w:val="none" w:sz="0" w:space="0" w:color="auto"/>
        <w:right w:val="none" w:sz="0" w:space="0" w:color="auto"/>
      </w:divBdr>
    </w:div>
    <w:div w:id="463353841">
      <w:bodyDiv w:val="1"/>
      <w:marLeft w:val="0"/>
      <w:marRight w:val="0"/>
      <w:marTop w:val="0"/>
      <w:marBottom w:val="0"/>
      <w:divBdr>
        <w:top w:val="none" w:sz="0" w:space="0" w:color="auto"/>
        <w:left w:val="none" w:sz="0" w:space="0" w:color="auto"/>
        <w:bottom w:val="none" w:sz="0" w:space="0" w:color="auto"/>
        <w:right w:val="none" w:sz="0" w:space="0" w:color="auto"/>
      </w:divBdr>
    </w:div>
    <w:div w:id="531654573">
      <w:bodyDiv w:val="1"/>
      <w:marLeft w:val="0"/>
      <w:marRight w:val="0"/>
      <w:marTop w:val="0"/>
      <w:marBottom w:val="0"/>
      <w:divBdr>
        <w:top w:val="none" w:sz="0" w:space="0" w:color="auto"/>
        <w:left w:val="none" w:sz="0" w:space="0" w:color="auto"/>
        <w:bottom w:val="none" w:sz="0" w:space="0" w:color="auto"/>
        <w:right w:val="none" w:sz="0" w:space="0" w:color="auto"/>
      </w:divBdr>
    </w:div>
    <w:div w:id="576012395">
      <w:bodyDiv w:val="1"/>
      <w:marLeft w:val="0"/>
      <w:marRight w:val="0"/>
      <w:marTop w:val="0"/>
      <w:marBottom w:val="0"/>
      <w:divBdr>
        <w:top w:val="none" w:sz="0" w:space="0" w:color="auto"/>
        <w:left w:val="none" w:sz="0" w:space="0" w:color="auto"/>
        <w:bottom w:val="none" w:sz="0" w:space="0" w:color="auto"/>
        <w:right w:val="none" w:sz="0" w:space="0" w:color="auto"/>
      </w:divBdr>
    </w:div>
    <w:div w:id="576670788">
      <w:bodyDiv w:val="1"/>
      <w:marLeft w:val="0"/>
      <w:marRight w:val="0"/>
      <w:marTop w:val="0"/>
      <w:marBottom w:val="0"/>
      <w:divBdr>
        <w:top w:val="none" w:sz="0" w:space="0" w:color="auto"/>
        <w:left w:val="none" w:sz="0" w:space="0" w:color="auto"/>
        <w:bottom w:val="none" w:sz="0" w:space="0" w:color="auto"/>
        <w:right w:val="none" w:sz="0" w:space="0" w:color="auto"/>
      </w:divBdr>
    </w:div>
    <w:div w:id="683552309">
      <w:bodyDiv w:val="1"/>
      <w:marLeft w:val="0"/>
      <w:marRight w:val="0"/>
      <w:marTop w:val="0"/>
      <w:marBottom w:val="0"/>
      <w:divBdr>
        <w:top w:val="none" w:sz="0" w:space="0" w:color="auto"/>
        <w:left w:val="none" w:sz="0" w:space="0" w:color="auto"/>
        <w:bottom w:val="none" w:sz="0" w:space="0" w:color="auto"/>
        <w:right w:val="none" w:sz="0" w:space="0" w:color="auto"/>
      </w:divBdr>
    </w:div>
    <w:div w:id="707728467">
      <w:bodyDiv w:val="1"/>
      <w:marLeft w:val="0"/>
      <w:marRight w:val="0"/>
      <w:marTop w:val="0"/>
      <w:marBottom w:val="0"/>
      <w:divBdr>
        <w:top w:val="none" w:sz="0" w:space="0" w:color="auto"/>
        <w:left w:val="none" w:sz="0" w:space="0" w:color="auto"/>
        <w:bottom w:val="none" w:sz="0" w:space="0" w:color="auto"/>
        <w:right w:val="none" w:sz="0" w:space="0" w:color="auto"/>
      </w:divBdr>
    </w:div>
    <w:div w:id="729041546">
      <w:bodyDiv w:val="1"/>
      <w:marLeft w:val="0"/>
      <w:marRight w:val="0"/>
      <w:marTop w:val="0"/>
      <w:marBottom w:val="0"/>
      <w:divBdr>
        <w:top w:val="none" w:sz="0" w:space="0" w:color="auto"/>
        <w:left w:val="none" w:sz="0" w:space="0" w:color="auto"/>
        <w:bottom w:val="none" w:sz="0" w:space="0" w:color="auto"/>
        <w:right w:val="none" w:sz="0" w:space="0" w:color="auto"/>
      </w:divBdr>
    </w:div>
    <w:div w:id="747465510">
      <w:bodyDiv w:val="1"/>
      <w:marLeft w:val="0"/>
      <w:marRight w:val="0"/>
      <w:marTop w:val="0"/>
      <w:marBottom w:val="0"/>
      <w:divBdr>
        <w:top w:val="none" w:sz="0" w:space="0" w:color="auto"/>
        <w:left w:val="none" w:sz="0" w:space="0" w:color="auto"/>
        <w:bottom w:val="none" w:sz="0" w:space="0" w:color="auto"/>
        <w:right w:val="none" w:sz="0" w:space="0" w:color="auto"/>
      </w:divBdr>
    </w:div>
    <w:div w:id="891041276">
      <w:bodyDiv w:val="1"/>
      <w:marLeft w:val="0"/>
      <w:marRight w:val="0"/>
      <w:marTop w:val="0"/>
      <w:marBottom w:val="0"/>
      <w:divBdr>
        <w:top w:val="none" w:sz="0" w:space="0" w:color="auto"/>
        <w:left w:val="none" w:sz="0" w:space="0" w:color="auto"/>
        <w:bottom w:val="none" w:sz="0" w:space="0" w:color="auto"/>
        <w:right w:val="none" w:sz="0" w:space="0" w:color="auto"/>
      </w:divBdr>
    </w:div>
    <w:div w:id="901214302">
      <w:bodyDiv w:val="1"/>
      <w:marLeft w:val="0"/>
      <w:marRight w:val="0"/>
      <w:marTop w:val="0"/>
      <w:marBottom w:val="0"/>
      <w:divBdr>
        <w:top w:val="none" w:sz="0" w:space="0" w:color="auto"/>
        <w:left w:val="none" w:sz="0" w:space="0" w:color="auto"/>
        <w:bottom w:val="none" w:sz="0" w:space="0" w:color="auto"/>
        <w:right w:val="none" w:sz="0" w:space="0" w:color="auto"/>
      </w:divBdr>
    </w:div>
    <w:div w:id="922178654">
      <w:bodyDiv w:val="1"/>
      <w:marLeft w:val="0"/>
      <w:marRight w:val="0"/>
      <w:marTop w:val="0"/>
      <w:marBottom w:val="0"/>
      <w:divBdr>
        <w:top w:val="none" w:sz="0" w:space="0" w:color="auto"/>
        <w:left w:val="none" w:sz="0" w:space="0" w:color="auto"/>
        <w:bottom w:val="none" w:sz="0" w:space="0" w:color="auto"/>
        <w:right w:val="none" w:sz="0" w:space="0" w:color="auto"/>
      </w:divBdr>
    </w:div>
    <w:div w:id="934049674">
      <w:bodyDiv w:val="1"/>
      <w:marLeft w:val="0"/>
      <w:marRight w:val="0"/>
      <w:marTop w:val="0"/>
      <w:marBottom w:val="0"/>
      <w:divBdr>
        <w:top w:val="none" w:sz="0" w:space="0" w:color="auto"/>
        <w:left w:val="none" w:sz="0" w:space="0" w:color="auto"/>
        <w:bottom w:val="none" w:sz="0" w:space="0" w:color="auto"/>
        <w:right w:val="none" w:sz="0" w:space="0" w:color="auto"/>
      </w:divBdr>
    </w:div>
    <w:div w:id="975378910">
      <w:bodyDiv w:val="1"/>
      <w:marLeft w:val="0"/>
      <w:marRight w:val="0"/>
      <w:marTop w:val="0"/>
      <w:marBottom w:val="0"/>
      <w:divBdr>
        <w:top w:val="none" w:sz="0" w:space="0" w:color="auto"/>
        <w:left w:val="none" w:sz="0" w:space="0" w:color="auto"/>
        <w:bottom w:val="none" w:sz="0" w:space="0" w:color="auto"/>
        <w:right w:val="none" w:sz="0" w:space="0" w:color="auto"/>
      </w:divBdr>
    </w:div>
    <w:div w:id="1004741070">
      <w:bodyDiv w:val="1"/>
      <w:marLeft w:val="0"/>
      <w:marRight w:val="0"/>
      <w:marTop w:val="0"/>
      <w:marBottom w:val="0"/>
      <w:divBdr>
        <w:top w:val="none" w:sz="0" w:space="0" w:color="auto"/>
        <w:left w:val="none" w:sz="0" w:space="0" w:color="auto"/>
        <w:bottom w:val="none" w:sz="0" w:space="0" w:color="auto"/>
        <w:right w:val="none" w:sz="0" w:space="0" w:color="auto"/>
      </w:divBdr>
    </w:div>
    <w:div w:id="1037005636">
      <w:bodyDiv w:val="1"/>
      <w:marLeft w:val="0"/>
      <w:marRight w:val="0"/>
      <w:marTop w:val="0"/>
      <w:marBottom w:val="0"/>
      <w:divBdr>
        <w:top w:val="none" w:sz="0" w:space="0" w:color="auto"/>
        <w:left w:val="none" w:sz="0" w:space="0" w:color="auto"/>
        <w:bottom w:val="none" w:sz="0" w:space="0" w:color="auto"/>
        <w:right w:val="none" w:sz="0" w:space="0" w:color="auto"/>
      </w:divBdr>
    </w:div>
    <w:div w:id="1043677707">
      <w:bodyDiv w:val="1"/>
      <w:marLeft w:val="0"/>
      <w:marRight w:val="0"/>
      <w:marTop w:val="0"/>
      <w:marBottom w:val="0"/>
      <w:divBdr>
        <w:top w:val="none" w:sz="0" w:space="0" w:color="auto"/>
        <w:left w:val="none" w:sz="0" w:space="0" w:color="auto"/>
        <w:bottom w:val="none" w:sz="0" w:space="0" w:color="auto"/>
        <w:right w:val="none" w:sz="0" w:space="0" w:color="auto"/>
      </w:divBdr>
    </w:div>
    <w:div w:id="1075513641">
      <w:bodyDiv w:val="1"/>
      <w:marLeft w:val="0"/>
      <w:marRight w:val="0"/>
      <w:marTop w:val="0"/>
      <w:marBottom w:val="0"/>
      <w:divBdr>
        <w:top w:val="none" w:sz="0" w:space="0" w:color="auto"/>
        <w:left w:val="none" w:sz="0" w:space="0" w:color="auto"/>
        <w:bottom w:val="none" w:sz="0" w:space="0" w:color="auto"/>
        <w:right w:val="none" w:sz="0" w:space="0" w:color="auto"/>
      </w:divBdr>
    </w:div>
    <w:div w:id="1088578308">
      <w:bodyDiv w:val="1"/>
      <w:marLeft w:val="0"/>
      <w:marRight w:val="0"/>
      <w:marTop w:val="0"/>
      <w:marBottom w:val="0"/>
      <w:divBdr>
        <w:top w:val="none" w:sz="0" w:space="0" w:color="auto"/>
        <w:left w:val="none" w:sz="0" w:space="0" w:color="auto"/>
        <w:bottom w:val="none" w:sz="0" w:space="0" w:color="auto"/>
        <w:right w:val="none" w:sz="0" w:space="0" w:color="auto"/>
      </w:divBdr>
    </w:div>
    <w:div w:id="1091009824">
      <w:bodyDiv w:val="1"/>
      <w:marLeft w:val="0"/>
      <w:marRight w:val="0"/>
      <w:marTop w:val="0"/>
      <w:marBottom w:val="0"/>
      <w:divBdr>
        <w:top w:val="none" w:sz="0" w:space="0" w:color="auto"/>
        <w:left w:val="none" w:sz="0" w:space="0" w:color="auto"/>
        <w:bottom w:val="none" w:sz="0" w:space="0" w:color="auto"/>
        <w:right w:val="none" w:sz="0" w:space="0" w:color="auto"/>
      </w:divBdr>
    </w:div>
    <w:div w:id="1112825493">
      <w:bodyDiv w:val="1"/>
      <w:marLeft w:val="0"/>
      <w:marRight w:val="0"/>
      <w:marTop w:val="0"/>
      <w:marBottom w:val="0"/>
      <w:divBdr>
        <w:top w:val="none" w:sz="0" w:space="0" w:color="auto"/>
        <w:left w:val="none" w:sz="0" w:space="0" w:color="auto"/>
        <w:bottom w:val="none" w:sz="0" w:space="0" w:color="auto"/>
        <w:right w:val="none" w:sz="0" w:space="0" w:color="auto"/>
      </w:divBdr>
      <w:divsChild>
        <w:div w:id="1321426802">
          <w:marLeft w:val="0"/>
          <w:marRight w:val="0"/>
          <w:marTop w:val="0"/>
          <w:marBottom w:val="0"/>
          <w:divBdr>
            <w:top w:val="none" w:sz="0" w:space="0" w:color="auto"/>
            <w:left w:val="none" w:sz="0" w:space="0" w:color="auto"/>
            <w:bottom w:val="none" w:sz="0" w:space="0" w:color="auto"/>
            <w:right w:val="none" w:sz="0" w:space="0" w:color="auto"/>
          </w:divBdr>
          <w:divsChild>
            <w:div w:id="183783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61879">
      <w:bodyDiv w:val="1"/>
      <w:marLeft w:val="0"/>
      <w:marRight w:val="0"/>
      <w:marTop w:val="0"/>
      <w:marBottom w:val="0"/>
      <w:divBdr>
        <w:top w:val="none" w:sz="0" w:space="0" w:color="auto"/>
        <w:left w:val="none" w:sz="0" w:space="0" w:color="auto"/>
        <w:bottom w:val="none" w:sz="0" w:space="0" w:color="auto"/>
        <w:right w:val="none" w:sz="0" w:space="0" w:color="auto"/>
      </w:divBdr>
    </w:div>
    <w:div w:id="1159954361">
      <w:bodyDiv w:val="1"/>
      <w:marLeft w:val="0"/>
      <w:marRight w:val="0"/>
      <w:marTop w:val="0"/>
      <w:marBottom w:val="0"/>
      <w:divBdr>
        <w:top w:val="none" w:sz="0" w:space="0" w:color="auto"/>
        <w:left w:val="none" w:sz="0" w:space="0" w:color="auto"/>
        <w:bottom w:val="none" w:sz="0" w:space="0" w:color="auto"/>
        <w:right w:val="none" w:sz="0" w:space="0" w:color="auto"/>
      </w:divBdr>
    </w:div>
    <w:div w:id="1194075679">
      <w:bodyDiv w:val="1"/>
      <w:marLeft w:val="0"/>
      <w:marRight w:val="0"/>
      <w:marTop w:val="0"/>
      <w:marBottom w:val="0"/>
      <w:divBdr>
        <w:top w:val="none" w:sz="0" w:space="0" w:color="auto"/>
        <w:left w:val="none" w:sz="0" w:space="0" w:color="auto"/>
        <w:bottom w:val="none" w:sz="0" w:space="0" w:color="auto"/>
        <w:right w:val="none" w:sz="0" w:space="0" w:color="auto"/>
      </w:divBdr>
    </w:div>
    <w:div w:id="1207984905">
      <w:bodyDiv w:val="1"/>
      <w:marLeft w:val="0"/>
      <w:marRight w:val="0"/>
      <w:marTop w:val="0"/>
      <w:marBottom w:val="0"/>
      <w:divBdr>
        <w:top w:val="none" w:sz="0" w:space="0" w:color="auto"/>
        <w:left w:val="none" w:sz="0" w:space="0" w:color="auto"/>
        <w:bottom w:val="none" w:sz="0" w:space="0" w:color="auto"/>
        <w:right w:val="none" w:sz="0" w:space="0" w:color="auto"/>
      </w:divBdr>
    </w:div>
    <w:div w:id="1208949498">
      <w:bodyDiv w:val="1"/>
      <w:marLeft w:val="0"/>
      <w:marRight w:val="0"/>
      <w:marTop w:val="0"/>
      <w:marBottom w:val="0"/>
      <w:divBdr>
        <w:top w:val="none" w:sz="0" w:space="0" w:color="auto"/>
        <w:left w:val="none" w:sz="0" w:space="0" w:color="auto"/>
        <w:bottom w:val="none" w:sz="0" w:space="0" w:color="auto"/>
        <w:right w:val="none" w:sz="0" w:space="0" w:color="auto"/>
      </w:divBdr>
    </w:div>
    <w:div w:id="1224440697">
      <w:bodyDiv w:val="1"/>
      <w:marLeft w:val="0"/>
      <w:marRight w:val="0"/>
      <w:marTop w:val="0"/>
      <w:marBottom w:val="0"/>
      <w:divBdr>
        <w:top w:val="none" w:sz="0" w:space="0" w:color="auto"/>
        <w:left w:val="none" w:sz="0" w:space="0" w:color="auto"/>
        <w:bottom w:val="none" w:sz="0" w:space="0" w:color="auto"/>
        <w:right w:val="none" w:sz="0" w:space="0" w:color="auto"/>
      </w:divBdr>
    </w:div>
    <w:div w:id="1251698979">
      <w:bodyDiv w:val="1"/>
      <w:marLeft w:val="0"/>
      <w:marRight w:val="0"/>
      <w:marTop w:val="0"/>
      <w:marBottom w:val="0"/>
      <w:divBdr>
        <w:top w:val="none" w:sz="0" w:space="0" w:color="auto"/>
        <w:left w:val="none" w:sz="0" w:space="0" w:color="auto"/>
        <w:bottom w:val="none" w:sz="0" w:space="0" w:color="auto"/>
        <w:right w:val="none" w:sz="0" w:space="0" w:color="auto"/>
      </w:divBdr>
    </w:div>
    <w:div w:id="1252662939">
      <w:bodyDiv w:val="1"/>
      <w:marLeft w:val="0"/>
      <w:marRight w:val="0"/>
      <w:marTop w:val="0"/>
      <w:marBottom w:val="0"/>
      <w:divBdr>
        <w:top w:val="none" w:sz="0" w:space="0" w:color="auto"/>
        <w:left w:val="none" w:sz="0" w:space="0" w:color="auto"/>
        <w:bottom w:val="none" w:sz="0" w:space="0" w:color="auto"/>
        <w:right w:val="none" w:sz="0" w:space="0" w:color="auto"/>
      </w:divBdr>
    </w:div>
    <w:div w:id="1302803149">
      <w:bodyDiv w:val="1"/>
      <w:marLeft w:val="0"/>
      <w:marRight w:val="0"/>
      <w:marTop w:val="0"/>
      <w:marBottom w:val="0"/>
      <w:divBdr>
        <w:top w:val="none" w:sz="0" w:space="0" w:color="auto"/>
        <w:left w:val="none" w:sz="0" w:space="0" w:color="auto"/>
        <w:bottom w:val="none" w:sz="0" w:space="0" w:color="auto"/>
        <w:right w:val="none" w:sz="0" w:space="0" w:color="auto"/>
      </w:divBdr>
    </w:div>
    <w:div w:id="1319305787">
      <w:bodyDiv w:val="1"/>
      <w:marLeft w:val="0"/>
      <w:marRight w:val="0"/>
      <w:marTop w:val="0"/>
      <w:marBottom w:val="0"/>
      <w:divBdr>
        <w:top w:val="none" w:sz="0" w:space="0" w:color="auto"/>
        <w:left w:val="none" w:sz="0" w:space="0" w:color="auto"/>
        <w:bottom w:val="none" w:sz="0" w:space="0" w:color="auto"/>
        <w:right w:val="none" w:sz="0" w:space="0" w:color="auto"/>
      </w:divBdr>
    </w:div>
    <w:div w:id="1323387533">
      <w:bodyDiv w:val="1"/>
      <w:marLeft w:val="0"/>
      <w:marRight w:val="0"/>
      <w:marTop w:val="0"/>
      <w:marBottom w:val="0"/>
      <w:divBdr>
        <w:top w:val="none" w:sz="0" w:space="0" w:color="auto"/>
        <w:left w:val="none" w:sz="0" w:space="0" w:color="auto"/>
        <w:bottom w:val="none" w:sz="0" w:space="0" w:color="auto"/>
        <w:right w:val="none" w:sz="0" w:space="0" w:color="auto"/>
      </w:divBdr>
    </w:div>
    <w:div w:id="1326280073">
      <w:bodyDiv w:val="1"/>
      <w:marLeft w:val="0"/>
      <w:marRight w:val="0"/>
      <w:marTop w:val="0"/>
      <w:marBottom w:val="0"/>
      <w:divBdr>
        <w:top w:val="none" w:sz="0" w:space="0" w:color="auto"/>
        <w:left w:val="none" w:sz="0" w:space="0" w:color="auto"/>
        <w:bottom w:val="none" w:sz="0" w:space="0" w:color="auto"/>
        <w:right w:val="none" w:sz="0" w:space="0" w:color="auto"/>
      </w:divBdr>
    </w:div>
    <w:div w:id="1327319873">
      <w:bodyDiv w:val="1"/>
      <w:marLeft w:val="0"/>
      <w:marRight w:val="0"/>
      <w:marTop w:val="0"/>
      <w:marBottom w:val="0"/>
      <w:divBdr>
        <w:top w:val="none" w:sz="0" w:space="0" w:color="auto"/>
        <w:left w:val="none" w:sz="0" w:space="0" w:color="auto"/>
        <w:bottom w:val="none" w:sz="0" w:space="0" w:color="auto"/>
        <w:right w:val="none" w:sz="0" w:space="0" w:color="auto"/>
      </w:divBdr>
    </w:div>
    <w:div w:id="1345278690">
      <w:bodyDiv w:val="1"/>
      <w:marLeft w:val="0"/>
      <w:marRight w:val="0"/>
      <w:marTop w:val="0"/>
      <w:marBottom w:val="0"/>
      <w:divBdr>
        <w:top w:val="none" w:sz="0" w:space="0" w:color="auto"/>
        <w:left w:val="none" w:sz="0" w:space="0" w:color="auto"/>
        <w:bottom w:val="none" w:sz="0" w:space="0" w:color="auto"/>
        <w:right w:val="none" w:sz="0" w:space="0" w:color="auto"/>
      </w:divBdr>
    </w:div>
    <w:div w:id="1346715178">
      <w:bodyDiv w:val="1"/>
      <w:marLeft w:val="0"/>
      <w:marRight w:val="0"/>
      <w:marTop w:val="0"/>
      <w:marBottom w:val="0"/>
      <w:divBdr>
        <w:top w:val="none" w:sz="0" w:space="0" w:color="auto"/>
        <w:left w:val="none" w:sz="0" w:space="0" w:color="auto"/>
        <w:bottom w:val="none" w:sz="0" w:space="0" w:color="auto"/>
        <w:right w:val="none" w:sz="0" w:space="0" w:color="auto"/>
      </w:divBdr>
    </w:div>
    <w:div w:id="1387145629">
      <w:bodyDiv w:val="1"/>
      <w:marLeft w:val="0"/>
      <w:marRight w:val="0"/>
      <w:marTop w:val="0"/>
      <w:marBottom w:val="0"/>
      <w:divBdr>
        <w:top w:val="none" w:sz="0" w:space="0" w:color="auto"/>
        <w:left w:val="none" w:sz="0" w:space="0" w:color="auto"/>
        <w:bottom w:val="none" w:sz="0" w:space="0" w:color="auto"/>
        <w:right w:val="none" w:sz="0" w:space="0" w:color="auto"/>
      </w:divBdr>
    </w:div>
    <w:div w:id="1387953196">
      <w:bodyDiv w:val="1"/>
      <w:marLeft w:val="0"/>
      <w:marRight w:val="0"/>
      <w:marTop w:val="0"/>
      <w:marBottom w:val="0"/>
      <w:divBdr>
        <w:top w:val="none" w:sz="0" w:space="0" w:color="auto"/>
        <w:left w:val="none" w:sz="0" w:space="0" w:color="auto"/>
        <w:bottom w:val="none" w:sz="0" w:space="0" w:color="auto"/>
        <w:right w:val="none" w:sz="0" w:space="0" w:color="auto"/>
      </w:divBdr>
    </w:div>
    <w:div w:id="1469661498">
      <w:bodyDiv w:val="1"/>
      <w:marLeft w:val="0"/>
      <w:marRight w:val="0"/>
      <w:marTop w:val="0"/>
      <w:marBottom w:val="0"/>
      <w:divBdr>
        <w:top w:val="none" w:sz="0" w:space="0" w:color="auto"/>
        <w:left w:val="none" w:sz="0" w:space="0" w:color="auto"/>
        <w:bottom w:val="none" w:sz="0" w:space="0" w:color="auto"/>
        <w:right w:val="none" w:sz="0" w:space="0" w:color="auto"/>
      </w:divBdr>
    </w:div>
    <w:div w:id="1469663860">
      <w:bodyDiv w:val="1"/>
      <w:marLeft w:val="0"/>
      <w:marRight w:val="0"/>
      <w:marTop w:val="0"/>
      <w:marBottom w:val="0"/>
      <w:divBdr>
        <w:top w:val="none" w:sz="0" w:space="0" w:color="auto"/>
        <w:left w:val="none" w:sz="0" w:space="0" w:color="auto"/>
        <w:bottom w:val="none" w:sz="0" w:space="0" w:color="auto"/>
        <w:right w:val="none" w:sz="0" w:space="0" w:color="auto"/>
      </w:divBdr>
    </w:div>
    <w:div w:id="1491602895">
      <w:bodyDiv w:val="1"/>
      <w:marLeft w:val="0"/>
      <w:marRight w:val="0"/>
      <w:marTop w:val="0"/>
      <w:marBottom w:val="0"/>
      <w:divBdr>
        <w:top w:val="none" w:sz="0" w:space="0" w:color="auto"/>
        <w:left w:val="none" w:sz="0" w:space="0" w:color="auto"/>
        <w:bottom w:val="none" w:sz="0" w:space="0" w:color="auto"/>
        <w:right w:val="none" w:sz="0" w:space="0" w:color="auto"/>
      </w:divBdr>
    </w:div>
    <w:div w:id="1509100016">
      <w:bodyDiv w:val="1"/>
      <w:marLeft w:val="0"/>
      <w:marRight w:val="0"/>
      <w:marTop w:val="0"/>
      <w:marBottom w:val="0"/>
      <w:divBdr>
        <w:top w:val="none" w:sz="0" w:space="0" w:color="auto"/>
        <w:left w:val="none" w:sz="0" w:space="0" w:color="auto"/>
        <w:bottom w:val="none" w:sz="0" w:space="0" w:color="auto"/>
        <w:right w:val="none" w:sz="0" w:space="0" w:color="auto"/>
      </w:divBdr>
    </w:div>
    <w:div w:id="1529559335">
      <w:bodyDiv w:val="1"/>
      <w:marLeft w:val="0"/>
      <w:marRight w:val="0"/>
      <w:marTop w:val="0"/>
      <w:marBottom w:val="0"/>
      <w:divBdr>
        <w:top w:val="none" w:sz="0" w:space="0" w:color="auto"/>
        <w:left w:val="none" w:sz="0" w:space="0" w:color="auto"/>
        <w:bottom w:val="none" w:sz="0" w:space="0" w:color="auto"/>
        <w:right w:val="none" w:sz="0" w:space="0" w:color="auto"/>
      </w:divBdr>
    </w:div>
    <w:div w:id="1576553317">
      <w:bodyDiv w:val="1"/>
      <w:marLeft w:val="0"/>
      <w:marRight w:val="0"/>
      <w:marTop w:val="0"/>
      <w:marBottom w:val="0"/>
      <w:divBdr>
        <w:top w:val="none" w:sz="0" w:space="0" w:color="auto"/>
        <w:left w:val="none" w:sz="0" w:space="0" w:color="auto"/>
        <w:bottom w:val="none" w:sz="0" w:space="0" w:color="auto"/>
        <w:right w:val="none" w:sz="0" w:space="0" w:color="auto"/>
      </w:divBdr>
    </w:div>
    <w:div w:id="1584026751">
      <w:bodyDiv w:val="1"/>
      <w:marLeft w:val="0"/>
      <w:marRight w:val="0"/>
      <w:marTop w:val="0"/>
      <w:marBottom w:val="0"/>
      <w:divBdr>
        <w:top w:val="none" w:sz="0" w:space="0" w:color="auto"/>
        <w:left w:val="none" w:sz="0" w:space="0" w:color="auto"/>
        <w:bottom w:val="none" w:sz="0" w:space="0" w:color="auto"/>
        <w:right w:val="none" w:sz="0" w:space="0" w:color="auto"/>
      </w:divBdr>
    </w:div>
    <w:div w:id="1593666748">
      <w:bodyDiv w:val="1"/>
      <w:marLeft w:val="0"/>
      <w:marRight w:val="0"/>
      <w:marTop w:val="0"/>
      <w:marBottom w:val="0"/>
      <w:divBdr>
        <w:top w:val="none" w:sz="0" w:space="0" w:color="auto"/>
        <w:left w:val="none" w:sz="0" w:space="0" w:color="auto"/>
        <w:bottom w:val="none" w:sz="0" w:space="0" w:color="auto"/>
        <w:right w:val="none" w:sz="0" w:space="0" w:color="auto"/>
      </w:divBdr>
    </w:div>
    <w:div w:id="1621111177">
      <w:bodyDiv w:val="1"/>
      <w:marLeft w:val="0"/>
      <w:marRight w:val="0"/>
      <w:marTop w:val="0"/>
      <w:marBottom w:val="0"/>
      <w:divBdr>
        <w:top w:val="none" w:sz="0" w:space="0" w:color="auto"/>
        <w:left w:val="none" w:sz="0" w:space="0" w:color="auto"/>
        <w:bottom w:val="none" w:sz="0" w:space="0" w:color="auto"/>
        <w:right w:val="none" w:sz="0" w:space="0" w:color="auto"/>
      </w:divBdr>
    </w:div>
    <w:div w:id="1658418786">
      <w:bodyDiv w:val="1"/>
      <w:marLeft w:val="0"/>
      <w:marRight w:val="0"/>
      <w:marTop w:val="0"/>
      <w:marBottom w:val="0"/>
      <w:divBdr>
        <w:top w:val="none" w:sz="0" w:space="0" w:color="auto"/>
        <w:left w:val="none" w:sz="0" w:space="0" w:color="auto"/>
        <w:bottom w:val="none" w:sz="0" w:space="0" w:color="auto"/>
        <w:right w:val="none" w:sz="0" w:space="0" w:color="auto"/>
      </w:divBdr>
    </w:div>
    <w:div w:id="1696736222">
      <w:bodyDiv w:val="1"/>
      <w:marLeft w:val="0"/>
      <w:marRight w:val="0"/>
      <w:marTop w:val="0"/>
      <w:marBottom w:val="0"/>
      <w:divBdr>
        <w:top w:val="none" w:sz="0" w:space="0" w:color="auto"/>
        <w:left w:val="none" w:sz="0" w:space="0" w:color="auto"/>
        <w:bottom w:val="none" w:sz="0" w:space="0" w:color="auto"/>
        <w:right w:val="none" w:sz="0" w:space="0" w:color="auto"/>
      </w:divBdr>
    </w:div>
    <w:div w:id="1722166370">
      <w:bodyDiv w:val="1"/>
      <w:marLeft w:val="0"/>
      <w:marRight w:val="0"/>
      <w:marTop w:val="0"/>
      <w:marBottom w:val="0"/>
      <w:divBdr>
        <w:top w:val="none" w:sz="0" w:space="0" w:color="auto"/>
        <w:left w:val="none" w:sz="0" w:space="0" w:color="auto"/>
        <w:bottom w:val="none" w:sz="0" w:space="0" w:color="auto"/>
        <w:right w:val="none" w:sz="0" w:space="0" w:color="auto"/>
      </w:divBdr>
    </w:div>
    <w:div w:id="1745685600">
      <w:bodyDiv w:val="1"/>
      <w:marLeft w:val="0"/>
      <w:marRight w:val="0"/>
      <w:marTop w:val="0"/>
      <w:marBottom w:val="0"/>
      <w:divBdr>
        <w:top w:val="none" w:sz="0" w:space="0" w:color="auto"/>
        <w:left w:val="none" w:sz="0" w:space="0" w:color="auto"/>
        <w:bottom w:val="none" w:sz="0" w:space="0" w:color="auto"/>
        <w:right w:val="none" w:sz="0" w:space="0" w:color="auto"/>
      </w:divBdr>
    </w:div>
    <w:div w:id="1777672006">
      <w:bodyDiv w:val="1"/>
      <w:marLeft w:val="0"/>
      <w:marRight w:val="0"/>
      <w:marTop w:val="0"/>
      <w:marBottom w:val="0"/>
      <w:divBdr>
        <w:top w:val="none" w:sz="0" w:space="0" w:color="auto"/>
        <w:left w:val="none" w:sz="0" w:space="0" w:color="auto"/>
        <w:bottom w:val="none" w:sz="0" w:space="0" w:color="auto"/>
        <w:right w:val="none" w:sz="0" w:space="0" w:color="auto"/>
      </w:divBdr>
    </w:div>
    <w:div w:id="1825849106">
      <w:bodyDiv w:val="1"/>
      <w:marLeft w:val="0"/>
      <w:marRight w:val="0"/>
      <w:marTop w:val="0"/>
      <w:marBottom w:val="0"/>
      <w:divBdr>
        <w:top w:val="none" w:sz="0" w:space="0" w:color="auto"/>
        <w:left w:val="none" w:sz="0" w:space="0" w:color="auto"/>
        <w:bottom w:val="none" w:sz="0" w:space="0" w:color="auto"/>
        <w:right w:val="none" w:sz="0" w:space="0" w:color="auto"/>
      </w:divBdr>
    </w:div>
    <w:div w:id="1864436114">
      <w:bodyDiv w:val="1"/>
      <w:marLeft w:val="0"/>
      <w:marRight w:val="0"/>
      <w:marTop w:val="0"/>
      <w:marBottom w:val="0"/>
      <w:divBdr>
        <w:top w:val="none" w:sz="0" w:space="0" w:color="auto"/>
        <w:left w:val="none" w:sz="0" w:space="0" w:color="auto"/>
        <w:bottom w:val="none" w:sz="0" w:space="0" w:color="auto"/>
        <w:right w:val="none" w:sz="0" w:space="0" w:color="auto"/>
      </w:divBdr>
    </w:div>
    <w:div w:id="1868104673">
      <w:bodyDiv w:val="1"/>
      <w:marLeft w:val="0"/>
      <w:marRight w:val="0"/>
      <w:marTop w:val="0"/>
      <w:marBottom w:val="0"/>
      <w:divBdr>
        <w:top w:val="none" w:sz="0" w:space="0" w:color="auto"/>
        <w:left w:val="none" w:sz="0" w:space="0" w:color="auto"/>
        <w:bottom w:val="none" w:sz="0" w:space="0" w:color="auto"/>
        <w:right w:val="none" w:sz="0" w:space="0" w:color="auto"/>
      </w:divBdr>
    </w:div>
    <w:div w:id="1906405371">
      <w:bodyDiv w:val="1"/>
      <w:marLeft w:val="0"/>
      <w:marRight w:val="0"/>
      <w:marTop w:val="0"/>
      <w:marBottom w:val="0"/>
      <w:divBdr>
        <w:top w:val="none" w:sz="0" w:space="0" w:color="auto"/>
        <w:left w:val="none" w:sz="0" w:space="0" w:color="auto"/>
        <w:bottom w:val="none" w:sz="0" w:space="0" w:color="auto"/>
        <w:right w:val="none" w:sz="0" w:space="0" w:color="auto"/>
      </w:divBdr>
    </w:div>
    <w:div w:id="1907449892">
      <w:bodyDiv w:val="1"/>
      <w:marLeft w:val="0"/>
      <w:marRight w:val="0"/>
      <w:marTop w:val="0"/>
      <w:marBottom w:val="0"/>
      <w:divBdr>
        <w:top w:val="none" w:sz="0" w:space="0" w:color="auto"/>
        <w:left w:val="none" w:sz="0" w:space="0" w:color="auto"/>
        <w:bottom w:val="none" w:sz="0" w:space="0" w:color="auto"/>
        <w:right w:val="none" w:sz="0" w:space="0" w:color="auto"/>
      </w:divBdr>
    </w:div>
    <w:div w:id="1908488106">
      <w:bodyDiv w:val="1"/>
      <w:marLeft w:val="0"/>
      <w:marRight w:val="0"/>
      <w:marTop w:val="0"/>
      <w:marBottom w:val="0"/>
      <w:divBdr>
        <w:top w:val="none" w:sz="0" w:space="0" w:color="auto"/>
        <w:left w:val="none" w:sz="0" w:space="0" w:color="auto"/>
        <w:bottom w:val="none" w:sz="0" w:space="0" w:color="auto"/>
        <w:right w:val="none" w:sz="0" w:space="0" w:color="auto"/>
      </w:divBdr>
    </w:div>
    <w:div w:id="1924023827">
      <w:bodyDiv w:val="1"/>
      <w:marLeft w:val="0"/>
      <w:marRight w:val="0"/>
      <w:marTop w:val="0"/>
      <w:marBottom w:val="0"/>
      <w:divBdr>
        <w:top w:val="none" w:sz="0" w:space="0" w:color="auto"/>
        <w:left w:val="none" w:sz="0" w:space="0" w:color="auto"/>
        <w:bottom w:val="none" w:sz="0" w:space="0" w:color="auto"/>
        <w:right w:val="none" w:sz="0" w:space="0" w:color="auto"/>
      </w:divBdr>
    </w:div>
    <w:div w:id="2068332756">
      <w:bodyDiv w:val="1"/>
      <w:marLeft w:val="0"/>
      <w:marRight w:val="0"/>
      <w:marTop w:val="0"/>
      <w:marBottom w:val="0"/>
      <w:divBdr>
        <w:top w:val="none" w:sz="0" w:space="0" w:color="auto"/>
        <w:left w:val="none" w:sz="0" w:space="0" w:color="auto"/>
        <w:bottom w:val="none" w:sz="0" w:space="0" w:color="auto"/>
        <w:right w:val="none" w:sz="0" w:space="0" w:color="auto"/>
      </w:divBdr>
    </w:div>
    <w:div w:id="210110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672426-0861-4492-A5C4-41C759FBF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30</Pages>
  <Words>2893</Words>
  <Characters>22444</Characters>
  <Application>Microsoft Office Word</Application>
  <DocSecurity>0</DocSecurity>
  <Lines>650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ep-karapetyan</dc:creator>
  <cp:keywords>https://mul2.gov.am/tasks/698319/oneclick/ampopatert.docx?token=67f55476cdb1cacc6a83f2acf7514c75</cp:keywords>
  <cp:lastModifiedBy>Aghasi</cp:lastModifiedBy>
  <cp:revision>32</cp:revision>
  <cp:lastPrinted>2021-04-30T12:25:00Z</cp:lastPrinted>
  <dcterms:created xsi:type="dcterms:W3CDTF">2021-07-30T13:05:00Z</dcterms:created>
  <dcterms:modified xsi:type="dcterms:W3CDTF">2022-11-14T07:01:00Z</dcterms:modified>
</cp:coreProperties>
</file>