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6CF1" w14:textId="77777777" w:rsidR="00FC1E5F" w:rsidRDefault="003F2603" w:rsidP="00FC1E5F">
      <w:pPr>
        <w:tabs>
          <w:tab w:val="center" w:pos="4680"/>
          <w:tab w:val="right" w:pos="9360"/>
        </w:tabs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Hlk111199021"/>
      <w:r w:rsidRPr="00EA2819">
        <w:rPr>
          <w:rFonts w:ascii="GHEA Grapalat" w:hAnsi="GHEA Grapalat"/>
          <w:b/>
          <w:sz w:val="24"/>
          <w:szCs w:val="24"/>
          <w:lang w:val="hy-AM"/>
        </w:rPr>
        <w:t>ԱՄՓՈՓԱԹԵՐԹ</w:t>
      </w:r>
    </w:p>
    <w:p w14:paraId="0FC7A299" w14:textId="47EFD952" w:rsidR="003F2603" w:rsidRPr="00EA2819" w:rsidRDefault="003F2603" w:rsidP="00DE4DA7">
      <w:pPr>
        <w:tabs>
          <w:tab w:val="center" w:pos="4680"/>
          <w:tab w:val="right" w:pos="9360"/>
        </w:tabs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«ԳՈՒՅՔ ՆՎԻ</w:t>
      </w:r>
      <w:r w:rsidRPr="00636C5F">
        <w:rPr>
          <w:rFonts w:ascii="GHEA Grapalat" w:hAnsi="GHEA Grapalat"/>
          <w:bCs/>
          <w:color w:val="000000"/>
          <w:lang w:val="hy-AM"/>
        </w:rPr>
        <w:t>Ր</w:t>
      </w:r>
      <w:r w:rsidR="00C86CB4">
        <w:rPr>
          <w:rFonts w:ascii="GHEA Grapalat" w:hAnsi="GHEA Grapalat"/>
          <w:bCs/>
          <w:color w:val="000000"/>
          <w:lang w:val="hy-AM"/>
        </w:rPr>
        <w:t>ԱԲԵՐ</w:t>
      </w:r>
      <w:r w:rsidRPr="00636C5F">
        <w:rPr>
          <w:rFonts w:ascii="GHEA Grapalat" w:hAnsi="GHEA Grapalat"/>
          <w:bCs/>
          <w:color w:val="000000"/>
          <w:lang w:val="hy-AM"/>
        </w:rPr>
        <w:t>ԵԼՈՒ ՄԱՍԻՆ</w:t>
      </w:r>
      <w:r>
        <w:rPr>
          <w:rFonts w:ascii="GHEA Grapalat" w:hAnsi="GHEA Grapalat"/>
          <w:bCs/>
          <w:color w:val="000000"/>
          <w:lang w:val="hy-AM"/>
        </w:rPr>
        <w:t>» ՀԱՅԱՍՏԱՆԻ ՀԱՆՐԱՊԵՏՈՒԹՅԱՆ ԿԱՌԱՎԱՐՈՒԹՅԱՆ</w:t>
      </w:r>
      <w:r w:rsidRPr="00636C5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ՈՐՈՇՄԱՆ </w:t>
      </w:r>
      <w:r w:rsidR="00FC1E5F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>ԱԽԱԳԾԻ</w:t>
      </w:r>
    </w:p>
    <w:tbl>
      <w:tblPr>
        <w:tblStyle w:val="TableGrid"/>
        <w:tblW w:w="150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7560"/>
        <w:gridCol w:w="23"/>
        <w:gridCol w:w="4747"/>
        <w:gridCol w:w="113"/>
        <w:gridCol w:w="2587"/>
      </w:tblGrid>
      <w:tr w:rsidR="003F2603" w:rsidRPr="00EA2819" w14:paraId="0B3688DE" w14:textId="77777777" w:rsidTr="00E1111A">
        <w:tc>
          <w:tcPr>
            <w:tcW w:w="12330" w:type="dxa"/>
            <w:gridSpan w:val="3"/>
            <w:vMerge w:val="restart"/>
            <w:shd w:val="clear" w:color="auto" w:fill="D9D9D9" w:themeFill="background1" w:themeFillShade="D9"/>
          </w:tcPr>
          <w:p w14:paraId="78B58C23" w14:textId="77777777" w:rsidR="003F2603" w:rsidRPr="00EA2819" w:rsidRDefault="003F2603" w:rsidP="00E1111A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  <w:p w14:paraId="67CE22A2" w14:textId="77777777" w:rsidR="003F2603" w:rsidRPr="00EA2819" w:rsidRDefault="003F2603" w:rsidP="00E1111A">
            <w:pPr>
              <w:tabs>
                <w:tab w:val="left" w:pos="635"/>
              </w:tabs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C86CB4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1</w:t>
            </w:r>
            <w:r w:rsidRPr="00EA2819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. </w:t>
            </w:r>
            <w:r w:rsidRPr="00EA2819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  <w:t xml:space="preserve">ՀՀ </w:t>
            </w:r>
            <w:r w:rsidRPr="00C86CB4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Սննդամթերքի անվտանգության տեսչական մարմին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14:paraId="6A138DDF" w14:textId="77777777" w:rsidR="003F2603" w:rsidRPr="00EA2819" w:rsidRDefault="003F2603" w:rsidP="00E1111A">
            <w:pPr>
              <w:jc w:val="center"/>
              <w:rPr>
                <w:rFonts w:ascii="Cambria Math" w:hAnsi="Cambria Math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07</w:t>
            </w:r>
            <w:r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.0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3</w:t>
            </w:r>
            <w:r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2</w:t>
            </w:r>
            <w:r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թ</w:t>
            </w:r>
          </w:p>
        </w:tc>
      </w:tr>
      <w:tr w:rsidR="003F2603" w:rsidRPr="00EA2819" w14:paraId="78100EA9" w14:textId="77777777" w:rsidTr="00E1111A">
        <w:trPr>
          <w:trHeight w:val="773"/>
        </w:trPr>
        <w:tc>
          <w:tcPr>
            <w:tcW w:w="12330" w:type="dxa"/>
            <w:gridSpan w:val="3"/>
            <w:vMerge/>
            <w:shd w:val="clear" w:color="auto" w:fill="D9D9D9" w:themeFill="background1" w:themeFillShade="D9"/>
          </w:tcPr>
          <w:p w14:paraId="462D72DB" w14:textId="77777777" w:rsidR="003F2603" w:rsidRPr="00EA2819" w:rsidRDefault="003F2603" w:rsidP="00E1111A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9C1CF7" w14:textId="77777777" w:rsidR="003F2603" w:rsidRPr="00EA2819" w:rsidRDefault="003F2603" w:rsidP="00E111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EA2819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N</w:t>
            </w:r>
            <w:r w:rsidRPr="00636C5F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01/0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6</w:t>
            </w:r>
            <w:r w:rsidRPr="00636C5F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1</w:t>
            </w:r>
            <w:r w:rsidRPr="00636C5F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/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1/2502</w:t>
            </w:r>
            <w:r w:rsidRPr="00636C5F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-202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3F2603" w:rsidRPr="00EA2819" w14:paraId="63CBE5C4" w14:textId="77777777" w:rsidTr="00E1111A">
        <w:tc>
          <w:tcPr>
            <w:tcW w:w="7560" w:type="dxa"/>
            <w:tcBorders>
              <w:right w:val="single" w:sz="4" w:space="0" w:color="auto"/>
            </w:tcBorders>
          </w:tcPr>
          <w:p w14:paraId="1B0F6EEB" w14:textId="3A3B9F53" w:rsidR="003F2603" w:rsidRPr="00EA2819" w:rsidRDefault="00586B7D" w:rsidP="00E1111A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2284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="001C70AA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       </w:t>
            </w:r>
            <w:r w:rsidR="00C22844" w:rsidRPr="00C22844">
              <w:rPr>
                <w:rFonts w:ascii="GHEA Grapalat" w:eastAsia="Calibri" w:hAnsi="GHEA Grapalat"/>
                <w:sz w:val="24"/>
                <w:szCs w:val="24"/>
                <w:lang w:val="hy-AM"/>
              </w:rPr>
              <w:t>«Գույք նվիրելու մասին» Հայաստանի Հանրապետության կառավարության որոշմ</w:t>
            </w:r>
            <w:r w:rsidR="00B775C1">
              <w:rPr>
                <w:rFonts w:ascii="GHEA Grapalat" w:eastAsia="Calibri" w:hAnsi="GHEA Grapalat"/>
                <w:sz w:val="24"/>
                <w:szCs w:val="24"/>
                <w:lang w:val="hy-AM"/>
              </w:rPr>
              <w:t>ան</w:t>
            </w:r>
            <w:r w:rsidR="00C22844" w:rsidRPr="00C22844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նախագծի վերաբերյալ առաջարկություններ չկան։</w:t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  <w:right w:val="nil"/>
            </w:tcBorders>
          </w:tcPr>
          <w:p w14:paraId="3A1EFB39" w14:textId="77777777" w:rsidR="003F2603" w:rsidRPr="00EA2819" w:rsidRDefault="00654694" w:rsidP="00E1111A">
            <w:pPr>
              <w:spacing w:line="360" w:lineRule="auto"/>
              <w:ind w:right="76" w:firstLine="211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  <w:r w:rsidRPr="00093D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Է</w:t>
            </w:r>
            <w:r w:rsidRPr="00093D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։</w:t>
            </w:r>
          </w:p>
        </w:tc>
        <w:tc>
          <w:tcPr>
            <w:tcW w:w="2700" w:type="dxa"/>
            <w:gridSpan w:val="2"/>
            <w:tcBorders>
              <w:left w:val="nil"/>
            </w:tcBorders>
          </w:tcPr>
          <w:p w14:paraId="519888FB" w14:textId="77777777" w:rsidR="003F2603" w:rsidRPr="00636C5F" w:rsidRDefault="003F2603" w:rsidP="00E1111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F2603" w:rsidRPr="00EA2819" w14:paraId="68CC83F4" w14:textId="77777777" w:rsidTr="00E1111A">
        <w:tc>
          <w:tcPr>
            <w:tcW w:w="12330" w:type="dxa"/>
            <w:gridSpan w:val="3"/>
            <w:vMerge w:val="restart"/>
            <w:shd w:val="clear" w:color="auto" w:fill="D9D9D9" w:themeFill="background1" w:themeFillShade="D9"/>
          </w:tcPr>
          <w:p w14:paraId="203A6F37" w14:textId="77777777" w:rsidR="0032010E" w:rsidRDefault="0032010E" w:rsidP="00E1111A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  <w:p w14:paraId="7CC950BE" w14:textId="77777777" w:rsidR="003F2603" w:rsidRPr="007E64A2" w:rsidRDefault="003F2603" w:rsidP="00E1111A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7E64A2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2. ՀՀ տարածքային կառավարման և ենթակառուցվածքների նախարարություն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14:paraId="522B78F7" w14:textId="77777777" w:rsidR="003F2603" w:rsidRPr="00EA2819" w:rsidRDefault="003F2603" w:rsidP="00E111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14</w:t>
            </w:r>
            <w:r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.0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3</w:t>
            </w:r>
            <w:r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2</w:t>
            </w:r>
            <w:r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թ</w:t>
            </w:r>
          </w:p>
        </w:tc>
      </w:tr>
      <w:tr w:rsidR="003F2603" w:rsidRPr="00EA2819" w14:paraId="5697BE62" w14:textId="77777777" w:rsidTr="00E1111A">
        <w:trPr>
          <w:trHeight w:val="701"/>
        </w:trPr>
        <w:tc>
          <w:tcPr>
            <w:tcW w:w="12330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F1AE2" w14:textId="77777777" w:rsidR="003F2603" w:rsidRPr="00EA2819" w:rsidRDefault="003F2603" w:rsidP="00E1111A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E71183" w14:textId="77777777" w:rsidR="003F2603" w:rsidRPr="00EA2819" w:rsidRDefault="003F2603" w:rsidP="00E111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N </w:t>
            </w:r>
            <w:r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ԳՍ</w:t>
            </w:r>
            <w:r w:rsidRPr="0044788F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//</w:t>
            </w:r>
            <w:r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6031-2022</w:t>
            </w:r>
          </w:p>
        </w:tc>
      </w:tr>
      <w:tr w:rsidR="003F2603" w:rsidRPr="001C70AA" w14:paraId="5ED37214" w14:textId="77777777" w:rsidTr="00E1111A">
        <w:tc>
          <w:tcPr>
            <w:tcW w:w="75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66F8FBE" w14:textId="77777777" w:rsidR="003F2603" w:rsidRDefault="003F2603" w:rsidP="00E1111A">
            <w:pPr>
              <w:pStyle w:val="ListParagraph"/>
              <w:spacing w:after="0" w:line="360" w:lineRule="auto"/>
              <w:ind w:left="5" w:firstLine="540"/>
              <w:jc w:val="both"/>
              <w:rPr>
                <w:sz w:val="24"/>
                <w:szCs w:val="24"/>
                <w:lang w:val="hy-AM"/>
              </w:rPr>
            </w:pPr>
            <w:r w:rsidRPr="00E54C2B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1.Նախագծի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նախաբանում՝ «Հայաստանի Հանրապետության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«Պետական գույքի կառավարման մասին» օրենքի»» բառերը փոխարինել ««Պետական գույքի կառավարման մասին»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օրենքի» բառերով։ </w:t>
            </w:r>
          </w:p>
          <w:p w14:paraId="50EA3334" w14:textId="77777777" w:rsidR="003F2603" w:rsidRDefault="003F2603" w:rsidP="00E1111A">
            <w:pPr>
              <w:pStyle w:val="ListParagraph"/>
              <w:spacing w:after="0" w:line="360" w:lineRule="auto"/>
              <w:ind w:left="5" w:firstLine="540"/>
              <w:jc w:val="both"/>
              <w:rPr>
                <w:sz w:val="24"/>
                <w:szCs w:val="24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2.Որպես նորմատիվ իրավական ակտի վավերապայման՝ Նախագծի վերջում լրացնել իրավական ակտը ստորագրող պաշտոնատար անձի պաշտոնը, անվան սկզբնատառը և ազգանունը։ </w:t>
            </w:r>
          </w:p>
          <w:p w14:paraId="43BB4129" w14:textId="77777777" w:rsidR="003F2603" w:rsidRPr="00E54C2B" w:rsidRDefault="003F2603" w:rsidP="00E1111A">
            <w:pPr>
              <w:pStyle w:val="ListParagraph"/>
              <w:spacing w:after="0" w:line="360" w:lineRule="auto"/>
              <w:ind w:left="5" w:firstLine="540"/>
              <w:jc w:val="both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3.Միաժամանակ կարծում ենք, որ Նախագծում պետք է նախատեսել նոր դրույթներ՝ նվիրվող գույքի հանձնման-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ընդունման աշխատանքների և դրանց կատարման ժամկետների վերաբերյալ։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F919F" w14:textId="77777777" w:rsidR="007A22EE" w:rsidRPr="00093D99" w:rsidRDefault="007A22EE" w:rsidP="00E1111A">
            <w:pPr>
              <w:spacing w:line="360" w:lineRule="auto"/>
              <w:ind w:right="76" w:firstLine="21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</w:t>
            </w:r>
            <w:r w:rsidRPr="00093D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Է</w:t>
            </w:r>
            <w:r w:rsidRPr="00093D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։</w:t>
            </w:r>
          </w:p>
          <w:p w14:paraId="2D423E6E" w14:textId="77777777" w:rsidR="003F2603" w:rsidRDefault="003F2603" w:rsidP="00E1111A">
            <w:pPr>
              <w:jc w:val="center"/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</w:pPr>
          </w:p>
          <w:p w14:paraId="6161C83F" w14:textId="77777777" w:rsidR="003F2603" w:rsidRDefault="003F2603" w:rsidP="00E1111A">
            <w:pPr>
              <w:spacing w:before="240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14:paraId="7F4BF1E6" w14:textId="77777777" w:rsidR="00B775C1" w:rsidRDefault="00B775C1" w:rsidP="00E1111A">
            <w:pPr>
              <w:spacing w:line="360" w:lineRule="auto"/>
              <w:ind w:right="76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14:paraId="1F8BFCAB" w14:textId="77777777" w:rsidR="007A22EE" w:rsidRPr="00093D99" w:rsidRDefault="009B7A30" w:rsidP="00E1111A">
            <w:pPr>
              <w:tabs>
                <w:tab w:val="left" w:pos="232"/>
              </w:tabs>
              <w:spacing w:line="360" w:lineRule="auto"/>
              <w:ind w:right="7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</w:t>
            </w:r>
            <w:r w:rsidR="007A22E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  <w:r w:rsidR="007A22EE" w:rsidRPr="00093D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նդունվել</w:t>
            </w:r>
            <w:r w:rsidR="007A22E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Է</w:t>
            </w:r>
            <w:r w:rsidR="007A22EE" w:rsidRPr="00093D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։</w:t>
            </w:r>
          </w:p>
          <w:p w14:paraId="5868E630" w14:textId="77777777" w:rsidR="003F2603" w:rsidRPr="00BD096B" w:rsidRDefault="003F2603" w:rsidP="00E1111A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14:paraId="4B53B6DF" w14:textId="77777777" w:rsidR="003F2603" w:rsidRDefault="003F2603" w:rsidP="00E1111A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14:paraId="659B7761" w14:textId="77777777" w:rsidR="00563164" w:rsidRDefault="007A22EE" w:rsidP="00E1111A">
            <w:pPr>
              <w:spacing w:line="360" w:lineRule="auto"/>
              <w:ind w:right="76" w:firstLine="21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</w:t>
            </w:r>
            <w:r w:rsidRPr="00093D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նդունվել։</w:t>
            </w:r>
          </w:p>
          <w:p w14:paraId="183FB36F" w14:textId="77777777" w:rsidR="00563164" w:rsidRPr="00C33B4B" w:rsidRDefault="003F2603" w:rsidP="00E1111A">
            <w:pPr>
              <w:spacing w:line="360" w:lineRule="auto"/>
              <w:ind w:right="76" w:firstLine="211"/>
              <w:jc w:val="both"/>
              <w:rPr>
                <w:rFonts w:ascii="Sylfaen" w:eastAsia="MS Gothic" w:hAnsi="Sylfaen" w:cs="MS Gothic"/>
                <w:sz w:val="24"/>
                <w:szCs w:val="24"/>
                <w:lang w:val="hy-AM"/>
              </w:rPr>
            </w:pPr>
            <w:r w:rsidRPr="00CA3F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Նախագծում հանձնման-ընդունման աշխատանքների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 դրանց կատարման ժամկետների վերաբերյալ դրույթներ չկան, քանի որ Միավորված ազգերի կազմակերպության պարենի և գյուղատնտեսության կազմակերպության Աջակցություն Հայաստանում սպանդանոցների զարգացմանը ծրագրով ձեռք բերված գույքը հանձնված է՝ համաձայն Հայաստանի Հանրապետության գյուղատնտեսության նախարարության և տնտեսվարողի միջև 2015 թվականի օգոստոսի 21-ին կնքված Գույքի անահտույց օգտագործման N ԱԱՎ-941 պայմանգրի 221 կետի</w:t>
            </w:r>
            <w:r w:rsidR="002E454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</w:tc>
      </w:tr>
      <w:tr w:rsidR="0032010E" w:rsidRPr="00EA2819" w14:paraId="27CB59BA" w14:textId="77777777" w:rsidTr="00E1111A">
        <w:trPr>
          <w:trHeight w:val="674"/>
        </w:trPr>
        <w:tc>
          <w:tcPr>
            <w:tcW w:w="12443" w:type="dxa"/>
            <w:gridSpan w:val="4"/>
            <w:vMerge w:val="restart"/>
            <w:shd w:val="clear" w:color="auto" w:fill="D9D9D9" w:themeFill="background1" w:themeFillShade="D9"/>
          </w:tcPr>
          <w:p w14:paraId="70CC516A" w14:textId="77777777" w:rsidR="0032010E" w:rsidRDefault="0032010E" w:rsidP="00E1111A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  <w:p w14:paraId="695C3BC7" w14:textId="77777777" w:rsidR="0032010E" w:rsidRPr="009A6D3D" w:rsidRDefault="0032010E" w:rsidP="00E1111A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9A6D3D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3</w:t>
            </w:r>
            <w:r>
              <w:rPr>
                <w:rFonts w:ascii="MS Gothic" w:eastAsia="MS Gothic" w:hAnsi="MS Gothic" w:cs="MS Gothic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․</w:t>
            </w:r>
            <w:r w:rsidRPr="009A6D3D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ՀՀ ֆինանսների նախարարություն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6E2D45" w14:textId="77777777" w:rsidR="0032010E" w:rsidRPr="0032010E" w:rsidRDefault="008210B0" w:rsidP="00E1111A">
            <w:pPr>
              <w:spacing w:before="240"/>
              <w:jc w:val="center"/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15</w:t>
            </w:r>
            <w:r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.0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3</w:t>
            </w:r>
            <w:r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2</w:t>
            </w:r>
            <w:r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թ</w:t>
            </w:r>
          </w:p>
        </w:tc>
      </w:tr>
      <w:tr w:rsidR="008210B0" w:rsidRPr="00EA2819" w14:paraId="626EBAC0" w14:textId="77777777" w:rsidTr="00E1111A">
        <w:trPr>
          <w:trHeight w:val="386"/>
        </w:trPr>
        <w:tc>
          <w:tcPr>
            <w:tcW w:w="12443" w:type="dxa"/>
            <w:gridSpan w:val="4"/>
            <w:vMerge/>
            <w:shd w:val="clear" w:color="auto" w:fill="D9D9D9" w:themeFill="background1" w:themeFillShade="D9"/>
          </w:tcPr>
          <w:p w14:paraId="3F3E0E1C" w14:textId="77777777" w:rsidR="008210B0" w:rsidRDefault="008210B0" w:rsidP="00E1111A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B02455" w14:textId="77777777" w:rsidR="008210B0" w:rsidRPr="00EA2819" w:rsidRDefault="008210B0" w:rsidP="00E111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N</w:t>
            </w:r>
            <w:r w:rsidRPr="00636C5F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01/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11-1</w:t>
            </w:r>
            <w:r w:rsidRPr="00636C5F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/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4216</w:t>
            </w:r>
            <w:r w:rsidRPr="00636C5F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-202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8210B0" w:rsidRPr="00EA2819" w14:paraId="444A65BA" w14:textId="77777777" w:rsidTr="00E1111A">
        <w:tc>
          <w:tcPr>
            <w:tcW w:w="75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CFF4AD7" w14:textId="77777777" w:rsidR="008210B0" w:rsidRDefault="008210B0" w:rsidP="00E1111A">
            <w:pPr>
              <w:spacing w:after="0" w:line="360" w:lineRule="auto"/>
              <w:ind w:right="43" w:firstLine="45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ar-S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 նախարարությունն ուսումնասիրել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«Գույք նվիրելու մասին»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ar-SA"/>
              </w:rPr>
              <w:t xml:space="preserve"> Հայաստանի Հանրապետության կառավարության որոշման նախագ</w:t>
            </w:r>
            <w:r w:rsidR="0099186C">
              <w:rPr>
                <w:rFonts w:ascii="GHEA Grapalat" w:eastAsia="Times New Roman" w:hAnsi="GHEA Grapalat" w:cs="Sylfaen"/>
                <w:sz w:val="24"/>
                <w:szCs w:val="24"/>
                <w:lang w:val="hy-AM" w:eastAsia="ar-SA"/>
              </w:rPr>
              <w:t>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ar-SA"/>
              </w:rPr>
              <w:t>ծը և հայտնում է, որ սկզբունքային դիտողություններ չունի:</w:t>
            </w:r>
          </w:p>
          <w:p w14:paraId="78E6F3F1" w14:textId="77777777" w:rsidR="008210B0" w:rsidRPr="00FB38ED" w:rsidRDefault="008210B0" w:rsidP="00E1111A">
            <w:pPr>
              <w:spacing w:after="0" w:line="360" w:lineRule="auto"/>
              <w:ind w:right="43" w:firstLine="45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B36656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հաշվի առնելով, որ ներկայացված նախագծով նախատեսվում է գույք նվիրել փակ բաժնետիրական </w:t>
            </w:r>
            <w:r w:rsidRPr="00B3665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ընկերությ</w:t>
            </w:r>
            <w:r w:rsidR="0099186C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B36656">
              <w:rPr>
                <w:rFonts w:ascii="GHEA Grapalat" w:hAnsi="GHEA Grapalat"/>
                <w:sz w:val="24"/>
                <w:szCs w:val="24"/>
                <w:lang w:val="hy-AM"/>
              </w:rPr>
              <w:t>ն՝ առաջարկում ենք քննարկել խնդրո առարկա գույքը ընկերությ</w:t>
            </w:r>
            <w:r w:rsidR="0099186C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B36656">
              <w:rPr>
                <w:rFonts w:ascii="GHEA Grapalat" w:hAnsi="GHEA Grapalat"/>
                <w:sz w:val="24"/>
                <w:szCs w:val="24"/>
                <w:lang w:val="hy-AM"/>
              </w:rPr>
              <w:t>ն կանոնադրական կապիտալում ներդնելու տարբերակը:</w:t>
            </w:r>
          </w:p>
        </w:tc>
        <w:tc>
          <w:tcPr>
            <w:tcW w:w="744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F295C96" w14:textId="77777777" w:rsidR="008210B0" w:rsidRPr="00093D99" w:rsidRDefault="008210B0" w:rsidP="00E1111A">
            <w:pPr>
              <w:spacing w:line="360" w:lineRule="auto"/>
              <w:ind w:right="76" w:firstLine="21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</w:t>
            </w:r>
            <w:r w:rsidRPr="00093D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Է</w:t>
            </w:r>
            <w:r w:rsidRPr="00093D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։</w:t>
            </w:r>
          </w:p>
          <w:p w14:paraId="00D1C009" w14:textId="77777777" w:rsidR="008210B0" w:rsidRDefault="008210B0" w:rsidP="00E111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  <w:p w14:paraId="09C0CF12" w14:textId="77777777" w:rsidR="008210B0" w:rsidRDefault="008210B0" w:rsidP="00E111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  <w:p w14:paraId="44D4A90D" w14:textId="77777777" w:rsidR="008210B0" w:rsidRDefault="008210B0" w:rsidP="00E111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  <w:p w14:paraId="2D662FF4" w14:textId="77777777" w:rsidR="008210B0" w:rsidRPr="00EA2819" w:rsidRDefault="008210B0" w:rsidP="00E1111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</w:tc>
      </w:tr>
      <w:tr w:rsidR="00C13DDB" w:rsidRPr="0032010E" w14:paraId="19568D39" w14:textId="77777777" w:rsidTr="00E1111A">
        <w:trPr>
          <w:trHeight w:val="674"/>
        </w:trPr>
        <w:tc>
          <w:tcPr>
            <w:tcW w:w="12443" w:type="dxa"/>
            <w:gridSpan w:val="4"/>
            <w:vMerge w:val="restart"/>
            <w:shd w:val="clear" w:color="auto" w:fill="D9D9D9" w:themeFill="background1" w:themeFillShade="D9"/>
          </w:tcPr>
          <w:p w14:paraId="752D7259" w14:textId="77777777" w:rsidR="00C13DDB" w:rsidRDefault="00C13DDB" w:rsidP="00E1111A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  <w:p w14:paraId="6B88C21B" w14:textId="77777777" w:rsidR="00C13DDB" w:rsidRPr="009A6D3D" w:rsidRDefault="00C13DDB" w:rsidP="00DF0746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4</w:t>
            </w:r>
            <w:r>
              <w:rPr>
                <w:rFonts w:ascii="MS Gothic" w:eastAsia="MS Gothic" w:hAnsi="MS Gothic" w:cs="MS Gothic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․</w:t>
            </w:r>
            <w:r w:rsidRPr="009A6D3D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ՀՀ </w:t>
            </w:r>
            <w:r w:rsidR="00DF0746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վ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արչապետի աշխատակազմ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8B76B9" w14:textId="77777777" w:rsidR="00C13DDB" w:rsidRPr="0032010E" w:rsidRDefault="00DF0746" w:rsidP="00E1111A">
            <w:pPr>
              <w:spacing w:before="240"/>
              <w:jc w:val="center"/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14</w:t>
            </w:r>
            <w:r w:rsidR="00C13DDB"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.0</w:t>
            </w:r>
            <w:r w:rsidR="00C13DDB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4</w:t>
            </w:r>
            <w:r w:rsidR="00C13DDB"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.202</w:t>
            </w:r>
            <w:r w:rsidR="00C13DDB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2</w:t>
            </w:r>
            <w:r w:rsidR="00C13DDB"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թ</w:t>
            </w:r>
          </w:p>
        </w:tc>
      </w:tr>
      <w:tr w:rsidR="00C13DDB" w:rsidRPr="00EA2819" w14:paraId="606F06F7" w14:textId="77777777" w:rsidTr="00E1111A">
        <w:trPr>
          <w:trHeight w:val="386"/>
        </w:trPr>
        <w:tc>
          <w:tcPr>
            <w:tcW w:w="12443" w:type="dxa"/>
            <w:gridSpan w:val="4"/>
            <w:vMerge/>
            <w:shd w:val="clear" w:color="auto" w:fill="D9D9D9" w:themeFill="background1" w:themeFillShade="D9"/>
          </w:tcPr>
          <w:p w14:paraId="28747A7B" w14:textId="77777777" w:rsidR="00C13DDB" w:rsidRDefault="00C13DDB" w:rsidP="00E1111A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8B920F" w14:textId="77777777" w:rsidR="00C13DDB" w:rsidRPr="00EA2819" w:rsidRDefault="00C13DDB" w:rsidP="003607FA">
            <w:pPr>
              <w:spacing w:before="240"/>
              <w:jc w:val="center"/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N</w:t>
            </w:r>
            <w:r w:rsidR="003607FA" w:rsidRPr="003607FA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02/16.3/12846-2022</w:t>
            </w:r>
          </w:p>
        </w:tc>
      </w:tr>
      <w:tr w:rsidR="00E1111A" w:rsidRPr="001C70AA" w14:paraId="7F1DC9CF" w14:textId="77777777" w:rsidTr="001C585E">
        <w:tblPrEx>
          <w:tblLook w:val="0000" w:firstRow="0" w:lastRow="0" w:firstColumn="0" w:lastColumn="0" w:noHBand="0" w:noVBand="0"/>
        </w:tblPrEx>
        <w:trPr>
          <w:trHeight w:val="1336"/>
        </w:trPr>
        <w:tc>
          <w:tcPr>
            <w:tcW w:w="7583" w:type="dxa"/>
            <w:gridSpan w:val="2"/>
          </w:tcPr>
          <w:p w14:paraId="1E6B1071" w14:textId="77777777" w:rsidR="00E1111A" w:rsidRDefault="00E1111A" w:rsidP="00E1111A">
            <w:pPr>
              <w:pStyle w:val="ListParagraph"/>
              <w:numPr>
                <w:ilvl w:val="0"/>
                <w:numId w:val="1"/>
              </w:numPr>
              <w:ind w:left="0" w:firstLine="540"/>
              <w:jc w:val="both"/>
              <w:rPr>
                <w:sz w:val="24"/>
                <w:szCs w:val="24"/>
                <w:lang w:val="hy-AM"/>
              </w:rPr>
            </w:pPr>
            <w:r>
              <w:rPr>
                <w:rFonts w:cs="Arial"/>
                <w:sz w:val="24"/>
                <w:szCs w:val="24"/>
                <w:lang w:val="hy-AM"/>
              </w:rPr>
              <w:t xml:space="preserve"> 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Նախագծի նախաբանում նշված չէ նորմատիվ իրավական ակտի համապատասխան դրույթը, որը կառավարությանը լիազորում է ընդունել սույն որոշման նախագիծը, ինչը հակասում է «Նորմատիվ իրավական ակտերի մասին» օրենքի 2-րդ հոդվածի 1-ին մասին, ըստ որի՝  ներքին կամ անհատական իրավական ակտը ընդունվում  է </w:t>
            </w:r>
            <w:r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  <w:lang w:val="hy-AM"/>
              </w:rPr>
              <w:t>նորմատիվ իրավական ակտի հիման վրա և դրան համապատասխան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14:paraId="3B3A4F66" w14:textId="212D4AF4" w:rsidR="00E1111A" w:rsidRPr="00C86CB4" w:rsidRDefault="000517C0" w:rsidP="00DE4DA7">
            <w:pPr>
              <w:pStyle w:val="ListParagraph"/>
              <w:numPr>
                <w:ilvl w:val="0"/>
                <w:numId w:val="1"/>
              </w:numPr>
              <w:ind w:left="0" w:firstLine="540"/>
              <w:jc w:val="both"/>
              <w:rPr>
                <w:lang w:val="hy-AM"/>
              </w:rPr>
            </w:pPr>
            <w:r w:rsidRPr="000517C0">
              <w:rPr>
                <w:rFonts w:eastAsia="Calibri" w:cs="Arial"/>
                <w:sz w:val="24"/>
                <w:szCs w:val="24"/>
                <w:lang w:val="hy-AM"/>
              </w:rPr>
              <w:t>Նախագծի</w:t>
            </w:r>
            <w:r w:rsidRPr="000517C0">
              <w:rPr>
                <w:rFonts w:eastAsia="Calibri" w:cs="Times New Roman"/>
                <w:sz w:val="24"/>
                <w:szCs w:val="24"/>
                <w:lang w:val="hy-AM"/>
              </w:rPr>
              <w:t xml:space="preserve"> 1-ին կետով նախատեսվում է </w:t>
            </w:r>
            <w:r w:rsidR="006E1196" w:rsidRPr="006E1196">
              <w:rPr>
                <w:rFonts w:eastAsia="Calibri" w:cs="Times New Roman"/>
                <w:sz w:val="24"/>
                <w:szCs w:val="24"/>
                <w:lang w:val="hy-AM"/>
              </w:rPr>
              <w:t>Վայոց Ձոր - Մսամթերք սահմանափակ պատասխանատվությամբ ընկերության</w:t>
            </w:r>
            <w:r w:rsidR="006E1196">
              <w:rPr>
                <w:rFonts w:eastAsia="Calibri" w:cs="Times New Roman"/>
                <w:sz w:val="24"/>
                <w:szCs w:val="24"/>
                <w:lang w:val="hy-AM"/>
              </w:rPr>
              <w:t>ը</w:t>
            </w:r>
            <w:r w:rsidRPr="000517C0">
              <w:rPr>
                <w:rFonts w:eastAsia="Calibri" w:cs="Tahoma"/>
                <w:sz w:val="24"/>
                <w:szCs w:val="24"/>
                <w:lang w:val="hy-AM"/>
              </w:rPr>
              <w:t xml:space="preserve"> </w:t>
            </w:r>
            <w:r w:rsidRPr="000517C0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 xml:space="preserve">նվիրել </w:t>
            </w:r>
            <w:r w:rsidRPr="000517C0">
              <w:rPr>
                <w:rFonts w:eastAsia="Arial Unicode MS" w:cs="Sylfaen"/>
                <w:sz w:val="24"/>
                <w:szCs w:val="24"/>
                <w:lang w:val="hy-AM"/>
              </w:rPr>
              <w:t>ՀՀ</w:t>
            </w:r>
            <w:r w:rsidRPr="000517C0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 xml:space="preserve"> գյուղատնտեսության նախարարության և ընկերության միջև 2018 թվականի մայիսի 29-ին կնքված N ԱԱՎ-28 պայմանագրով և </w:t>
            </w:r>
            <w:r w:rsidR="00443661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>ՊԳԿ</w:t>
            </w:r>
            <w:r w:rsidRPr="000517C0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 xml:space="preserve">-ի և ՀՀ գյուղատնտեսության նախարարության միջև 2007 թվականի դեկտեմբերի 7-ին կնքված համաձայնագրով նվիրաբերված  </w:t>
            </w:r>
            <w:r w:rsidR="00443661" w:rsidRPr="00141BA0">
              <w:rPr>
                <w:rFonts w:eastAsia="Arial Unicode MS" w:cs="Sylfaen"/>
                <w:sz w:val="24"/>
                <w:szCs w:val="24"/>
                <w:lang w:val="hy-AM"/>
              </w:rPr>
              <w:t>«Աջակցություն Հայաստանում սպանդանոցների զարգացմանը»</w:t>
            </w:r>
            <w:r w:rsidRPr="000517C0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 xml:space="preserve"> ծրագր</w:t>
            </w:r>
            <w:r w:rsidR="00C866E8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>ային</w:t>
            </w:r>
            <w:r w:rsidRPr="000517C0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 xml:space="preserve"> գույքը</w:t>
            </w:r>
            <w:r w:rsidRPr="000517C0">
              <w:rPr>
                <w:rFonts w:eastAsia="Calibri" w:cs="Times New Roman"/>
                <w:sz w:val="24"/>
                <w:szCs w:val="24"/>
                <w:lang w:val="hy-AM"/>
              </w:rPr>
              <w:t xml:space="preserve">: Միաժամանակ կից հիմնավորմամբ նշվում է, որ տվյալ գույքի նվիրաբերման պահանջը նախատեսված է վերոնշյալ համաձայնագրով: Տվյալ դեպքում հարկ է նշել, որ նախագծի </w:t>
            </w:r>
            <w:r w:rsidRPr="000517C0">
              <w:rPr>
                <w:rFonts w:eastAsia="Calibri" w:cs="Times New Roman"/>
                <w:sz w:val="24"/>
                <w:szCs w:val="24"/>
                <w:lang w:val="hy-AM"/>
              </w:rPr>
              <w:lastRenderedPageBreak/>
              <w:t>վերաբերյալ կարելի է կարծիք ներկայացնել միայն համաձայնագրի առկայության դեպքում: Հետևաբար անհրաժեշտ է կից ներկայացնել նաև վերոնշյալ համաձայնագիրը:</w:t>
            </w:r>
          </w:p>
        </w:tc>
        <w:tc>
          <w:tcPr>
            <w:tcW w:w="7447" w:type="dxa"/>
            <w:gridSpan w:val="3"/>
          </w:tcPr>
          <w:p w14:paraId="4704E2A2" w14:textId="77777777" w:rsidR="008D1BBC" w:rsidRPr="00093D99" w:rsidRDefault="008D1BBC" w:rsidP="008D1BBC">
            <w:pPr>
              <w:spacing w:line="360" w:lineRule="auto"/>
              <w:ind w:right="76" w:firstLine="21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</w:t>
            </w:r>
            <w:r w:rsidRPr="00093D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Է մասամբ</w:t>
            </w:r>
            <w:r w:rsidRPr="00093D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։</w:t>
            </w:r>
          </w:p>
          <w:p w14:paraId="21772DE1" w14:textId="77777777" w:rsidR="008D1BBC" w:rsidRDefault="008D1BBC" w:rsidP="00E1111A">
            <w:pPr>
              <w:rPr>
                <w:rFonts w:ascii="Sylfaen" w:hAnsi="Sylfaen"/>
                <w:lang w:val="hy-AM"/>
              </w:rPr>
            </w:pPr>
          </w:p>
          <w:p w14:paraId="7427E016" w14:textId="77777777" w:rsidR="008D1BBC" w:rsidRPr="008D1BBC" w:rsidRDefault="008D1BBC" w:rsidP="008D1BBC">
            <w:pPr>
              <w:rPr>
                <w:rFonts w:ascii="Sylfaen" w:hAnsi="Sylfaen"/>
                <w:lang w:val="hy-AM"/>
              </w:rPr>
            </w:pPr>
          </w:p>
          <w:p w14:paraId="38CC938B" w14:textId="77777777" w:rsidR="008D1BBC" w:rsidRPr="008D1BBC" w:rsidRDefault="008D1BBC" w:rsidP="008D1BBC">
            <w:pPr>
              <w:rPr>
                <w:rFonts w:ascii="Sylfaen" w:hAnsi="Sylfaen"/>
                <w:lang w:val="hy-AM"/>
              </w:rPr>
            </w:pPr>
          </w:p>
          <w:p w14:paraId="1B451689" w14:textId="77777777" w:rsidR="008D1BBC" w:rsidRPr="008D1BBC" w:rsidRDefault="008D1BBC" w:rsidP="008D1BBC">
            <w:pPr>
              <w:rPr>
                <w:rFonts w:ascii="Sylfaen" w:hAnsi="Sylfaen"/>
                <w:lang w:val="hy-AM"/>
              </w:rPr>
            </w:pPr>
          </w:p>
          <w:p w14:paraId="447E53D8" w14:textId="77777777" w:rsidR="008D1BBC" w:rsidRDefault="008D1BBC" w:rsidP="008D1BBC">
            <w:pPr>
              <w:rPr>
                <w:rFonts w:ascii="Sylfaen" w:hAnsi="Sylfaen"/>
                <w:lang w:val="hy-AM"/>
              </w:rPr>
            </w:pPr>
          </w:p>
          <w:p w14:paraId="3D6369A6" w14:textId="77777777" w:rsidR="008D1BBC" w:rsidRPr="00093D99" w:rsidRDefault="008D1BBC" w:rsidP="008D1BBC">
            <w:pPr>
              <w:spacing w:line="360" w:lineRule="auto"/>
              <w:ind w:right="76" w:firstLine="21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  <w:r w:rsidRPr="00093D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Է</w:t>
            </w:r>
            <w:r w:rsidR="00BD37E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։</w:t>
            </w:r>
          </w:p>
          <w:p w14:paraId="29D8D987" w14:textId="77777777" w:rsidR="00E1111A" w:rsidRPr="008D1BBC" w:rsidRDefault="00E1111A" w:rsidP="008D1BBC">
            <w:pPr>
              <w:rPr>
                <w:rFonts w:ascii="Sylfaen" w:hAnsi="Sylfaen"/>
                <w:lang w:val="hy-AM"/>
              </w:rPr>
            </w:pPr>
          </w:p>
        </w:tc>
      </w:tr>
      <w:tr w:rsidR="00CD3635" w:rsidRPr="0032010E" w14:paraId="271ACC98" w14:textId="77777777" w:rsidTr="00B440F4">
        <w:trPr>
          <w:trHeight w:val="674"/>
        </w:trPr>
        <w:tc>
          <w:tcPr>
            <w:tcW w:w="12443" w:type="dxa"/>
            <w:gridSpan w:val="4"/>
            <w:vMerge w:val="restart"/>
            <w:shd w:val="clear" w:color="auto" w:fill="D9D9D9" w:themeFill="background1" w:themeFillShade="D9"/>
          </w:tcPr>
          <w:p w14:paraId="35B2EE94" w14:textId="77777777" w:rsidR="00CD3635" w:rsidRDefault="00CD3635" w:rsidP="00B440F4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  <w:p w14:paraId="2C778313" w14:textId="77777777" w:rsidR="00CD3635" w:rsidRPr="009A6D3D" w:rsidRDefault="00CD3635" w:rsidP="00B440F4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5</w:t>
            </w:r>
            <w:r>
              <w:rPr>
                <w:rFonts w:ascii="MS Gothic" w:eastAsia="MS Gothic" w:hAnsi="MS Gothic" w:cs="MS Gothic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․</w:t>
            </w:r>
            <w:r w:rsidRPr="009A6D3D"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ՀՀ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>վարչապետի աշխատակազմ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EC4B89" w14:textId="77777777" w:rsidR="00CD3635" w:rsidRPr="0032010E" w:rsidRDefault="00CD3635" w:rsidP="00B440F4">
            <w:pPr>
              <w:spacing w:before="240"/>
              <w:jc w:val="center"/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color w:val="000000"/>
                <w:sz w:val="24"/>
                <w:szCs w:val="24"/>
              </w:rPr>
              <w:t>07</w:t>
            </w:r>
            <w:r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.0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</w:rPr>
              <w:t>7</w:t>
            </w:r>
            <w:r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2</w:t>
            </w:r>
            <w:r w:rsidRPr="00EA2819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թ</w:t>
            </w:r>
          </w:p>
        </w:tc>
      </w:tr>
      <w:tr w:rsidR="00CD3635" w:rsidRPr="00EA2819" w14:paraId="0448F975" w14:textId="77777777" w:rsidTr="00CD3635">
        <w:trPr>
          <w:trHeight w:val="575"/>
        </w:trPr>
        <w:tc>
          <w:tcPr>
            <w:tcW w:w="12443" w:type="dxa"/>
            <w:gridSpan w:val="4"/>
            <w:vMerge/>
            <w:shd w:val="clear" w:color="auto" w:fill="D9D9D9" w:themeFill="background1" w:themeFillShade="D9"/>
          </w:tcPr>
          <w:p w14:paraId="4A27A694" w14:textId="77777777" w:rsidR="00CD3635" w:rsidRDefault="00CD3635" w:rsidP="00B440F4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2E60EB" w14:textId="77777777" w:rsidR="00CD3635" w:rsidRPr="000A75DC" w:rsidRDefault="00CD3635" w:rsidP="00B440F4">
            <w:pPr>
              <w:spacing w:before="240"/>
              <w:jc w:val="center"/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</w:pPr>
            <w:r w:rsidRPr="000A75DC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ԿԱ/187-2022</w:t>
            </w:r>
          </w:p>
        </w:tc>
      </w:tr>
      <w:tr w:rsidR="00CD3635" w:rsidRPr="008D1BBC" w14:paraId="0DDCC8FD" w14:textId="77777777" w:rsidTr="00DE4DA7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7583" w:type="dxa"/>
            <w:gridSpan w:val="2"/>
          </w:tcPr>
          <w:p w14:paraId="7E96A822" w14:textId="7934E506" w:rsidR="00CD3635" w:rsidRDefault="00CD3635" w:rsidP="00B440F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  1</w:t>
            </w:r>
            <w:r>
              <w:rPr>
                <w:rFonts w:ascii="MS Gothic" w:eastAsia="MS Gothic" w:hAnsi="MS Gothic" w:cs="MS Gothic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MS Gothic" w:hAnsi="GHEA Grapalat" w:cs="Courier New"/>
                <w:sz w:val="24"/>
                <w:szCs w:val="24"/>
                <w:lang w:val="hy-AM"/>
              </w:rPr>
              <w:t>Վարչապետի աշխատակազմի տեսչական մարմինների աշխատանքների համակարգման գրասենյակի ղեկավար Արթուր Ասոյանի առաջարկությամբ կքննարկվի որոշման նախագծում առանձին կետ նախատեսելու</w:t>
            </w:r>
            <w:r w:rsidR="001C585E">
              <w:rPr>
                <w:rFonts w:ascii="GHEA Grapalat" w:eastAsia="MS Gothic" w:hAnsi="GHEA Grapalat" w:cs="Courier New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MS Gothic" w:hAnsi="GHEA Grapalat" w:cs="Courier New"/>
                <w:sz w:val="24"/>
                <w:szCs w:val="24"/>
                <w:lang w:val="hy-AM"/>
              </w:rPr>
              <w:t>նպատակահարմարության հարցը</w:t>
            </w:r>
            <w:r w:rsidR="001C585E">
              <w:rPr>
                <w:rFonts w:ascii="GHEA Grapalat" w:eastAsia="MS Gothic" w:hAnsi="GHEA Grapalat" w:cs="Courier New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MS Gothic" w:hAnsi="GHEA Grapalat" w:cs="Courier New"/>
                <w:sz w:val="24"/>
                <w:szCs w:val="24"/>
                <w:lang w:val="hy-AM"/>
              </w:rPr>
              <w:t>որով կձևակերպվի հստակ պահանջ նվիրաբերվող գույքը</w:t>
            </w:r>
            <w:r w:rsidR="001C585E">
              <w:rPr>
                <w:rFonts w:ascii="GHEA Grapalat" w:eastAsia="MS Gothic" w:hAnsi="GHEA Grapalat" w:cs="Courier New"/>
                <w:sz w:val="24"/>
                <w:szCs w:val="24"/>
                <w:lang w:val="hy-AM"/>
              </w:rPr>
              <w:t>,</w:t>
            </w:r>
            <w:r>
              <w:rPr>
                <w:rFonts w:ascii="GHEA Grapalat" w:eastAsia="MS Gothic" w:hAnsi="GHEA Grapalat" w:cs="Courier New"/>
                <w:sz w:val="24"/>
                <w:szCs w:val="24"/>
                <w:lang w:val="hy-AM"/>
              </w:rPr>
              <w:t xml:space="preserve"> վճարովի հիմունքներով, նաև այլ սուբյեկտների (մասնավորապես՝ սպանդանոցների մասով առկա խնդրի լուծման նպատակով) սպասարկման համար շահագործելու 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74BD2E1D" w14:textId="77777777" w:rsidR="00CD3635" w:rsidRPr="00861771" w:rsidRDefault="00CD3635" w:rsidP="00B440F4">
            <w:pPr>
              <w:tabs>
                <w:tab w:val="left" w:pos="363"/>
              </w:tabs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  2</w:t>
            </w:r>
            <w:r>
              <w:rPr>
                <w:rFonts w:ascii="MS Gothic" w:eastAsia="MS Gothic" w:hAnsi="MS Gothic" w:cs="MS Gothic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Վարչապետի աշխատակազմի ղեկավարի տեղակալ Սարգիս Թորոսյանի հետ ևս մեկ անգամ կքննարկվի որոշման նախագծի ընդունման իրավական հիմքը և Կառավարության նիստի քննարկմանը կներկայացվի փոխհամաձայնեցված տարբերակ։</w:t>
            </w:r>
          </w:p>
        </w:tc>
        <w:tc>
          <w:tcPr>
            <w:tcW w:w="7447" w:type="dxa"/>
            <w:gridSpan w:val="3"/>
          </w:tcPr>
          <w:p w14:paraId="189F01DA" w14:textId="77777777" w:rsidR="00CD3635" w:rsidRPr="00093D99" w:rsidRDefault="00CD3635" w:rsidP="00B440F4">
            <w:pPr>
              <w:spacing w:line="360" w:lineRule="auto"/>
              <w:ind w:right="76" w:firstLine="21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  <w:r w:rsidRPr="00093D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Է</w:t>
            </w:r>
            <w:r w:rsidRPr="00093D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։</w:t>
            </w:r>
          </w:p>
          <w:p w14:paraId="2716D0A7" w14:textId="77777777" w:rsidR="00CD3635" w:rsidRDefault="00CD3635" w:rsidP="00B440F4">
            <w:pPr>
              <w:rPr>
                <w:rFonts w:ascii="Sylfaen" w:hAnsi="Sylfaen"/>
                <w:lang w:val="hy-AM"/>
              </w:rPr>
            </w:pPr>
          </w:p>
          <w:p w14:paraId="314F62F2" w14:textId="77777777" w:rsidR="00CD3635" w:rsidRPr="008D1BBC" w:rsidRDefault="00CD3635" w:rsidP="00B440F4">
            <w:pPr>
              <w:rPr>
                <w:rFonts w:ascii="Sylfaen" w:hAnsi="Sylfaen"/>
                <w:lang w:val="hy-AM"/>
              </w:rPr>
            </w:pPr>
          </w:p>
          <w:p w14:paraId="4D93B44E" w14:textId="77777777" w:rsidR="00CD3635" w:rsidRPr="008D1BBC" w:rsidRDefault="00CD3635" w:rsidP="00B440F4">
            <w:pPr>
              <w:rPr>
                <w:rFonts w:ascii="Sylfaen" w:hAnsi="Sylfaen"/>
                <w:lang w:val="hy-AM"/>
              </w:rPr>
            </w:pPr>
          </w:p>
          <w:p w14:paraId="3678FEBC" w14:textId="77777777" w:rsidR="00CD3635" w:rsidRPr="008D1BBC" w:rsidRDefault="00CD3635" w:rsidP="00B440F4">
            <w:pPr>
              <w:rPr>
                <w:rFonts w:ascii="Sylfaen" w:hAnsi="Sylfaen"/>
                <w:lang w:val="hy-AM"/>
              </w:rPr>
            </w:pPr>
          </w:p>
          <w:p w14:paraId="5AD14970" w14:textId="77777777" w:rsidR="00CD3635" w:rsidRDefault="00CD3635" w:rsidP="00B440F4">
            <w:pPr>
              <w:rPr>
                <w:rFonts w:ascii="Sylfaen" w:hAnsi="Sylfaen"/>
                <w:lang w:val="hy-AM"/>
              </w:rPr>
            </w:pPr>
          </w:p>
          <w:p w14:paraId="29FB310B" w14:textId="77777777" w:rsidR="00CD3635" w:rsidRPr="00093D99" w:rsidRDefault="00CD3635" w:rsidP="00B440F4">
            <w:pPr>
              <w:spacing w:line="360" w:lineRule="auto"/>
              <w:ind w:right="76" w:firstLine="211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  <w:r w:rsidRPr="00093D9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Է։</w:t>
            </w:r>
          </w:p>
          <w:p w14:paraId="2495474B" w14:textId="77777777" w:rsidR="00CD3635" w:rsidRPr="008D1BBC" w:rsidRDefault="00CD3635" w:rsidP="00B440F4">
            <w:pPr>
              <w:rPr>
                <w:rFonts w:ascii="Sylfaen" w:hAnsi="Sylfaen"/>
                <w:lang w:val="hy-AM"/>
              </w:rPr>
            </w:pPr>
          </w:p>
        </w:tc>
      </w:tr>
      <w:bookmarkEnd w:id="0"/>
    </w:tbl>
    <w:p w14:paraId="6A1742FC" w14:textId="77777777" w:rsidR="00CD3635" w:rsidRPr="000A75DC" w:rsidRDefault="00CD3635" w:rsidP="00DE4DA7">
      <w:pPr>
        <w:rPr>
          <w:lang w:val="hy-AM"/>
        </w:rPr>
      </w:pPr>
    </w:p>
    <w:sectPr w:rsidR="00CD3635" w:rsidRPr="000A75DC" w:rsidSect="001168BA">
      <w:footerReference w:type="default" r:id="rId7"/>
      <w:pgSz w:w="15840" w:h="12240" w:orient="landscape" w:code="1"/>
      <w:pgMar w:top="1138" w:right="1008" w:bottom="1440" w:left="12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99D2" w14:textId="77777777" w:rsidR="006C2291" w:rsidRDefault="006C2291" w:rsidP="00DE4DA7">
      <w:pPr>
        <w:spacing w:after="0" w:line="240" w:lineRule="auto"/>
      </w:pPr>
      <w:r>
        <w:separator/>
      </w:r>
    </w:p>
  </w:endnote>
  <w:endnote w:type="continuationSeparator" w:id="0">
    <w:p w14:paraId="12227AE0" w14:textId="77777777" w:rsidR="006C2291" w:rsidRDefault="006C2291" w:rsidP="00DE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1746" w14:textId="3E1974BD" w:rsidR="00DE4DA7" w:rsidRDefault="00DE4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3FA6" w14:textId="77777777" w:rsidR="006C2291" w:rsidRDefault="006C2291" w:rsidP="00DE4DA7">
      <w:pPr>
        <w:spacing w:after="0" w:line="240" w:lineRule="auto"/>
      </w:pPr>
      <w:r>
        <w:separator/>
      </w:r>
    </w:p>
  </w:footnote>
  <w:footnote w:type="continuationSeparator" w:id="0">
    <w:p w14:paraId="6CB777B3" w14:textId="77777777" w:rsidR="006C2291" w:rsidRDefault="006C2291" w:rsidP="00DE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1AC6"/>
    <w:multiLevelType w:val="hybridMultilevel"/>
    <w:tmpl w:val="B5DEB4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465201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DEF"/>
    <w:rsid w:val="000517C0"/>
    <w:rsid w:val="00081372"/>
    <w:rsid w:val="001168BA"/>
    <w:rsid w:val="00163D59"/>
    <w:rsid w:val="001C585E"/>
    <w:rsid w:val="001C70AA"/>
    <w:rsid w:val="002E454A"/>
    <w:rsid w:val="00303367"/>
    <w:rsid w:val="0032010E"/>
    <w:rsid w:val="003607FA"/>
    <w:rsid w:val="003F2603"/>
    <w:rsid w:val="003F7054"/>
    <w:rsid w:val="00443661"/>
    <w:rsid w:val="0053307D"/>
    <w:rsid w:val="00563164"/>
    <w:rsid w:val="00586B7D"/>
    <w:rsid w:val="00654694"/>
    <w:rsid w:val="0068350D"/>
    <w:rsid w:val="006C2291"/>
    <w:rsid w:val="006D0EC6"/>
    <w:rsid w:val="006E1196"/>
    <w:rsid w:val="00745FE3"/>
    <w:rsid w:val="007A22EE"/>
    <w:rsid w:val="008210B0"/>
    <w:rsid w:val="00866E27"/>
    <w:rsid w:val="008D1BBC"/>
    <w:rsid w:val="0099186C"/>
    <w:rsid w:val="009B7A30"/>
    <w:rsid w:val="00A258E3"/>
    <w:rsid w:val="00A764A8"/>
    <w:rsid w:val="00B36656"/>
    <w:rsid w:val="00B775C1"/>
    <w:rsid w:val="00BD37E7"/>
    <w:rsid w:val="00BF1AB7"/>
    <w:rsid w:val="00C13DDB"/>
    <w:rsid w:val="00C22844"/>
    <w:rsid w:val="00C51829"/>
    <w:rsid w:val="00C866E8"/>
    <w:rsid w:val="00C86CB4"/>
    <w:rsid w:val="00CD3635"/>
    <w:rsid w:val="00DA43B5"/>
    <w:rsid w:val="00DB3238"/>
    <w:rsid w:val="00DE4DA7"/>
    <w:rsid w:val="00DE6304"/>
    <w:rsid w:val="00DF0746"/>
    <w:rsid w:val="00E1111A"/>
    <w:rsid w:val="00F84DEF"/>
    <w:rsid w:val="00FA2167"/>
    <w:rsid w:val="00FC1E5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05FA"/>
  <w15:docId w15:val="{3D26093A-7974-469F-8AED-8056367C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603"/>
    <w:pPr>
      <w:spacing w:after="200" w:line="276" w:lineRule="auto"/>
      <w:ind w:left="720"/>
      <w:contextualSpacing/>
    </w:pPr>
    <w:rPr>
      <w:rFonts w:ascii="GHEA Grapalat" w:hAnsi="GHEA Grapalat"/>
    </w:rPr>
  </w:style>
  <w:style w:type="paragraph" w:customStyle="1" w:styleId="dec-name">
    <w:name w:val="dec-name"/>
    <w:basedOn w:val="Normal"/>
    <w:rsid w:val="003F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E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A7"/>
  </w:style>
  <w:style w:type="paragraph" w:styleId="Footer">
    <w:name w:val="footer"/>
    <w:basedOn w:val="Normal"/>
    <w:link w:val="FooterChar"/>
    <w:uiPriority w:val="99"/>
    <w:unhideWhenUsed/>
    <w:rsid w:val="00DE4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Bznuni</dc:creator>
  <cp:keywords/>
  <dc:description/>
  <cp:lastModifiedBy>Lilit S. Bznuni</cp:lastModifiedBy>
  <cp:revision>43</cp:revision>
  <dcterms:created xsi:type="dcterms:W3CDTF">2022-03-18T11:47:00Z</dcterms:created>
  <dcterms:modified xsi:type="dcterms:W3CDTF">2022-08-12T12:16:00Z</dcterms:modified>
</cp:coreProperties>
</file>