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0B5" w:rsidRPr="00D67B66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D67B66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D67B66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p w:rsidR="0082115F" w:rsidRPr="00D67B66" w:rsidRDefault="0082115F" w:rsidP="005F7DAC">
      <w:pPr>
        <w:pStyle w:val="NoSpacing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67B6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5F7DAC" w:rsidRPr="00D67B66">
        <w:rPr>
          <w:rFonts w:ascii="GHEA Grapalat" w:hAnsi="GHEA Grapalat" w:cs="Sylfaen"/>
          <w:b/>
          <w:sz w:val="24"/>
          <w:szCs w:val="24"/>
        </w:rPr>
        <w:t>ՀԱՅԱՍՏԱՆԻ</w:t>
      </w:r>
      <w:r w:rsidR="005F7DAC" w:rsidRPr="00D67B6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F7DAC" w:rsidRPr="00D67B66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5F7DAC" w:rsidRPr="00D67B6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F7DAC" w:rsidRPr="00D67B66">
        <w:rPr>
          <w:rFonts w:ascii="GHEA Grapalat" w:hAnsi="GHEA Grapalat" w:cs="Sylfaen"/>
          <w:b/>
          <w:sz w:val="24"/>
          <w:szCs w:val="24"/>
        </w:rPr>
        <w:t>ԿԱՌԱՎԱՐՈՒԹՅԱՆ</w:t>
      </w:r>
      <w:r w:rsidR="005F7DAC" w:rsidRPr="00D67B66">
        <w:rPr>
          <w:rFonts w:ascii="GHEA Grapalat" w:hAnsi="GHEA Grapalat" w:cs="Sylfaen"/>
          <w:b/>
          <w:sz w:val="24"/>
          <w:szCs w:val="24"/>
          <w:lang w:val="af-ZA"/>
        </w:rPr>
        <w:t xml:space="preserve"> 2015 </w:t>
      </w:r>
      <w:r w:rsidR="005F7DAC" w:rsidRPr="00D67B66">
        <w:rPr>
          <w:rFonts w:ascii="GHEA Grapalat" w:hAnsi="GHEA Grapalat" w:cs="Sylfaen"/>
          <w:b/>
          <w:sz w:val="24"/>
          <w:szCs w:val="24"/>
        </w:rPr>
        <w:t>ԹՎԱԿԱՆԻ</w:t>
      </w:r>
      <w:r w:rsidR="005F7DAC" w:rsidRPr="00D67B6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F7DAC" w:rsidRPr="00D67B66">
        <w:rPr>
          <w:rFonts w:ascii="GHEA Grapalat" w:hAnsi="GHEA Grapalat" w:cs="Sylfaen"/>
          <w:b/>
          <w:sz w:val="24"/>
          <w:szCs w:val="24"/>
        </w:rPr>
        <w:t>ՆՈՅԵՄԲԵՐԻ</w:t>
      </w:r>
      <w:r w:rsidR="005F7DAC" w:rsidRPr="00D67B66">
        <w:rPr>
          <w:rFonts w:ascii="GHEA Grapalat" w:hAnsi="GHEA Grapalat" w:cs="Sylfaen"/>
          <w:b/>
          <w:sz w:val="24"/>
          <w:szCs w:val="24"/>
          <w:lang w:val="af-ZA"/>
        </w:rPr>
        <w:t xml:space="preserve"> 5-</w:t>
      </w:r>
      <w:r w:rsidR="005F7DAC" w:rsidRPr="00D67B66">
        <w:rPr>
          <w:rFonts w:ascii="GHEA Grapalat" w:hAnsi="GHEA Grapalat" w:cs="Sylfaen"/>
          <w:b/>
          <w:sz w:val="24"/>
          <w:szCs w:val="24"/>
        </w:rPr>
        <w:t>Ի</w:t>
      </w:r>
      <w:r w:rsidR="005F7DAC" w:rsidRPr="00D67B66">
        <w:rPr>
          <w:rFonts w:ascii="GHEA Grapalat" w:hAnsi="GHEA Grapalat" w:cs="Sylfaen"/>
          <w:b/>
          <w:sz w:val="24"/>
          <w:szCs w:val="24"/>
          <w:lang w:val="af-ZA"/>
        </w:rPr>
        <w:t xml:space="preserve"> № 1282-</w:t>
      </w:r>
      <w:r w:rsidR="005F7DAC" w:rsidRPr="00D67B66">
        <w:rPr>
          <w:rFonts w:ascii="GHEA Grapalat" w:hAnsi="GHEA Grapalat" w:cs="Sylfaen"/>
          <w:b/>
          <w:sz w:val="24"/>
          <w:szCs w:val="24"/>
        </w:rPr>
        <w:t>Ն</w:t>
      </w:r>
      <w:r w:rsidR="005F7DAC" w:rsidRPr="00D67B6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F7DAC" w:rsidRPr="00D67B66">
        <w:rPr>
          <w:rFonts w:ascii="GHEA Grapalat" w:hAnsi="GHEA Grapalat" w:cs="Sylfaen"/>
          <w:b/>
          <w:sz w:val="24"/>
          <w:szCs w:val="24"/>
        </w:rPr>
        <w:t>ՈՐՈՇՄԱՆ</w:t>
      </w:r>
      <w:r w:rsidR="005F7DAC" w:rsidRPr="00D67B6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F7DAC" w:rsidRPr="00D67B66">
        <w:rPr>
          <w:rFonts w:ascii="GHEA Grapalat" w:hAnsi="GHEA Grapalat" w:cs="Sylfaen"/>
          <w:b/>
          <w:sz w:val="24"/>
          <w:szCs w:val="24"/>
        </w:rPr>
        <w:t>ՄԵՋ</w:t>
      </w:r>
      <w:r w:rsidR="005F7DAC" w:rsidRPr="00D67B6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F7DAC" w:rsidRPr="00D67B66">
        <w:rPr>
          <w:rFonts w:ascii="GHEA Grapalat" w:hAnsi="GHEA Grapalat" w:cs="Sylfaen"/>
          <w:b/>
          <w:sz w:val="24"/>
          <w:szCs w:val="24"/>
        </w:rPr>
        <w:t>ՓՈՓՈԽՈՒԹՅՈՒՆՆԵՐ</w:t>
      </w:r>
      <w:r w:rsidR="005F7DAC" w:rsidRPr="00D67B66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="005F7DAC" w:rsidRPr="00D67B66">
        <w:rPr>
          <w:rFonts w:ascii="GHEA Grapalat" w:hAnsi="GHEA Grapalat" w:cs="Sylfaen"/>
          <w:b/>
          <w:sz w:val="24"/>
          <w:szCs w:val="24"/>
        </w:rPr>
        <w:t>ԿԱՏԱՐԵԼՈՒ</w:t>
      </w:r>
      <w:r w:rsidR="005F7DAC" w:rsidRPr="00D67B6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F7DAC" w:rsidRPr="00D67B66">
        <w:rPr>
          <w:rFonts w:ascii="GHEA Grapalat" w:hAnsi="GHEA Grapalat" w:cs="Sylfaen"/>
          <w:b/>
          <w:sz w:val="24"/>
          <w:szCs w:val="24"/>
        </w:rPr>
        <w:t>ՄԱՍԻՆ</w:t>
      </w:r>
      <w:r w:rsidRPr="00D67B66">
        <w:rPr>
          <w:rFonts w:ascii="GHEA Grapalat" w:hAnsi="GHEA Grapalat" w:cs="Sylfaen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0003B4" w:rsidRPr="00D67B66" w:rsidRDefault="000003B4" w:rsidP="000003B4">
      <w:pPr>
        <w:pStyle w:val="NoSpacing"/>
        <w:spacing w:line="360" w:lineRule="auto"/>
        <w:jc w:val="center"/>
        <w:rPr>
          <w:rFonts w:ascii="Arial Unicode" w:hAnsi="Arial Unicode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5276" w:type="dxa"/>
        <w:tblLook w:val="04A0" w:firstRow="1" w:lastRow="0" w:firstColumn="1" w:lastColumn="0" w:noHBand="0" w:noVBand="1"/>
      </w:tblPr>
      <w:tblGrid>
        <w:gridCol w:w="8612"/>
        <w:gridCol w:w="3103"/>
        <w:gridCol w:w="15"/>
        <w:gridCol w:w="3546"/>
      </w:tblGrid>
      <w:tr w:rsidR="00CE20B5" w:rsidRPr="00D67B66" w:rsidTr="00D67B66">
        <w:trPr>
          <w:trHeight w:val="20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:rsidR="00CE20B5" w:rsidRPr="00D67B66" w:rsidRDefault="00CE20B5" w:rsidP="00D67B66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 w:rsidRPr="00D67B66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1. ՀՀ</w:t>
            </w:r>
            <w:r w:rsidR="0082115F" w:rsidRPr="00D67B6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ֆ</w:t>
            </w:r>
            <w:proofErr w:type="spellStart"/>
            <w:r w:rsidR="0082115F" w:rsidRPr="00D67B6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ինանսների</w:t>
            </w:r>
            <w:proofErr w:type="spellEnd"/>
            <w:r w:rsidRPr="00D67B6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67B66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D67B66" w:rsidRDefault="005F7DAC" w:rsidP="00D41CC0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 w:rsidRPr="00D67B66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30.11</w:t>
            </w:r>
            <w:r w:rsidR="00CE20B5" w:rsidRPr="00D67B66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.202</w:t>
            </w:r>
            <w:r w:rsidR="00B14BC3" w:rsidRPr="00D67B66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D67B66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D67B66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D67B66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D67B66" w:rsidTr="00D67B66">
        <w:trPr>
          <w:trHeight w:val="20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D67B66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D67B66" w:rsidRDefault="003348D9" w:rsidP="00D41CC0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D67B66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 01</w:t>
            </w:r>
            <w:r w:rsidR="005F7DAC" w:rsidRPr="00D67B6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/34-3/20545-2022</w:t>
            </w:r>
          </w:p>
        </w:tc>
      </w:tr>
      <w:tr w:rsidR="00CE20B5" w:rsidRPr="00D67B66" w:rsidTr="00D67B66">
        <w:trPr>
          <w:trHeight w:val="20"/>
        </w:trPr>
        <w:tc>
          <w:tcPr>
            <w:tcW w:w="8612" w:type="dxa"/>
          </w:tcPr>
          <w:p w:rsidR="00D01635" w:rsidRPr="00D67B66" w:rsidRDefault="00D01635" w:rsidP="00D67B66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Քննարկելով Ձեր 18.11.202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2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թ. N01/31.2/28796-202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2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գրությամբ ներկայացված՝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«Հայաստանի Հանրապետության կառավարության 2015 թվականի նոյեմբերի 5-ի N 1282-Ն որոշման մեջ </w:t>
            </w:r>
            <w:proofErr w:type="spellStart"/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փոփոխություն</w:t>
            </w:r>
            <w:proofErr w:type="spellEnd"/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կատարելու մասին» ՀՀ կառավարության որոշման նախագիծը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(այսուհետ Նախագիծ), 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հայտնում ենք հետևյալը. </w:t>
            </w:r>
          </w:p>
          <w:p w:rsidR="00D01635" w:rsidRPr="00D67B66" w:rsidRDefault="00D01635" w:rsidP="00D67B66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Նախագծով, մասնավորապես՝ նախատեսվում է վերոհիշյալ որոշմամբ սահմանված օլիմպիական խաղերի ծրագրում ընդգրկված մարզաձևերի աշխարհի առաջնության, Եվրոպայի առաջնության և եվրոպական խաղերի մրցանակակիրների և մարզիչների դրամական մրցանակների չափերը կրկնապատկել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: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Վերջինով պայմանավորված, ըստ ներկայացված ֆինանսական գնահատականի, լրացուցիչ կպահանջվի 173.4 մլն դրամ:</w:t>
            </w:r>
          </w:p>
          <w:p w:rsidR="00D01635" w:rsidRPr="00D67B66" w:rsidRDefault="00D01635" w:rsidP="00D67B66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Այդ կապակցությամբ հայտնում ենք, որ ՀՀ վարչապետի մոտ 2022թ. նոյեմբերի 15-ին կայացած՝ ՀՀ 2022 թ. պետական բյուջեի կատարման 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ընթացքի մասին խորհրդակցության   N Վ/119-2022 արձանագրության (այսուհետ Արձանագրություն) 1-ին կետի 1-ին ենթակետի դ. մասով նախատեսվում է ՀՀ հավաքական թիմերի մարզիչների, օլիմպիական խաղերի, աշխարհի և շախմատի համաշխարհային օլիմպիադայի մրցանակակիրների դրամական վճարի չափերը սահմանել յուրաքանչյուրի համար 10.0 մլն դրամ (առանց հարկերի): </w:t>
            </w:r>
          </w:p>
          <w:p w:rsidR="00D01635" w:rsidRPr="00D67B66" w:rsidRDefault="00D01635" w:rsidP="00D67B66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Վերոհիշյալից ակնհայտ է, որ Արձանագրությամբ և Նախագծով նախատեսվող շահառուների շրջանակը և դրամական վճարի չափերը տարբերվում են, մասնավորապես՝ Արձանագրությամբ ներառված են օլիմպիական խաղերի, շախմատի համաշխարհային օլիմպիադայի մրցանակակիրները, իսկ Նախագծով վերջիններս ներառված չեն, փոխարենը ներառված են Եվրոպայի առաջնության և եվրոպական խաղերի մրցանակակիրները:</w:t>
            </w:r>
          </w:p>
          <w:p w:rsidR="00D01635" w:rsidRPr="00D67B66" w:rsidRDefault="00D01635" w:rsidP="00D67B66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Արձանագրությամբ առաջարկվում է յուրաքանչյուր մրցանակակիրի դրամական վճարի չափը սահմանել 10.0 մլն դրամ, իսկ Նախագծով  վերոհիշյալ որոշմամբ սահմանված մրցանակակիրների դրամական վճարների չափերը կրկնապատկվել են, այդ թվում՝ աշխարհի առաջնության 1-ին տեղը գրաված մարզիկի դրամական վճարի չափը՝ 10.0 մլն դրամ է, 2-րդ տեղը գրաված մարզիկի՝ 7.0 մլն դրամ, 3-րդ տեղը գրաված մարզիկի՝ 4.0 մլն դրամ, Եվրոպայի առաջնության  1-ին տեղը գրաված մարզիկի դրամական վճարի չափը՝ 6.0 մլն դրամ է, 2-րդ տեղը գրաված մարզիկի՝ </w:t>
            </w: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3.6 մլն դրամ, 3-րդ տեղը գրաված մարզիկի՝ 2.4 մլն դրամ: Ընդ որում՝ գործող որոշմամբ օլիմպիական խաղերի 1-ին տեղը գրաված մարզիկի դրամական վճարի չափը՝ 25.0 մլն դրամ է, 2-րդ տեղը գրաված մարզիկի՝ 20.0 մլն դրամ, 3-րդ տեղը գրաված մարզիկի՝ 15.0 մլն դրամ: Տարբերվում են նաև մարզիչների դրամական վճարների չափերը:</w:t>
            </w:r>
          </w:p>
          <w:p w:rsidR="00CE20B5" w:rsidRPr="00D67B66" w:rsidRDefault="00D01635" w:rsidP="00D67B66">
            <w:pPr>
              <w:spacing w:line="360" w:lineRule="auto"/>
              <w:ind w:firstLine="567"/>
              <w:jc w:val="both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 Ելնելով վերոհիշյալից, անհրաժեշտ է համապատասխանեցնել Արձանագրությամբ և Նախագծով նախատեսվող շահառուների շրջանակը և դրամական վճարի չափերը:</w:t>
            </w:r>
          </w:p>
        </w:tc>
        <w:tc>
          <w:tcPr>
            <w:tcW w:w="6664" w:type="dxa"/>
            <w:gridSpan w:val="3"/>
          </w:tcPr>
          <w:p w:rsidR="00CE20B5" w:rsidRPr="00D67B66" w:rsidRDefault="00CE20B5" w:rsidP="00D67B66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D67B6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  <w:r w:rsidR="00D477B3" w:rsidRPr="00D67B66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 </w:t>
            </w:r>
            <w:r w:rsidR="00E64EFC" w:rsidRPr="00D67B6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ընդունվել:</w:t>
            </w:r>
          </w:p>
          <w:p w:rsidR="00CE20B5" w:rsidRPr="00D67B66" w:rsidRDefault="00D01635" w:rsidP="00D67B6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  <w:r w:rsidRPr="00D67B6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 կրթության, գիտության, մշակույթի և սպորտի նախարարության պատասխան գրությամբ ներկայացվել է  պարզաբանում:</w:t>
            </w:r>
          </w:p>
        </w:tc>
      </w:tr>
      <w:tr w:rsidR="00F74067" w:rsidRPr="00D67B66" w:rsidTr="00D67B66">
        <w:trPr>
          <w:trHeight w:val="20"/>
        </w:trPr>
        <w:tc>
          <w:tcPr>
            <w:tcW w:w="1171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F74067" w:rsidRPr="00D67B66" w:rsidRDefault="00F74067" w:rsidP="00D67B6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D67B6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2. ՀՀ արդարադատության նախարարություն</w:t>
            </w: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F74067" w:rsidRPr="00D67B66" w:rsidRDefault="00F74067" w:rsidP="00D67B66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D67B6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12.12.2022 թ.</w:t>
            </w:r>
          </w:p>
        </w:tc>
      </w:tr>
      <w:tr w:rsidR="00F74067" w:rsidRPr="00D67B66" w:rsidTr="00D67B66">
        <w:trPr>
          <w:trHeight w:val="20"/>
        </w:trPr>
        <w:tc>
          <w:tcPr>
            <w:tcW w:w="11715" w:type="dxa"/>
            <w:gridSpan w:val="2"/>
            <w:vMerge/>
            <w:shd w:val="clear" w:color="auto" w:fill="D9D9D9" w:themeFill="background1" w:themeFillShade="D9"/>
          </w:tcPr>
          <w:p w:rsidR="00F74067" w:rsidRPr="00D67B66" w:rsidRDefault="00F74067" w:rsidP="00D01635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F74067" w:rsidRPr="00D67B66" w:rsidRDefault="00F74067" w:rsidP="00F74067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D67B6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№ /27.3/55743-2022</w:t>
            </w:r>
          </w:p>
        </w:tc>
      </w:tr>
      <w:tr w:rsidR="00F74067" w:rsidRPr="00D67B66" w:rsidTr="00D67B66">
        <w:trPr>
          <w:trHeight w:val="20"/>
        </w:trPr>
        <w:tc>
          <w:tcPr>
            <w:tcW w:w="8612" w:type="dxa"/>
          </w:tcPr>
          <w:p w:rsidR="00F74067" w:rsidRPr="00D67B66" w:rsidRDefault="00000127" w:rsidP="00D01635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«Հայաստանի Հանրապետության կառավարության 2015 թվականի նոյեմբերի 5-ի № 1282-Ն որոշման մեջ փոփոխություններ կատարելու մասին» Հայաստանի Հանրապետության կ</w:t>
            </w:r>
            <w:bookmarkStart w:id="0" w:name="_GoBack"/>
            <w:bookmarkEnd w:id="0"/>
            <w:r w:rsidRPr="00D67B6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առավարության որոշման նախագծի նախաբանից անհրաժեշտ է հանել «Ֆիզիկական կուլտուրայի և սպորտի մասին» օրենքի 7-րդ հոդվածի «դ» կետի «դ.6» ենթակետին և «Նորմատիվ իրավական ակտերի մասին» 36-րդ հոդվածի 6-րդ մասին կատարված հղումները, քանի որ դրանք Նախագծի ընդունման համար լիազորող նորմեր չեն հանդիսանում:</w:t>
            </w:r>
          </w:p>
        </w:tc>
        <w:tc>
          <w:tcPr>
            <w:tcW w:w="6664" w:type="dxa"/>
            <w:gridSpan w:val="3"/>
          </w:tcPr>
          <w:p w:rsidR="00F74067" w:rsidRPr="00D67B66" w:rsidRDefault="00D67B66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D67B6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</w:t>
            </w:r>
            <w:r w:rsidR="00000127" w:rsidRPr="00D67B6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նդունվել</w:t>
            </w:r>
            <w:r w:rsidRPr="00D67B6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է</w:t>
            </w:r>
            <w:r w:rsidR="00000127" w:rsidRPr="00D67B6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000127" w:rsidRPr="00D67B66" w:rsidRDefault="00D67B66" w:rsidP="00FC6DC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D67B6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Նախագծում կատարվել են համապատասխան փոփոխություններ:</w:t>
            </w:r>
          </w:p>
        </w:tc>
      </w:tr>
    </w:tbl>
    <w:p w:rsidR="000B7228" w:rsidRPr="00D67B66" w:rsidRDefault="000B7228" w:rsidP="0044101E">
      <w:pPr>
        <w:rPr>
          <w:sz w:val="24"/>
          <w:szCs w:val="24"/>
          <w:lang w:val="af-ZA"/>
        </w:rPr>
      </w:pPr>
    </w:p>
    <w:sectPr w:rsidR="000B7228" w:rsidRPr="00D67B66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4BEA"/>
    <w:rsid w:val="00000127"/>
    <w:rsid w:val="000003B4"/>
    <w:rsid w:val="0007525C"/>
    <w:rsid w:val="000815CC"/>
    <w:rsid w:val="000B7228"/>
    <w:rsid w:val="001518A0"/>
    <w:rsid w:val="002014FC"/>
    <w:rsid w:val="00253C95"/>
    <w:rsid w:val="00277529"/>
    <w:rsid w:val="002D306B"/>
    <w:rsid w:val="00333746"/>
    <w:rsid w:val="003348D9"/>
    <w:rsid w:val="0044101E"/>
    <w:rsid w:val="00446EE0"/>
    <w:rsid w:val="005013A8"/>
    <w:rsid w:val="005013D7"/>
    <w:rsid w:val="005412BF"/>
    <w:rsid w:val="00572B92"/>
    <w:rsid w:val="005752AE"/>
    <w:rsid w:val="005F0543"/>
    <w:rsid w:val="005F23E2"/>
    <w:rsid w:val="005F7DAC"/>
    <w:rsid w:val="00614BEA"/>
    <w:rsid w:val="00621166"/>
    <w:rsid w:val="006271DB"/>
    <w:rsid w:val="00657D51"/>
    <w:rsid w:val="006D32C8"/>
    <w:rsid w:val="00721E61"/>
    <w:rsid w:val="007C764A"/>
    <w:rsid w:val="00803EDF"/>
    <w:rsid w:val="0082115F"/>
    <w:rsid w:val="00835639"/>
    <w:rsid w:val="00903B85"/>
    <w:rsid w:val="0090685A"/>
    <w:rsid w:val="00911AF5"/>
    <w:rsid w:val="009E0334"/>
    <w:rsid w:val="00AA6DCB"/>
    <w:rsid w:val="00B14BC3"/>
    <w:rsid w:val="00C24B8A"/>
    <w:rsid w:val="00C81E20"/>
    <w:rsid w:val="00CB516F"/>
    <w:rsid w:val="00CD2A3C"/>
    <w:rsid w:val="00CE20B5"/>
    <w:rsid w:val="00D01635"/>
    <w:rsid w:val="00D05F7E"/>
    <w:rsid w:val="00D41CC0"/>
    <w:rsid w:val="00D477B3"/>
    <w:rsid w:val="00D67B66"/>
    <w:rsid w:val="00D67E89"/>
    <w:rsid w:val="00E64EFC"/>
    <w:rsid w:val="00EA65D3"/>
    <w:rsid w:val="00EB1019"/>
    <w:rsid w:val="00EC52BA"/>
    <w:rsid w:val="00F0179E"/>
    <w:rsid w:val="00F74067"/>
    <w:rsid w:val="00FC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5AA89"/>
  <w15:docId w15:val="{DE0E259A-D97D-4B0E-9D16-41677FA3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TableGrid">
    <w:name w:val="Table Grid"/>
    <w:basedOn w:val="TableNormal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Armenak Khachatryan</cp:lastModifiedBy>
  <cp:revision>52</cp:revision>
  <dcterms:created xsi:type="dcterms:W3CDTF">2021-11-01T08:12:00Z</dcterms:created>
  <dcterms:modified xsi:type="dcterms:W3CDTF">2022-12-14T16:15:00Z</dcterms:modified>
</cp:coreProperties>
</file>