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13784" w14:textId="77777777" w:rsidR="001F4FBD" w:rsidRDefault="00000000">
      <w:pPr>
        <w:shd w:val="clear" w:color="auto" w:fill="FFFFFF"/>
        <w:spacing w:after="0" w:line="24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br/>
        <w:t>ԱՄՓՈՓԱԹԵՐԹ</w:t>
      </w:r>
    </w:p>
    <w:p w14:paraId="30EB90A8" w14:textId="77777777" w:rsidR="001F4FBD" w:rsidRDefault="001F4FBD">
      <w:pPr>
        <w:shd w:val="clear" w:color="auto" w:fill="FFFFFF"/>
        <w:spacing w:after="0" w:line="240" w:lineRule="auto"/>
        <w:jc w:val="center"/>
        <w:rPr>
          <w:rFonts w:ascii="GHEA Grapalat" w:eastAsia="GHEA Grapalat" w:hAnsi="GHEA Grapalat" w:cs="GHEA Grapalat"/>
          <w:b/>
          <w:color w:val="000000"/>
          <w:sz w:val="24"/>
          <w:szCs w:val="24"/>
        </w:rPr>
      </w:pPr>
    </w:p>
    <w:p w14:paraId="58193E5E" w14:textId="77777777" w:rsidR="001F4FBD" w:rsidRDefault="00000000">
      <w:pPr>
        <w:shd w:val="clear" w:color="auto" w:fill="FFFFFF"/>
        <w:spacing w:after="0" w:line="24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highlight w:val="white"/>
        </w:rPr>
        <w:t>«ՀԱՅԱՍՏԱՆԻ ՏԵՔՍՏԻԼ ԱՐԴՅՈՒՆԱԲԵՐՈՒԹՅԱՆ ԶԱՐԳԱՑՄԱՆ ՌԱԶՄԱՎԱՐՈՒԹՅՈՒՆԸ և ԴՐԱՆԻՑ ԲԽՈՂ 2023-2026 ԹՎԱԿԱՆՆԵՐԻ ԳՈՐԾՈՂՈՒԹՅՈՒՆՆԵՐԻ ԾՐԱԳԻՐԸ ՀԱՍՏԱՏԵԼՈՒ ՄԱՍԻՆ» ՀՀ ԿԱՌԱՎԱՐՈՒԹՅԱՆ ՈՐՈՇՄԱՆ</w:t>
      </w:r>
      <w:r>
        <w:rPr>
          <w:rFonts w:ascii="GHEA Grapalat" w:eastAsia="GHEA Grapalat" w:hAnsi="GHEA Grapalat" w:cs="GHEA Grapalat"/>
          <w:b/>
          <w:color w:val="000000"/>
          <w:sz w:val="24"/>
          <w:szCs w:val="24"/>
        </w:rPr>
        <w:t xml:space="preserve"> ՆԱԽԱԳԾԻ ԸՆԴՈՒՆՄԱՆ (</w:t>
      </w:r>
      <w:r>
        <w:rPr>
          <w:rFonts w:ascii="GHEA Grapalat" w:eastAsia="GHEA Grapalat" w:hAnsi="GHEA Grapalat" w:cs="GHEA Grapalat"/>
          <w:sz w:val="24"/>
          <w:szCs w:val="24"/>
        </w:rPr>
        <w:t>Ֆինանսատնտեսական նախարարական կոմիտեի 26.12.2022թ. նիստի N ԿԱ/382-2022 արձանագրության 10-րդ կետի համաձայն)</w:t>
      </w:r>
    </w:p>
    <w:p w14:paraId="5B7A84F9" w14:textId="77777777" w:rsidR="001F4FBD" w:rsidRDefault="001F4FBD">
      <w:pPr>
        <w:spacing w:after="0" w:line="240" w:lineRule="auto"/>
        <w:rPr>
          <w:color w:val="000000"/>
          <w:sz w:val="24"/>
          <w:szCs w:val="24"/>
        </w:rPr>
      </w:pPr>
    </w:p>
    <w:p w14:paraId="064C22B8" w14:textId="77777777" w:rsidR="001F4FBD" w:rsidRDefault="001F4FBD">
      <w:pPr>
        <w:spacing w:after="0" w:line="240" w:lineRule="auto"/>
        <w:rPr>
          <w:color w:val="000000"/>
          <w:sz w:val="24"/>
          <w:szCs w:val="24"/>
        </w:rPr>
      </w:pPr>
    </w:p>
    <w:tbl>
      <w:tblPr>
        <w:tblStyle w:val="a0"/>
        <w:tblW w:w="148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15"/>
        <w:gridCol w:w="7065"/>
      </w:tblGrid>
      <w:tr w:rsidR="001F4FBD" w14:paraId="388FAF0C" w14:textId="77777777">
        <w:trPr>
          <w:trHeight w:val="351"/>
        </w:trPr>
        <w:tc>
          <w:tcPr>
            <w:tcW w:w="7815" w:type="dxa"/>
            <w:vMerge w:val="restart"/>
            <w:shd w:val="clear" w:color="auto" w:fill="A6A6A6"/>
          </w:tcPr>
          <w:p w14:paraId="31DCB3A7" w14:textId="77777777" w:rsidR="001F4FBD" w:rsidRDefault="00000000">
            <w:pPr>
              <w:spacing w:after="0" w:line="240" w:lineRule="auto"/>
              <w:ind w:left="72" w:hanging="72"/>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1</w:t>
            </w:r>
            <w:r>
              <w:rPr>
                <w:rFonts w:ascii="Cambria Math" w:eastAsia="Cambria Math" w:hAnsi="Cambria Math" w:cs="Cambria Math"/>
                <w:b/>
                <w:color w:val="000000"/>
                <w:sz w:val="24"/>
                <w:szCs w:val="24"/>
              </w:rPr>
              <w:t>.</w:t>
            </w:r>
            <w:r>
              <w:rPr>
                <w:rFonts w:ascii="GHEA Grapalat" w:eastAsia="GHEA Grapalat" w:hAnsi="GHEA Grapalat" w:cs="GHEA Grapalat"/>
                <w:b/>
                <w:color w:val="000000"/>
                <w:sz w:val="24"/>
                <w:szCs w:val="24"/>
              </w:rPr>
              <w:t xml:space="preserve"> Առողջապահության նախարարություն</w:t>
            </w:r>
          </w:p>
        </w:tc>
        <w:tc>
          <w:tcPr>
            <w:tcW w:w="7065" w:type="dxa"/>
            <w:shd w:val="clear" w:color="auto" w:fill="A6A6A6"/>
          </w:tcPr>
          <w:p w14:paraId="7AE4DA17" w14:textId="77777777" w:rsidR="001F4FBD" w:rsidRDefault="00000000">
            <w:pPr>
              <w:spacing w:after="0" w:line="240" w:lineRule="auto"/>
              <w:jc w:val="center"/>
              <w:rPr>
                <w:rFonts w:ascii="GHEA Grapalat" w:eastAsia="GHEA Grapalat" w:hAnsi="GHEA Grapalat" w:cs="GHEA Grapalat"/>
                <w:color w:val="000000"/>
                <w:sz w:val="24"/>
                <w:szCs w:val="24"/>
                <w:highlight w:val="darkGray"/>
              </w:rPr>
            </w:pPr>
            <w:r>
              <w:rPr>
                <w:rFonts w:ascii="GHEA Grapalat" w:eastAsia="GHEA Grapalat" w:hAnsi="GHEA Grapalat" w:cs="GHEA Grapalat"/>
                <w:color w:val="000000"/>
                <w:sz w:val="24"/>
                <w:szCs w:val="24"/>
                <w:highlight w:val="darkGray"/>
              </w:rPr>
              <w:t>05.01.2023</w:t>
            </w:r>
          </w:p>
        </w:tc>
      </w:tr>
      <w:tr w:rsidR="001F4FBD" w14:paraId="3B6A70D2" w14:textId="77777777">
        <w:trPr>
          <w:trHeight w:val="261"/>
        </w:trPr>
        <w:tc>
          <w:tcPr>
            <w:tcW w:w="7815" w:type="dxa"/>
            <w:vMerge/>
            <w:shd w:val="clear" w:color="auto" w:fill="A6A6A6"/>
          </w:tcPr>
          <w:p w14:paraId="7B3B4196" w14:textId="77777777" w:rsidR="001F4FBD" w:rsidRDefault="001F4FBD">
            <w:pPr>
              <w:widowControl w:val="0"/>
              <w:pBdr>
                <w:top w:val="nil"/>
                <w:left w:val="nil"/>
                <w:bottom w:val="nil"/>
                <w:right w:val="nil"/>
                <w:between w:val="nil"/>
              </w:pBdr>
              <w:spacing w:after="0"/>
              <w:rPr>
                <w:rFonts w:ascii="GHEA Grapalat" w:eastAsia="GHEA Grapalat" w:hAnsi="GHEA Grapalat" w:cs="GHEA Grapalat"/>
                <w:color w:val="000000"/>
                <w:sz w:val="24"/>
                <w:szCs w:val="24"/>
                <w:highlight w:val="darkGray"/>
              </w:rPr>
            </w:pPr>
          </w:p>
        </w:tc>
        <w:tc>
          <w:tcPr>
            <w:tcW w:w="7065" w:type="dxa"/>
            <w:shd w:val="clear" w:color="auto" w:fill="A6A6A6"/>
          </w:tcPr>
          <w:p w14:paraId="2B501CB7" w14:textId="77777777" w:rsidR="001F4FBD" w:rsidRDefault="00000000">
            <w:pPr>
              <w:spacing w:after="0" w:line="240" w:lineRule="auto"/>
              <w:jc w:val="center"/>
              <w:rPr>
                <w:rFonts w:ascii="GHEA Grapalat" w:eastAsia="GHEA Grapalat" w:hAnsi="GHEA Grapalat" w:cs="GHEA Grapalat"/>
                <w:color w:val="000000"/>
                <w:sz w:val="24"/>
                <w:szCs w:val="24"/>
                <w:highlight w:val="darkGray"/>
              </w:rPr>
            </w:pPr>
            <w:r>
              <w:rPr>
                <w:rFonts w:ascii="GHEA Grapalat" w:eastAsia="GHEA Grapalat" w:hAnsi="GHEA Grapalat" w:cs="GHEA Grapalat"/>
                <w:color w:val="000000"/>
                <w:sz w:val="24"/>
                <w:szCs w:val="24"/>
                <w:highlight w:val="darkGray"/>
              </w:rPr>
              <w:t>Մ/259-2023</w:t>
            </w:r>
          </w:p>
        </w:tc>
      </w:tr>
      <w:tr w:rsidR="001F4FBD" w14:paraId="78314338" w14:textId="77777777">
        <w:trPr>
          <w:trHeight w:val="533"/>
        </w:trPr>
        <w:tc>
          <w:tcPr>
            <w:tcW w:w="7815" w:type="dxa"/>
            <w:shd w:val="clear" w:color="auto" w:fill="auto"/>
          </w:tcPr>
          <w:p w14:paraId="7D77080B" w14:textId="77777777" w:rsidR="001F4FBD" w:rsidRDefault="00000000">
            <w:pPr>
              <w:spacing w:after="0" w:line="360" w:lineRule="auto"/>
              <w:ind w:left="330" w:right="-90" w:hanging="72"/>
              <w:jc w:val="both"/>
              <w:rPr>
                <w:rFonts w:ascii="Cambria Math" w:eastAsia="Cambria Math" w:hAnsi="Cambria Math" w:cs="Cambria Math"/>
                <w:color w:val="000000"/>
                <w:sz w:val="24"/>
                <w:szCs w:val="24"/>
              </w:rPr>
            </w:pPr>
            <w:r>
              <w:rPr>
                <w:rFonts w:ascii="GHEA Grapalat" w:eastAsia="GHEA Grapalat" w:hAnsi="GHEA Grapalat" w:cs="GHEA Grapalat"/>
                <w:color w:val="000000"/>
                <w:sz w:val="24"/>
                <w:szCs w:val="24"/>
              </w:rPr>
              <w:t>1</w:t>
            </w:r>
            <w:r>
              <w:rPr>
                <w:rFonts w:ascii="Cambria Math" w:eastAsia="Cambria Math" w:hAnsi="Cambria Math" w:cs="Cambria Math"/>
                <w:color w:val="000000"/>
                <w:sz w:val="24"/>
                <w:szCs w:val="24"/>
              </w:rPr>
              <w:t xml:space="preserve">․ </w:t>
            </w:r>
            <w:r>
              <w:rPr>
                <w:rFonts w:ascii="GHEA Grapalat" w:eastAsia="GHEA Grapalat" w:hAnsi="GHEA Grapalat" w:cs="GHEA Grapalat"/>
                <w:sz w:val="24"/>
                <w:szCs w:val="24"/>
              </w:rPr>
              <w:t xml:space="preserve"> Առաջարկություններ և դիտողություններ չկան</w:t>
            </w:r>
          </w:p>
        </w:tc>
        <w:tc>
          <w:tcPr>
            <w:tcW w:w="7065" w:type="dxa"/>
            <w:shd w:val="clear" w:color="auto" w:fill="auto"/>
          </w:tcPr>
          <w:p w14:paraId="5A7C9371" w14:textId="77777777" w:rsidR="001F4FBD" w:rsidRDefault="001F4FBD">
            <w:pPr>
              <w:spacing w:after="0" w:line="240" w:lineRule="auto"/>
              <w:rPr>
                <w:rFonts w:ascii="GHEA Grapalat" w:eastAsia="GHEA Grapalat" w:hAnsi="GHEA Grapalat" w:cs="GHEA Grapalat"/>
                <w:color w:val="000000"/>
                <w:sz w:val="24"/>
                <w:szCs w:val="24"/>
              </w:rPr>
            </w:pPr>
          </w:p>
        </w:tc>
      </w:tr>
      <w:tr w:rsidR="001F4FBD" w14:paraId="18621F5F" w14:textId="77777777">
        <w:trPr>
          <w:trHeight w:val="70"/>
        </w:trPr>
        <w:tc>
          <w:tcPr>
            <w:tcW w:w="7815" w:type="dxa"/>
            <w:vMerge w:val="restart"/>
            <w:shd w:val="clear" w:color="auto" w:fill="A6A6A6"/>
          </w:tcPr>
          <w:p w14:paraId="14ECAE23" w14:textId="77777777" w:rsidR="001F4FBD" w:rsidRDefault="00000000">
            <w:pPr>
              <w:spacing w:after="0" w:line="240" w:lineRule="auto"/>
              <w:ind w:left="72" w:hanging="72"/>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2.  Կրթության, գիտության, մշակույթի և սպորտի նախարարություն</w:t>
            </w:r>
          </w:p>
        </w:tc>
        <w:tc>
          <w:tcPr>
            <w:tcW w:w="7065" w:type="dxa"/>
            <w:shd w:val="clear" w:color="auto" w:fill="A6A6A6"/>
          </w:tcPr>
          <w:p w14:paraId="56E132AE" w14:textId="77777777" w:rsidR="001F4FBD" w:rsidRDefault="00000000">
            <w:pPr>
              <w:spacing w:after="0" w:line="240" w:lineRule="auto"/>
              <w:jc w:val="center"/>
              <w:rPr>
                <w:rFonts w:ascii="GHEA Grapalat" w:eastAsia="GHEA Grapalat" w:hAnsi="GHEA Grapalat" w:cs="GHEA Grapalat"/>
                <w:color w:val="000000"/>
                <w:sz w:val="24"/>
                <w:szCs w:val="24"/>
                <w:highlight w:val="darkGray"/>
              </w:rPr>
            </w:pPr>
            <w:r>
              <w:rPr>
                <w:rFonts w:ascii="GHEA Grapalat" w:eastAsia="GHEA Grapalat" w:hAnsi="GHEA Grapalat" w:cs="GHEA Grapalat"/>
                <w:color w:val="000000"/>
                <w:sz w:val="24"/>
                <w:szCs w:val="24"/>
                <w:highlight w:val="darkGray"/>
              </w:rPr>
              <w:t>05.01.2023</w:t>
            </w:r>
          </w:p>
        </w:tc>
      </w:tr>
      <w:tr w:rsidR="001F4FBD" w14:paraId="7BE79D5C" w14:textId="77777777">
        <w:trPr>
          <w:trHeight w:val="157"/>
        </w:trPr>
        <w:tc>
          <w:tcPr>
            <w:tcW w:w="7815" w:type="dxa"/>
            <w:vMerge/>
            <w:shd w:val="clear" w:color="auto" w:fill="A6A6A6"/>
          </w:tcPr>
          <w:p w14:paraId="075A310B" w14:textId="77777777" w:rsidR="001F4FBD" w:rsidRDefault="001F4FBD">
            <w:pPr>
              <w:widowControl w:val="0"/>
              <w:pBdr>
                <w:top w:val="nil"/>
                <w:left w:val="nil"/>
                <w:bottom w:val="nil"/>
                <w:right w:val="nil"/>
                <w:between w:val="nil"/>
              </w:pBdr>
              <w:spacing w:after="0"/>
              <w:rPr>
                <w:rFonts w:ascii="GHEA Grapalat" w:eastAsia="GHEA Grapalat" w:hAnsi="GHEA Grapalat" w:cs="GHEA Grapalat"/>
                <w:color w:val="000000"/>
                <w:sz w:val="24"/>
                <w:szCs w:val="24"/>
                <w:highlight w:val="darkGray"/>
              </w:rPr>
            </w:pPr>
          </w:p>
        </w:tc>
        <w:tc>
          <w:tcPr>
            <w:tcW w:w="7065" w:type="dxa"/>
            <w:shd w:val="clear" w:color="auto" w:fill="A6A6A6"/>
          </w:tcPr>
          <w:p w14:paraId="2A1828F2" w14:textId="77777777" w:rsidR="001F4FBD" w:rsidRDefault="00000000">
            <w:pPr>
              <w:spacing w:after="0" w:line="240" w:lineRule="auto"/>
              <w:jc w:val="center"/>
              <w:rPr>
                <w:rFonts w:ascii="GHEA Grapalat" w:eastAsia="GHEA Grapalat" w:hAnsi="GHEA Grapalat" w:cs="GHEA Grapalat"/>
                <w:color w:val="000000"/>
                <w:sz w:val="24"/>
                <w:szCs w:val="24"/>
                <w:highlight w:val="darkGray"/>
              </w:rPr>
            </w:pPr>
            <w:r>
              <w:rPr>
                <w:rFonts w:ascii="GHEA Grapalat" w:eastAsia="GHEA Grapalat" w:hAnsi="GHEA Grapalat" w:cs="GHEA Grapalat"/>
                <w:color w:val="000000"/>
                <w:sz w:val="24"/>
                <w:szCs w:val="24"/>
                <w:highlight w:val="darkGray"/>
              </w:rPr>
              <w:t>Մ/46847-2022</w:t>
            </w:r>
          </w:p>
        </w:tc>
      </w:tr>
      <w:tr w:rsidR="001F4FBD" w14:paraId="22D9E99B" w14:textId="77777777">
        <w:trPr>
          <w:trHeight w:val="533"/>
        </w:trPr>
        <w:tc>
          <w:tcPr>
            <w:tcW w:w="7815" w:type="dxa"/>
            <w:shd w:val="clear" w:color="auto" w:fill="auto"/>
          </w:tcPr>
          <w:p w14:paraId="7F8CBD44" w14:textId="77777777" w:rsidR="001F4FBD" w:rsidRDefault="00000000">
            <w:pPr>
              <w:spacing w:after="0" w:line="360" w:lineRule="auto"/>
              <w:ind w:left="330" w:right="165"/>
              <w:jc w:val="both"/>
              <w:rPr>
                <w:rFonts w:ascii="GHEA Grapalat" w:eastAsia="GHEA Grapalat" w:hAnsi="GHEA Grapalat" w:cs="GHEA Grapalat"/>
                <w:color w:val="000000"/>
                <w:sz w:val="24"/>
                <w:szCs w:val="24"/>
                <w:highlight w:val="white"/>
              </w:rPr>
            </w:pPr>
            <w:r>
              <w:rPr>
                <w:rFonts w:ascii="GHEA Grapalat" w:eastAsia="GHEA Grapalat" w:hAnsi="GHEA Grapalat" w:cs="GHEA Grapalat"/>
                <w:sz w:val="24"/>
                <w:szCs w:val="24"/>
              </w:rPr>
              <w:t>1</w:t>
            </w:r>
            <w:r>
              <w:rPr>
                <w:rFonts w:ascii="Cambria Math" w:eastAsia="Cambria Math" w:hAnsi="Cambria Math" w:cs="Cambria Math"/>
                <w:sz w:val="24"/>
                <w:szCs w:val="24"/>
              </w:rPr>
              <w:t xml:space="preserve">․ </w:t>
            </w:r>
            <w:r>
              <w:rPr>
                <w:rFonts w:ascii="GHEA Grapalat" w:eastAsia="GHEA Grapalat" w:hAnsi="GHEA Grapalat" w:cs="GHEA Grapalat"/>
                <w:color w:val="000000"/>
                <w:sz w:val="24"/>
                <w:szCs w:val="24"/>
                <w:highlight w:val="white"/>
              </w:rPr>
              <w:t xml:space="preserve"> Նախագծի հավելված 2-ի </w:t>
            </w:r>
            <w:r>
              <w:rPr>
                <w:rFonts w:ascii="GHEA Grapalat" w:eastAsia="GHEA Grapalat" w:hAnsi="GHEA Grapalat" w:cs="GHEA Grapalat"/>
                <w:sz w:val="24"/>
                <w:szCs w:val="24"/>
              </w:rPr>
              <w:t xml:space="preserve">2.4 և 2.5 կետերով նախատեսված կենտրոնները առաջարկում ենք ստեղծել համապատասխան ուսումնական հաստատությունների հենքի վրա և նախատեսված ֆինանսական միջոցներն ուղղել դրանց կարողությունների զարգացմանը: Առաջարկությունը պայմանավորված է նրանով, որ ներկայումս մասնագիտական կրթության ոլորտի զարգացմանն ուղղված քաղաքականության մշակման և դրա իրագործման գործընթացում  էապես կարևորվում է բիզնես ոլորտի հետ սերտ համագործակցությունը:  Այն անհրաժեշտ է </w:t>
            </w:r>
            <w:r>
              <w:rPr>
                <w:rFonts w:ascii="GHEA Grapalat" w:eastAsia="GHEA Grapalat" w:hAnsi="GHEA Grapalat" w:cs="GHEA Grapalat"/>
                <w:sz w:val="24"/>
                <w:szCs w:val="24"/>
              </w:rPr>
              <w:lastRenderedPageBreak/>
              <w:t xml:space="preserve">ինչպես տվյալ ոլորտի համար մասնագիտական հմտություններ և գիտելիքներ ունեցող մասնագետների պատրաստման, այնպես էլ նրանց հետագա վերապատրաստման  կարիքների բացահայտման և ապահովման տեսանկյունից: Այդ համագործակցությունը հատկապես կարևոր է կրթություն-աշխատաշուկա կապն ապահովելու և  ուսանողների մասնագիտական կարիերայի առաջընթացի ապահովման առումով` լուծելով նաև վերջիններիս զբաղվածության հարցը: Ուսումնական հաստատություններն, իրենց կանոնադրական նպատակների իրագործման համար, բացի ֆորմալ կրթական ծառայություններից, կարող են հանրությանը մատուցել նաև վերապատրաստման ծառայություններ: Ուստի, վերոհիշյալ կետերով նախատեսված կենտրոնների ստեղծմանն ուղղված ֆինանսական միջոցներն, առավել արդյունավետ օգտագործելու համար, կարելի է ուղղել ուսումնական հաստատությունների  նյութատեխնիկական և ուսումնամեթոդական կարողությունների զարգացմանը: Նման համագործակցության համար արդյունավետ հարթակ  կարող է հանդիսանալ  ուսումնական հաստատությունների կառավարման խորհուրդները, որտեղ </w:t>
            </w:r>
            <w:r>
              <w:rPr>
                <w:rFonts w:ascii="GHEA Grapalat" w:eastAsia="GHEA Grapalat" w:hAnsi="GHEA Grapalat" w:cs="GHEA Grapalat"/>
                <w:sz w:val="24"/>
                <w:szCs w:val="24"/>
              </w:rPr>
              <w:lastRenderedPageBreak/>
              <w:t>գործող բիզնես կազմակերպությունների ներկայացուցիչների ակտիվ ներգրավվածությունը միանշանակ կնպաստի տեքստիլ արդյունաբերությունը բարձր որակավորում ունեցեղ  մասնագետներով ապահովելու խնդիրների լուծմանը:</w:t>
            </w:r>
          </w:p>
          <w:p w14:paraId="5545DACE" w14:textId="77777777" w:rsidR="001F4FBD" w:rsidRDefault="001F4FBD">
            <w:pPr>
              <w:spacing w:after="0" w:line="240" w:lineRule="auto"/>
              <w:ind w:right="-23"/>
              <w:jc w:val="both"/>
              <w:rPr>
                <w:rFonts w:ascii="Cambria Math" w:eastAsia="Cambria Math" w:hAnsi="Cambria Math" w:cs="Cambria Math"/>
                <w:sz w:val="24"/>
                <w:szCs w:val="24"/>
              </w:rPr>
            </w:pPr>
          </w:p>
        </w:tc>
        <w:tc>
          <w:tcPr>
            <w:tcW w:w="7065" w:type="dxa"/>
            <w:shd w:val="clear" w:color="auto" w:fill="auto"/>
          </w:tcPr>
          <w:p w14:paraId="73E7E979" w14:textId="77777777" w:rsidR="001F4FBD" w:rsidRDefault="00000000">
            <w:pPr>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Ընդունվել է։ </w:t>
            </w:r>
          </w:p>
          <w:p w14:paraId="22F4C297" w14:textId="77777777" w:rsidR="001F4FBD" w:rsidRDefault="00000000">
            <w:pPr>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br/>
              <w:t>Նշված կետերով նախատեսված միջոցառումները չեն բացառում համապատասխան ուսումնական հաստատությունների ներգրավումը։</w:t>
            </w:r>
          </w:p>
        </w:tc>
      </w:tr>
      <w:tr w:rsidR="001F4FBD" w14:paraId="6A31B511" w14:textId="77777777">
        <w:trPr>
          <w:trHeight w:val="70"/>
        </w:trPr>
        <w:tc>
          <w:tcPr>
            <w:tcW w:w="7815" w:type="dxa"/>
            <w:vMerge w:val="restart"/>
            <w:shd w:val="clear" w:color="auto" w:fill="A6A6A6"/>
          </w:tcPr>
          <w:p w14:paraId="1CE3B57B" w14:textId="77777777" w:rsidR="001F4FBD" w:rsidRDefault="00000000">
            <w:pPr>
              <w:spacing w:after="0" w:line="240" w:lineRule="auto"/>
              <w:ind w:left="72" w:hanging="72"/>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lastRenderedPageBreak/>
              <w:t xml:space="preserve">3. </w:t>
            </w:r>
            <w:r>
              <w:rPr>
                <w:rFonts w:ascii="GHEA Grapalat" w:eastAsia="GHEA Grapalat" w:hAnsi="GHEA Grapalat" w:cs="GHEA Grapalat"/>
                <w:b/>
                <w:sz w:val="24"/>
                <w:szCs w:val="24"/>
              </w:rPr>
              <w:t xml:space="preserve"> Ֆինանսների նախարարություն</w:t>
            </w:r>
          </w:p>
        </w:tc>
        <w:tc>
          <w:tcPr>
            <w:tcW w:w="7065" w:type="dxa"/>
            <w:shd w:val="clear" w:color="auto" w:fill="A6A6A6"/>
          </w:tcPr>
          <w:p w14:paraId="66B5DED0" w14:textId="77777777" w:rsidR="001F4FBD" w:rsidRDefault="00000000">
            <w:pPr>
              <w:spacing w:after="0" w:line="240" w:lineRule="auto"/>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highlight w:val="darkGray"/>
              </w:rPr>
              <w:t>05.01.2023</w:t>
            </w:r>
          </w:p>
        </w:tc>
      </w:tr>
      <w:tr w:rsidR="001F4FBD" w14:paraId="7A6776C4" w14:textId="77777777">
        <w:trPr>
          <w:trHeight w:val="221"/>
        </w:trPr>
        <w:tc>
          <w:tcPr>
            <w:tcW w:w="7815" w:type="dxa"/>
            <w:vMerge/>
            <w:shd w:val="clear" w:color="auto" w:fill="A6A6A6"/>
          </w:tcPr>
          <w:p w14:paraId="0FFC2F69" w14:textId="77777777" w:rsidR="001F4FBD" w:rsidRDefault="001F4FBD">
            <w:pPr>
              <w:widowControl w:val="0"/>
              <w:pBdr>
                <w:top w:val="nil"/>
                <w:left w:val="nil"/>
                <w:bottom w:val="nil"/>
                <w:right w:val="nil"/>
                <w:between w:val="nil"/>
              </w:pBdr>
              <w:spacing w:after="0"/>
              <w:rPr>
                <w:rFonts w:ascii="GHEA Grapalat" w:eastAsia="GHEA Grapalat" w:hAnsi="GHEA Grapalat" w:cs="GHEA Grapalat"/>
                <w:color w:val="000000"/>
                <w:sz w:val="24"/>
                <w:szCs w:val="24"/>
              </w:rPr>
            </w:pPr>
          </w:p>
        </w:tc>
        <w:tc>
          <w:tcPr>
            <w:tcW w:w="7065" w:type="dxa"/>
            <w:shd w:val="clear" w:color="auto" w:fill="A6A6A6"/>
          </w:tcPr>
          <w:p w14:paraId="58B387A4" w14:textId="77777777" w:rsidR="001F4FBD" w:rsidRDefault="00000000">
            <w:pPr>
              <w:spacing w:after="0" w:line="240" w:lineRule="auto"/>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highlight w:val="darkGray"/>
              </w:rPr>
              <w:t>Մ/259-2023</w:t>
            </w:r>
          </w:p>
        </w:tc>
      </w:tr>
      <w:tr w:rsidR="001F4FBD" w14:paraId="74DF877F" w14:textId="77777777">
        <w:trPr>
          <w:trHeight w:val="2618"/>
        </w:trPr>
        <w:tc>
          <w:tcPr>
            <w:tcW w:w="7815" w:type="dxa"/>
            <w:shd w:val="clear" w:color="auto" w:fill="FFFFFF"/>
          </w:tcPr>
          <w:p w14:paraId="6E443563" w14:textId="77777777" w:rsidR="001F4FBD" w:rsidRDefault="00000000">
            <w:pPr>
              <w:widowControl w:val="0"/>
              <w:numPr>
                <w:ilvl w:val="0"/>
                <w:numId w:val="1"/>
              </w:numPr>
              <w:pBdr>
                <w:top w:val="nil"/>
                <w:left w:val="nil"/>
                <w:bottom w:val="nil"/>
                <w:right w:val="nil"/>
                <w:between w:val="nil"/>
              </w:pBdr>
              <w:tabs>
                <w:tab w:val="left" w:pos="0"/>
                <w:tab w:val="left" w:pos="567"/>
                <w:tab w:val="left" w:pos="851"/>
              </w:tabs>
              <w:spacing w:after="0" w:line="360" w:lineRule="auto"/>
              <w:ind w:left="0" w:firstLine="561"/>
              <w:jc w:val="both"/>
              <w:rPr>
                <w:rFonts w:ascii="GHEA Grapalat" w:eastAsia="GHEA Grapalat" w:hAnsi="GHEA Grapalat" w:cs="GHEA Grapalat"/>
                <w:color w:val="000000"/>
                <w:sz w:val="24"/>
                <w:szCs w:val="24"/>
              </w:rPr>
            </w:pPr>
            <w:r>
              <w:rPr>
                <w:rFonts w:ascii="Cambria Math" w:eastAsia="Cambria Math" w:hAnsi="Cambria Math" w:cs="Cambria Math"/>
                <w:color w:val="222222"/>
                <w:sz w:val="24"/>
                <w:szCs w:val="24"/>
              </w:rPr>
              <w:t xml:space="preserve">  </w:t>
            </w:r>
            <w:r>
              <w:rPr>
                <w:rFonts w:ascii="GHEA Grapalat" w:eastAsia="GHEA Grapalat" w:hAnsi="GHEA Grapalat" w:cs="GHEA Grapalat"/>
                <w:color w:val="000000"/>
                <w:sz w:val="24"/>
                <w:szCs w:val="24"/>
              </w:rPr>
              <w:t xml:space="preserve"> Նախագծում անդրադարձ է կատարվում տեքստիլ արդյունաբերության ոլորտի մարտահրավերներին։ Հաշվի առնելով վերջին տարիներին համաշխարհային տնտեսությունում առկա անորոշությունների բարձր մակարդակը՝ առաջարկում ենք Նախագծով առանձին անդրադարձ կատարել ոլորտի աջակցության ներկայացված ծրագրերի հնարավոր ռիսկերին, սթրեսային սցենարներին և դրանց կառավարման/մեղմման հնարավոր ճանապարհներին։</w:t>
            </w:r>
          </w:p>
          <w:p w14:paraId="49C0FE4A" w14:textId="77777777" w:rsidR="001F4FBD" w:rsidRDefault="001F4FBD">
            <w:pPr>
              <w:shd w:val="clear" w:color="auto" w:fill="FFFFFF"/>
              <w:spacing w:after="0" w:line="360" w:lineRule="auto"/>
              <w:ind w:left="72" w:hanging="72"/>
              <w:jc w:val="both"/>
              <w:rPr>
                <w:rFonts w:ascii="Cambria Math" w:eastAsia="Cambria Math" w:hAnsi="Cambria Math" w:cs="Cambria Math"/>
                <w:color w:val="000000"/>
                <w:sz w:val="24"/>
                <w:szCs w:val="24"/>
              </w:rPr>
            </w:pPr>
          </w:p>
        </w:tc>
        <w:tc>
          <w:tcPr>
            <w:tcW w:w="7065" w:type="dxa"/>
            <w:shd w:val="clear" w:color="auto" w:fill="FFFFFF"/>
          </w:tcPr>
          <w:p w14:paraId="0BE8494F" w14:textId="77777777" w:rsidR="001F4FBD" w:rsidRDefault="00000000">
            <w:pPr>
              <w:spacing w:after="0" w:line="360" w:lineRule="auto"/>
              <w:rPr>
                <w:rFonts w:ascii="GHEA Grapalat" w:eastAsia="GHEA Grapalat" w:hAnsi="GHEA Grapalat" w:cs="GHEA Grapalat"/>
                <w:sz w:val="24"/>
                <w:szCs w:val="24"/>
              </w:rPr>
            </w:pPr>
            <w:r>
              <w:rPr>
                <w:rFonts w:ascii="GHEA Grapalat" w:eastAsia="GHEA Grapalat" w:hAnsi="GHEA Grapalat" w:cs="GHEA Grapalat"/>
                <w:sz w:val="24"/>
                <w:szCs w:val="24"/>
              </w:rPr>
              <w:t>Չի ընդունվել։</w:t>
            </w:r>
          </w:p>
          <w:p w14:paraId="695108CE" w14:textId="77777777" w:rsidR="001F4FBD" w:rsidRDefault="001F4FBD">
            <w:pPr>
              <w:spacing w:after="0" w:line="360" w:lineRule="auto"/>
              <w:rPr>
                <w:rFonts w:ascii="GHEA Grapalat" w:eastAsia="GHEA Grapalat" w:hAnsi="GHEA Grapalat" w:cs="GHEA Grapalat"/>
                <w:sz w:val="24"/>
                <w:szCs w:val="24"/>
              </w:rPr>
            </w:pPr>
          </w:p>
          <w:p w14:paraId="64CBAE03" w14:textId="77777777" w:rsidR="001F4FBD" w:rsidRDefault="00000000">
            <w:pPr>
              <w:spacing w:after="0" w:line="360" w:lineRule="auto"/>
              <w:rPr>
                <w:rFonts w:ascii="GHEA Grapalat" w:eastAsia="GHEA Grapalat" w:hAnsi="GHEA Grapalat" w:cs="GHEA Grapalat"/>
                <w:sz w:val="24"/>
                <w:szCs w:val="24"/>
              </w:rPr>
            </w:pPr>
            <w:r>
              <w:rPr>
                <w:rFonts w:ascii="GHEA Grapalat" w:eastAsia="GHEA Grapalat" w:hAnsi="GHEA Grapalat" w:cs="GHEA Grapalat"/>
                <w:sz w:val="24"/>
                <w:szCs w:val="24"/>
              </w:rPr>
              <w:t xml:space="preserve">Հաշվի առնելով Հավելված 2-ով նախատեսված ծրագրերի լայն շրջանակը՝ հնարավոր ռիսկերն ու սթրեսային սցենարները ևս կարող են տարբերվել։ Հետևաբար, նախագծեր մշակելիս, բնակնաաբար նախատեվում է ներկայացնել միջնաժամկետ ծախսային ծրագրերում առանձնացված հնարավոր ռիսկերը, սթրեսային սցենարներներն  ու կառավարման հնարավոր ճանապարհները։ </w:t>
            </w:r>
          </w:p>
        </w:tc>
      </w:tr>
      <w:tr w:rsidR="001F4FBD" w14:paraId="3840D248" w14:textId="77777777">
        <w:trPr>
          <w:trHeight w:val="4952"/>
        </w:trPr>
        <w:tc>
          <w:tcPr>
            <w:tcW w:w="7815" w:type="dxa"/>
            <w:shd w:val="clear" w:color="auto" w:fill="FFFFFF"/>
          </w:tcPr>
          <w:p w14:paraId="3E5E0E3F" w14:textId="77777777" w:rsidR="001F4FBD" w:rsidRDefault="00000000">
            <w:pPr>
              <w:widowControl w:val="0"/>
              <w:numPr>
                <w:ilvl w:val="0"/>
                <w:numId w:val="1"/>
              </w:numPr>
              <w:pBdr>
                <w:top w:val="nil"/>
                <w:left w:val="nil"/>
                <w:bottom w:val="nil"/>
                <w:right w:val="nil"/>
                <w:between w:val="nil"/>
              </w:pBdr>
              <w:tabs>
                <w:tab w:val="left" w:pos="0"/>
                <w:tab w:val="left" w:pos="851"/>
              </w:tabs>
              <w:spacing w:after="0" w:line="360" w:lineRule="auto"/>
              <w:ind w:left="0" w:firstLine="561"/>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lastRenderedPageBreak/>
              <w:t>Նախագծում բացահայտված չեն տեքստիլ արդյունաբերության ոլորտի զարգացումների վերաբերյալ թիրախավորված ցուցանիշների (ավելացված արժեք, արտահանում, աշխատավարձ և այլն) հիմքում ընկած ենթադրությունները: Բացի այդ, բացակայում է կանխատեսումների բազային սցենարը, այսինքն ինչ զարգացումներ կունենա ոլորտը՝ առանց Նախագծում նախատեսված միջոցառումների իրականացման, որից հետո հնարավոր կլինի գնահատել նախատեսվող միջոցառումների ազդեցությունները: Վերջինս թույլ կտա նաև գնահատել Նախագծի համար ակնկալվող պետական բյուջեի ծախսերի արդյունավետությունը և նպատակահարմարությունը:</w:t>
            </w:r>
          </w:p>
          <w:p w14:paraId="39554B26" w14:textId="77777777" w:rsidR="001F4FBD" w:rsidRDefault="001F4FBD">
            <w:pPr>
              <w:shd w:val="clear" w:color="auto" w:fill="FFFFFF"/>
              <w:spacing w:after="0" w:line="360" w:lineRule="auto"/>
              <w:ind w:left="72" w:hanging="72"/>
              <w:jc w:val="both"/>
              <w:rPr>
                <w:rFonts w:ascii="GHEA Grapalat" w:eastAsia="GHEA Grapalat" w:hAnsi="GHEA Grapalat" w:cs="GHEA Grapalat"/>
                <w:color w:val="222222"/>
                <w:sz w:val="24"/>
                <w:szCs w:val="24"/>
              </w:rPr>
            </w:pPr>
          </w:p>
          <w:p w14:paraId="1830B67E" w14:textId="77777777" w:rsidR="001F4FBD" w:rsidRDefault="001F4FBD">
            <w:pPr>
              <w:shd w:val="clear" w:color="auto" w:fill="FFFFFF"/>
              <w:spacing w:after="0" w:line="360" w:lineRule="auto"/>
              <w:ind w:left="72" w:hanging="72"/>
              <w:jc w:val="both"/>
              <w:rPr>
                <w:rFonts w:ascii="GHEA Grapalat" w:eastAsia="GHEA Grapalat" w:hAnsi="GHEA Grapalat" w:cs="GHEA Grapalat"/>
                <w:color w:val="222222"/>
                <w:sz w:val="24"/>
                <w:szCs w:val="24"/>
              </w:rPr>
            </w:pPr>
          </w:p>
          <w:p w14:paraId="1FD5B067" w14:textId="77777777" w:rsidR="001F4FBD" w:rsidRDefault="001F4FBD">
            <w:pPr>
              <w:shd w:val="clear" w:color="auto" w:fill="FFFFFF"/>
              <w:spacing w:after="0" w:line="360" w:lineRule="auto"/>
              <w:ind w:left="72" w:hanging="72"/>
              <w:jc w:val="both"/>
              <w:rPr>
                <w:rFonts w:ascii="GHEA Grapalat" w:eastAsia="GHEA Grapalat" w:hAnsi="GHEA Grapalat" w:cs="GHEA Grapalat"/>
                <w:color w:val="222222"/>
                <w:sz w:val="24"/>
                <w:szCs w:val="24"/>
              </w:rPr>
            </w:pPr>
          </w:p>
        </w:tc>
        <w:tc>
          <w:tcPr>
            <w:tcW w:w="7065" w:type="dxa"/>
            <w:shd w:val="clear" w:color="auto" w:fill="FFFFFF"/>
          </w:tcPr>
          <w:p w14:paraId="63DD34D6" w14:textId="77777777" w:rsidR="001F4FBD" w:rsidRDefault="00000000">
            <w:pPr>
              <w:spacing w:after="0" w:line="240" w:lineRule="auto"/>
              <w:rPr>
                <w:rFonts w:ascii="GHEA Grapalat" w:eastAsia="GHEA Grapalat" w:hAnsi="GHEA Grapalat" w:cs="GHEA Grapalat"/>
                <w:color w:val="000000"/>
                <w:sz w:val="24"/>
                <w:szCs w:val="24"/>
              </w:rPr>
            </w:pPr>
            <w:r>
              <w:rPr>
                <w:rFonts w:ascii="GHEA Grapalat" w:eastAsia="GHEA Grapalat" w:hAnsi="GHEA Grapalat" w:cs="GHEA Grapalat"/>
                <w:sz w:val="24"/>
                <w:szCs w:val="24"/>
              </w:rPr>
              <w:t xml:space="preserve">Հավելված 1-ում մանրմասն նկարագրված է արտադրողականության և ավելացված արժեքի բազային և թիրախային ցուցանիշները, ինչպես նաև գնահատված է միջոցառումների ազդեցությունը վերջիններիս վրա: Օրինակ` նախատեսվում է արտադրողականությունը բարձրացնել գրեթե 2 անգամ` բազային 4 անգամից հասնելով գրեթե 8-ի: </w:t>
            </w:r>
          </w:p>
        </w:tc>
      </w:tr>
      <w:tr w:rsidR="001F4FBD" w14:paraId="49377E51" w14:textId="77777777">
        <w:trPr>
          <w:trHeight w:val="2618"/>
        </w:trPr>
        <w:tc>
          <w:tcPr>
            <w:tcW w:w="7815" w:type="dxa"/>
            <w:shd w:val="clear" w:color="auto" w:fill="FFFFFF"/>
          </w:tcPr>
          <w:p w14:paraId="29CFD426" w14:textId="77777777" w:rsidR="001F4FBD" w:rsidRDefault="00000000">
            <w:pPr>
              <w:numPr>
                <w:ilvl w:val="0"/>
                <w:numId w:val="1"/>
              </w:numPr>
              <w:tabs>
                <w:tab w:val="left" w:pos="0"/>
                <w:tab w:val="left" w:pos="851"/>
              </w:tabs>
              <w:spacing w:after="0" w:line="360" w:lineRule="auto"/>
              <w:ind w:left="0" w:firstLine="561"/>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Նախագծում հիմնավորված չեն նաև պետական բյուջեից ֆինանսավորման մեխանիզմների և աջակցության (սուբսիդավորում, համաֆինանսավորում, հարկերի հետվերադարձ և այլն) չափերի ընտրությունները, ինչպես նաև պետության կողմից ակնկալվող աջակցության ծավալների հիմքում ընկած </w:t>
            </w:r>
            <w:r>
              <w:rPr>
                <w:rFonts w:ascii="GHEA Grapalat" w:eastAsia="GHEA Grapalat" w:hAnsi="GHEA Grapalat" w:cs="GHEA Grapalat"/>
                <w:sz w:val="24"/>
                <w:szCs w:val="24"/>
              </w:rPr>
              <w:lastRenderedPageBreak/>
              <w:t xml:space="preserve">հաշվարկ/հիմնավորումները։ Սա թույլ չի տալիս նաև հասկանալ դրանից բխող հնարավոր հարկաբյուջետային ռիսկերը: Ընդ որում գործողությունների ծրագրով նախատեսված է 10 ուղղություններով իրականացնել 68 միջոցառումներ, որոնք կարող են թուլացնել պետական աջակցության արդյունավետությունը։ Այդ կապակցությամբ առաջարկում ենք քննարկել 2-3 առաջնահերթ աջակցության ուղղություններ կամ ՀՀ կառավարության որոշման նախագծում նախատեսել, որ ՀՀ պետական բյուջեից գործողությունների ծրագրով նախատեսված միջոցառումների ֆինանսավորումն իրականացվում է՝ ելնելով տվյալ տարվա բյուջետային առաջնահերթություններից։ </w:t>
            </w:r>
          </w:p>
          <w:p w14:paraId="250A6DEE" w14:textId="77777777" w:rsidR="001F4FBD" w:rsidRDefault="001F4FBD">
            <w:pPr>
              <w:spacing w:after="0" w:line="360" w:lineRule="auto"/>
              <w:ind w:left="72" w:hanging="72"/>
              <w:jc w:val="both"/>
              <w:rPr>
                <w:rFonts w:ascii="Cambria Math" w:eastAsia="Cambria Math" w:hAnsi="Cambria Math" w:cs="Cambria Math"/>
                <w:color w:val="222222"/>
                <w:sz w:val="24"/>
                <w:szCs w:val="24"/>
              </w:rPr>
            </w:pPr>
          </w:p>
          <w:p w14:paraId="1C27F8D0" w14:textId="77777777" w:rsidR="001F4FBD" w:rsidRDefault="001F4FBD">
            <w:pPr>
              <w:shd w:val="clear" w:color="auto" w:fill="FFFFFF"/>
              <w:spacing w:after="0" w:line="360" w:lineRule="auto"/>
              <w:ind w:left="72" w:hanging="72"/>
              <w:jc w:val="both"/>
              <w:rPr>
                <w:rFonts w:ascii="GHEA Grapalat" w:eastAsia="GHEA Grapalat" w:hAnsi="GHEA Grapalat" w:cs="GHEA Grapalat"/>
                <w:color w:val="222222"/>
                <w:sz w:val="24"/>
                <w:szCs w:val="24"/>
              </w:rPr>
            </w:pPr>
          </w:p>
          <w:p w14:paraId="448103A0" w14:textId="77777777" w:rsidR="001F4FBD" w:rsidRDefault="001F4FBD">
            <w:pPr>
              <w:shd w:val="clear" w:color="auto" w:fill="FFFFFF"/>
              <w:spacing w:after="0" w:line="360" w:lineRule="auto"/>
              <w:ind w:left="72" w:hanging="72"/>
              <w:jc w:val="both"/>
              <w:rPr>
                <w:rFonts w:ascii="GHEA Grapalat" w:eastAsia="GHEA Grapalat" w:hAnsi="GHEA Grapalat" w:cs="GHEA Grapalat"/>
                <w:color w:val="222222"/>
                <w:sz w:val="24"/>
                <w:szCs w:val="24"/>
              </w:rPr>
            </w:pPr>
          </w:p>
        </w:tc>
        <w:tc>
          <w:tcPr>
            <w:tcW w:w="7065" w:type="dxa"/>
            <w:shd w:val="clear" w:color="auto" w:fill="FFFFFF"/>
          </w:tcPr>
          <w:p w14:paraId="2474F694" w14:textId="77777777" w:rsidR="001F4FBD" w:rsidRDefault="001F4FBD">
            <w:pPr>
              <w:spacing w:after="0" w:line="240" w:lineRule="auto"/>
              <w:rPr>
                <w:rFonts w:ascii="GHEA Grapalat" w:eastAsia="GHEA Grapalat" w:hAnsi="GHEA Grapalat" w:cs="GHEA Grapalat"/>
                <w:sz w:val="24"/>
                <w:szCs w:val="24"/>
              </w:rPr>
            </w:pPr>
          </w:p>
          <w:tbl>
            <w:tblPr>
              <w:tblStyle w:val="a1"/>
              <w:tblW w:w="6854" w:type="dxa"/>
              <w:tblLayout w:type="fixed"/>
              <w:tblLook w:val="0600" w:firstRow="0" w:lastRow="0" w:firstColumn="0" w:lastColumn="0" w:noHBand="1" w:noVBand="1"/>
            </w:tblPr>
            <w:tblGrid>
              <w:gridCol w:w="6854"/>
            </w:tblGrid>
            <w:tr w:rsidR="001F4FBD" w14:paraId="20D059DB" w14:textId="77777777">
              <w:trPr>
                <w:trHeight w:val="3320"/>
              </w:trPr>
              <w:tc>
                <w:tcPr>
                  <w:tcW w:w="6854" w:type="dxa"/>
                  <w:tcMar>
                    <w:top w:w="100" w:type="dxa"/>
                    <w:left w:w="180" w:type="dxa"/>
                    <w:bottom w:w="100" w:type="dxa"/>
                    <w:right w:w="180" w:type="dxa"/>
                  </w:tcMar>
                </w:tcPr>
                <w:p w14:paraId="3624635C" w14:textId="77777777" w:rsidR="001F4FBD" w:rsidRDefault="00000000">
                  <w:pPr>
                    <w:spacing w:after="0"/>
                    <w:ind w:left="-141"/>
                    <w:rPr>
                      <w:rFonts w:ascii="GHEA Grapalat" w:eastAsia="GHEA Grapalat" w:hAnsi="GHEA Grapalat" w:cs="GHEA Grapalat"/>
                      <w:sz w:val="24"/>
                      <w:szCs w:val="24"/>
                    </w:rPr>
                  </w:pPr>
                  <w:r>
                    <w:rPr>
                      <w:rFonts w:ascii="GHEA Grapalat" w:eastAsia="GHEA Grapalat" w:hAnsi="GHEA Grapalat" w:cs="GHEA Grapalat"/>
                      <w:sz w:val="24"/>
                      <w:szCs w:val="24"/>
                    </w:rPr>
                    <w:lastRenderedPageBreak/>
                    <w:t>Չի ընդունվել:</w:t>
                  </w:r>
                </w:p>
                <w:p w14:paraId="2D0480DD" w14:textId="77777777" w:rsidR="001F4FBD" w:rsidRDefault="00000000">
                  <w:pPr>
                    <w:spacing w:after="0"/>
                    <w:ind w:left="-141"/>
                    <w:rPr>
                      <w:rFonts w:ascii="GHEA Grapalat" w:eastAsia="GHEA Grapalat" w:hAnsi="GHEA Grapalat" w:cs="GHEA Grapalat"/>
                      <w:sz w:val="24"/>
                      <w:szCs w:val="24"/>
                    </w:rPr>
                  </w:pPr>
                  <w:r>
                    <w:rPr>
                      <w:rFonts w:ascii="GHEA Grapalat" w:eastAsia="GHEA Grapalat" w:hAnsi="GHEA Grapalat" w:cs="GHEA Grapalat"/>
                      <w:sz w:val="24"/>
                      <w:szCs w:val="24"/>
                    </w:rPr>
                    <w:t>Հավելված 1–ի 5-րդ գլխում մանրամասն ներկայացված է ոլորտի վերլուծություն, ինչի արդյունքում հիմնական թիրախ է ընտրվել աշխատանքի արտադրողականության և ավելացված արժեքի խթանումը: Տվյալ թիրախից ելնելով` փորձագիտական համայնքը, ոորտի ներկայացուցիչների հետ միասին ընտրել է աջակցության այն մեխանիզմները և ծավալները, որոնք հնարավորինս կբարձրացնեն միջոցառումների արդյունավետությունը:</w:t>
                  </w:r>
                </w:p>
              </w:tc>
            </w:tr>
          </w:tbl>
          <w:p w14:paraId="7413E98B" w14:textId="77777777" w:rsidR="001F4FBD" w:rsidRDefault="00000000">
            <w:pPr>
              <w:rPr>
                <w:rFonts w:ascii="GHEA Grapalat" w:eastAsia="GHEA Grapalat" w:hAnsi="GHEA Grapalat" w:cs="GHEA Grapalat"/>
                <w:sz w:val="24"/>
                <w:szCs w:val="24"/>
              </w:rPr>
            </w:pPr>
            <w:r>
              <w:rPr>
                <w:rFonts w:ascii="GHEA Grapalat" w:eastAsia="GHEA Grapalat" w:hAnsi="GHEA Grapalat" w:cs="GHEA Grapalat"/>
                <w:sz w:val="24"/>
                <w:szCs w:val="24"/>
              </w:rPr>
              <w:t>Էջ 47-ի գծապատկեր 36-ում ներկայացված է պետության կողմից կատարված ծախսերի հարաբերակցությունը հարկային մուտքերի հավելաճին, ընդ որում հաշվարկի մեջ ներառված չեն խոշոր հարկատու չհամարվող ընկերությունները: Համաձայն վերլուծության` մինչև 2026 թվականը պետական բյուջեից ծախսված ցանկացած միջոց հանգեցնելու է բազմակի անգամ ավել հարկային մուտքերի:</w:t>
            </w:r>
          </w:p>
          <w:p w14:paraId="3AF3622C" w14:textId="77777777" w:rsidR="001F4FBD" w:rsidRDefault="001F4FBD">
            <w:pPr>
              <w:rPr>
                <w:rFonts w:ascii="GHEA Grapalat" w:eastAsia="GHEA Grapalat" w:hAnsi="GHEA Grapalat" w:cs="GHEA Grapalat"/>
                <w:sz w:val="24"/>
                <w:szCs w:val="24"/>
              </w:rPr>
            </w:pPr>
          </w:p>
          <w:p w14:paraId="260A0262" w14:textId="77777777" w:rsidR="001F4FBD" w:rsidRDefault="00000000">
            <w:pPr>
              <w:rPr>
                <w:rFonts w:ascii="GHEA Grapalat" w:eastAsia="GHEA Grapalat" w:hAnsi="GHEA Grapalat" w:cs="GHEA Grapalat"/>
                <w:sz w:val="24"/>
                <w:szCs w:val="24"/>
              </w:rPr>
            </w:pPr>
            <w:r>
              <w:rPr>
                <w:rFonts w:ascii="GHEA Grapalat" w:eastAsia="GHEA Grapalat" w:hAnsi="GHEA Grapalat" w:cs="GHEA Grapalat"/>
                <w:sz w:val="24"/>
                <w:szCs w:val="24"/>
              </w:rPr>
              <w:t xml:space="preserve">Աջակցության 10 ուղղություններն ընտրվել են ոլորտի ուսումանսիրության արդյունքում վերհանված խնդիրների առաջնահերթությունից ելնելով։   </w:t>
            </w:r>
          </w:p>
          <w:p w14:paraId="690A3F9E" w14:textId="77777777" w:rsidR="001F4FBD" w:rsidRDefault="001F4FBD">
            <w:pPr>
              <w:spacing w:after="0" w:line="240" w:lineRule="auto"/>
              <w:rPr>
                <w:rFonts w:ascii="GHEA Grapalat" w:eastAsia="GHEA Grapalat" w:hAnsi="GHEA Grapalat" w:cs="GHEA Grapalat"/>
                <w:sz w:val="24"/>
                <w:szCs w:val="24"/>
              </w:rPr>
            </w:pPr>
          </w:p>
        </w:tc>
      </w:tr>
      <w:tr w:rsidR="001F4FBD" w14:paraId="6F6CED35" w14:textId="77777777">
        <w:trPr>
          <w:trHeight w:val="2618"/>
        </w:trPr>
        <w:tc>
          <w:tcPr>
            <w:tcW w:w="7815" w:type="dxa"/>
            <w:shd w:val="clear" w:color="auto" w:fill="FFFFFF"/>
          </w:tcPr>
          <w:p w14:paraId="70F5D52C" w14:textId="77777777" w:rsidR="001F4FBD" w:rsidRDefault="00000000">
            <w:pPr>
              <w:spacing w:after="0" w:line="360" w:lineRule="auto"/>
              <w:ind w:left="72" w:hanging="72"/>
              <w:jc w:val="both"/>
              <w:rPr>
                <w:rFonts w:ascii="Cambria Math" w:eastAsia="Cambria Math" w:hAnsi="Cambria Math" w:cs="Cambria Math"/>
                <w:color w:val="222222"/>
                <w:sz w:val="24"/>
                <w:szCs w:val="24"/>
              </w:rPr>
            </w:pPr>
            <w:r>
              <w:rPr>
                <w:rFonts w:ascii="GHEA Grapalat" w:eastAsia="GHEA Grapalat" w:hAnsi="GHEA Grapalat" w:cs="GHEA Grapalat"/>
                <w:color w:val="222222"/>
                <w:sz w:val="24"/>
                <w:szCs w:val="24"/>
              </w:rPr>
              <w:lastRenderedPageBreak/>
              <w:t>4</w:t>
            </w:r>
            <w:r>
              <w:rPr>
                <w:rFonts w:ascii="Cambria Math" w:eastAsia="Cambria Math" w:hAnsi="Cambria Math" w:cs="Cambria Math"/>
                <w:color w:val="222222"/>
                <w:sz w:val="24"/>
                <w:szCs w:val="24"/>
              </w:rPr>
              <w:t xml:space="preserve">․ </w:t>
            </w:r>
            <w:r>
              <w:rPr>
                <w:rFonts w:ascii="GHEA Grapalat" w:eastAsia="GHEA Grapalat" w:hAnsi="GHEA Grapalat" w:cs="GHEA Grapalat"/>
                <w:sz w:val="24"/>
                <w:szCs w:val="24"/>
              </w:rPr>
              <w:t xml:space="preserve"> Նախագծում նշվում է, որ միջոցառումների իրականացման արդյունքում կհավաքագրվեն լրացուցիչ շուրջ 19 մլրդ հարկային եկամուտներ: Սակայն վերջիններիս հավաքագրման, ինչպես նաև պետական բյուջեից ֆինանսավորման մեխանիզմների և աջակցության (սուբսիդավորում, համաֆինանսավորում, հարկերի հետվերադարձ և այլն) չափերի ընտրությունների հիմքում ընկած ենթադրությունները և հիմնավորումները նույնպես բացակայում են:</w:t>
            </w:r>
          </w:p>
        </w:tc>
        <w:tc>
          <w:tcPr>
            <w:tcW w:w="7065" w:type="dxa"/>
            <w:shd w:val="clear" w:color="auto" w:fill="FFFFFF"/>
          </w:tcPr>
          <w:p w14:paraId="21FFDA78" w14:textId="77777777" w:rsidR="001F4FBD" w:rsidRDefault="00000000">
            <w:pPr>
              <w:spacing w:after="0" w:line="240" w:lineRule="auto"/>
              <w:rPr>
                <w:rFonts w:ascii="GHEA Grapalat" w:eastAsia="GHEA Grapalat" w:hAnsi="GHEA Grapalat" w:cs="GHEA Grapalat"/>
                <w:color w:val="000000"/>
                <w:sz w:val="24"/>
                <w:szCs w:val="24"/>
              </w:rPr>
            </w:pPr>
            <w:r>
              <w:rPr>
                <w:rFonts w:ascii="GHEA Grapalat" w:eastAsia="GHEA Grapalat" w:hAnsi="GHEA Grapalat" w:cs="GHEA Grapalat"/>
                <w:sz w:val="24"/>
                <w:szCs w:val="24"/>
              </w:rPr>
              <w:t>Վերջիններիս գնահատման հիմքում ընկած ենթադրությունները և դրանց հիմնավորումները ներկայացված են Հավելված 1-ում, ինչպես նշված է նախորդ դիտարկմանն ի պատասխան:   Միջոցառումների իրականացման արդյունքում նախատեսվում է արտադրողականությունը բարձրացնել 1,8 անգամ:</w:t>
            </w:r>
          </w:p>
        </w:tc>
      </w:tr>
      <w:tr w:rsidR="001F4FBD" w14:paraId="2DCF531B" w14:textId="77777777">
        <w:trPr>
          <w:trHeight w:val="2618"/>
        </w:trPr>
        <w:tc>
          <w:tcPr>
            <w:tcW w:w="7815" w:type="dxa"/>
            <w:shd w:val="clear" w:color="auto" w:fill="FFFFFF"/>
          </w:tcPr>
          <w:p w14:paraId="40D4EC43" w14:textId="77777777" w:rsidR="001F4FBD" w:rsidRDefault="00000000">
            <w:pPr>
              <w:pBdr>
                <w:top w:val="nil"/>
                <w:left w:val="nil"/>
                <w:bottom w:val="nil"/>
                <w:right w:val="nil"/>
                <w:between w:val="nil"/>
              </w:pBdr>
              <w:tabs>
                <w:tab w:val="left" w:pos="0"/>
                <w:tab w:val="left" w:pos="851"/>
              </w:tabs>
              <w:spacing w:after="0" w:line="360" w:lineRule="auto"/>
              <w:ind w:left="360"/>
              <w:jc w:val="both"/>
              <w:rPr>
                <w:rFonts w:ascii="GHEA Grapalat" w:eastAsia="GHEA Grapalat" w:hAnsi="GHEA Grapalat" w:cs="GHEA Grapalat"/>
                <w:color w:val="000000"/>
                <w:sz w:val="24"/>
                <w:szCs w:val="24"/>
              </w:rPr>
            </w:pPr>
            <w:r>
              <w:rPr>
                <w:rFonts w:ascii="GHEA Grapalat" w:eastAsia="GHEA Grapalat" w:hAnsi="GHEA Grapalat" w:cs="GHEA Grapalat"/>
                <w:color w:val="222222"/>
                <w:sz w:val="24"/>
                <w:szCs w:val="24"/>
              </w:rPr>
              <w:t xml:space="preserve">5. </w:t>
            </w:r>
            <w:r>
              <w:rPr>
                <w:rFonts w:ascii="GHEA Grapalat" w:eastAsia="GHEA Grapalat" w:hAnsi="GHEA Grapalat" w:cs="GHEA Grapalat"/>
                <w:color w:val="000000"/>
                <w:sz w:val="24"/>
                <w:szCs w:val="24"/>
              </w:rPr>
              <w:t xml:space="preserve"> Ծրագրում նպատակահարմար է ներկայացնել ոչ միայն ոլորտի, այլ նաև ընկերությունների մասին տեղեկատվությունը՝ խմբավորված ըստ արտադրության ծավալի, աշխատողների քանակի, տեխնիկական հագեցվածության, արտահանման ծավալի և այլն։ Նման տեղեկատվությունը հնարավորություն կտա գնահատելու թե առաջնահերթ որ խմբի կազմակերպություններն են հանդիսանալու ծրագրի շահառուներ։</w:t>
            </w:r>
          </w:p>
          <w:p w14:paraId="4378904B" w14:textId="77777777" w:rsidR="001F4FBD" w:rsidRDefault="001F4FBD">
            <w:pPr>
              <w:shd w:val="clear" w:color="auto" w:fill="FFFFFF"/>
              <w:spacing w:after="0" w:line="360" w:lineRule="auto"/>
              <w:ind w:left="72" w:hanging="72"/>
              <w:jc w:val="both"/>
              <w:rPr>
                <w:rFonts w:ascii="GHEA Grapalat" w:eastAsia="GHEA Grapalat" w:hAnsi="GHEA Grapalat" w:cs="GHEA Grapalat"/>
                <w:color w:val="222222"/>
                <w:sz w:val="24"/>
                <w:szCs w:val="24"/>
              </w:rPr>
            </w:pPr>
          </w:p>
          <w:p w14:paraId="034471CE" w14:textId="77777777" w:rsidR="001F4FBD" w:rsidRDefault="001F4FBD">
            <w:pPr>
              <w:spacing w:after="0" w:line="360" w:lineRule="auto"/>
              <w:ind w:left="72" w:hanging="72"/>
              <w:jc w:val="both"/>
              <w:rPr>
                <w:rFonts w:ascii="GHEA Grapalat" w:eastAsia="GHEA Grapalat" w:hAnsi="GHEA Grapalat" w:cs="GHEA Grapalat"/>
                <w:color w:val="222222"/>
                <w:sz w:val="24"/>
                <w:szCs w:val="24"/>
                <w:highlight w:val="white"/>
              </w:rPr>
            </w:pPr>
          </w:p>
        </w:tc>
        <w:tc>
          <w:tcPr>
            <w:tcW w:w="7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CE962B" w14:textId="77777777" w:rsidR="001F4FBD" w:rsidRDefault="00000000">
            <w:pPr>
              <w:ind w:left="140" w:right="140"/>
              <w:rPr>
                <w:rFonts w:ascii="GHEA Grapalat" w:eastAsia="GHEA Grapalat" w:hAnsi="GHEA Grapalat" w:cs="GHEA Grapalat"/>
                <w:sz w:val="24"/>
                <w:szCs w:val="24"/>
              </w:rPr>
            </w:pPr>
            <w:r>
              <w:rPr>
                <w:rFonts w:ascii="GHEA Grapalat" w:eastAsia="GHEA Grapalat" w:hAnsi="GHEA Grapalat" w:cs="GHEA Grapalat"/>
                <w:sz w:val="24"/>
                <w:szCs w:val="24"/>
              </w:rPr>
              <w:t>Չի ընդունվել:</w:t>
            </w:r>
          </w:p>
          <w:p w14:paraId="5763E183" w14:textId="77777777" w:rsidR="001F4FBD" w:rsidRDefault="00000000">
            <w:pPr>
              <w:spacing w:before="240"/>
              <w:ind w:left="140" w:right="140"/>
              <w:rPr>
                <w:rFonts w:ascii="GHEA Grapalat" w:eastAsia="GHEA Grapalat" w:hAnsi="GHEA Grapalat" w:cs="GHEA Grapalat"/>
                <w:sz w:val="24"/>
                <w:szCs w:val="24"/>
              </w:rPr>
            </w:pPr>
            <w:r>
              <w:rPr>
                <w:rFonts w:ascii="GHEA Grapalat" w:eastAsia="GHEA Grapalat" w:hAnsi="GHEA Grapalat" w:cs="GHEA Grapalat"/>
                <w:sz w:val="24"/>
                <w:szCs w:val="24"/>
              </w:rPr>
              <w:t>Հավելված 2-ում նշվում է, որ ներկայացված բոլոր ծրագրերը վերաբերում են այն ընկերություններին, որոնք գերազանցում են Էկոնոմիկայի նախարարության կողմից սահմանված Ավելացված արժեքի ցուցանիշի տարեկան շեմը` բացառությունները առանձին նշելով:</w:t>
            </w:r>
          </w:p>
        </w:tc>
      </w:tr>
      <w:tr w:rsidR="001F4FBD" w14:paraId="24EA21FA" w14:textId="77777777">
        <w:trPr>
          <w:trHeight w:val="2618"/>
        </w:trPr>
        <w:tc>
          <w:tcPr>
            <w:tcW w:w="7815" w:type="dxa"/>
            <w:shd w:val="clear" w:color="auto" w:fill="FFFFFF"/>
          </w:tcPr>
          <w:p w14:paraId="05B3F799" w14:textId="77777777" w:rsidR="001F4FBD" w:rsidRDefault="00000000">
            <w:pPr>
              <w:pBdr>
                <w:top w:val="nil"/>
                <w:left w:val="nil"/>
                <w:bottom w:val="nil"/>
                <w:right w:val="nil"/>
                <w:between w:val="nil"/>
              </w:pBdr>
              <w:tabs>
                <w:tab w:val="left" w:pos="0"/>
                <w:tab w:val="left" w:pos="851"/>
              </w:tabs>
              <w:spacing w:after="0" w:line="360" w:lineRule="auto"/>
              <w:ind w:left="360"/>
              <w:jc w:val="both"/>
              <w:rPr>
                <w:rFonts w:ascii="GHEA Grapalat" w:eastAsia="GHEA Grapalat" w:hAnsi="GHEA Grapalat" w:cs="GHEA Grapalat"/>
                <w:color w:val="000000"/>
                <w:sz w:val="24"/>
                <w:szCs w:val="24"/>
              </w:rPr>
            </w:pPr>
            <w:r>
              <w:rPr>
                <w:rFonts w:ascii="GHEA Grapalat" w:eastAsia="GHEA Grapalat" w:hAnsi="GHEA Grapalat" w:cs="GHEA Grapalat"/>
                <w:color w:val="222222"/>
                <w:sz w:val="24"/>
                <w:szCs w:val="24"/>
              </w:rPr>
              <w:lastRenderedPageBreak/>
              <w:t xml:space="preserve">6. </w:t>
            </w:r>
            <w:r>
              <w:rPr>
                <w:rFonts w:ascii="GHEA Grapalat" w:eastAsia="GHEA Grapalat" w:hAnsi="GHEA Grapalat" w:cs="GHEA Grapalat"/>
                <w:color w:val="000000"/>
                <w:sz w:val="24"/>
                <w:szCs w:val="24"/>
              </w:rPr>
              <w:t xml:space="preserve"> Ծրագրով 1000 խոշոր հարկատուների ցանկում ընդգրկված տեքստիլ ընկերությունների կողմից վճարվող հարկերը Աղյուսակ 9-ի համաձայն 5 տարվա համար գնահատվել են 19.1 մլրդ դրամ, իսկ բյուջետային ծախսերը 15.8 մլրդ դրամ (տարբերությունը 3.3 մլրդ դրամ), սակայն վերջին երկու տարվա պարագայում տարբերությունը կազմում է շուրջ -1,8 մլրդ դրամ։ Տվյալ դեպքում անհասկանալի է աջակցության գնահատված տարբերակը, քանի որ գնալով պետության աջակցությունը ավելի առաջանցիկ է մեծանում, քան ոլորտից ստացվող լրացուցիչ հարկային եկամուտները։ Միաժամանակ առաջարկում ենք Աղյուսակ 9-ի բյուջետային ծախսերի և թիվ 2 հավելվածի ցուցանիշները համապատասխանեցնել միմյանց, իսկ վերոնշյալ աղյուսակից հանել 2022թ-ի ցուցանիշները:</w:t>
            </w:r>
          </w:p>
          <w:p w14:paraId="642E5251" w14:textId="77777777" w:rsidR="001F4FBD" w:rsidRDefault="001F4FBD">
            <w:pPr>
              <w:shd w:val="clear" w:color="auto" w:fill="FFFFFF"/>
              <w:spacing w:after="0" w:line="360" w:lineRule="auto"/>
              <w:ind w:left="72" w:hanging="72"/>
              <w:jc w:val="both"/>
              <w:rPr>
                <w:rFonts w:ascii="GHEA Grapalat" w:eastAsia="GHEA Grapalat" w:hAnsi="GHEA Grapalat" w:cs="GHEA Grapalat"/>
                <w:color w:val="222222"/>
                <w:sz w:val="24"/>
                <w:szCs w:val="24"/>
              </w:rPr>
            </w:pPr>
          </w:p>
        </w:tc>
        <w:tc>
          <w:tcPr>
            <w:tcW w:w="7065" w:type="dxa"/>
            <w:shd w:val="clear" w:color="auto" w:fill="FFFFFF"/>
          </w:tcPr>
          <w:p w14:paraId="6018CDEF" w14:textId="77777777" w:rsidR="001F4FBD" w:rsidRDefault="00000000">
            <w:pPr>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t xml:space="preserve">Ընդունվել է մասամբ։ </w:t>
            </w:r>
          </w:p>
          <w:p w14:paraId="32A121DE" w14:textId="77777777" w:rsidR="001F4FBD" w:rsidRDefault="001F4FBD">
            <w:pPr>
              <w:spacing w:after="0" w:line="240" w:lineRule="auto"/>
              <w:rPr>
                <w:rFonts w:ascii="GHEA Grapalat" w:eastAsia="GHEA Grapalat" w:hAnsi="GHEA Grapalat" w:cs="GHEA Grapalat"/>
                <w:sz w:val="24"/>
                <w:szCs w:val="24"/>
              </w:rPr>
            </w:pPr>
          </w:p>
          <w:p w14:paraId="6A9D0588" w14:textId="77777777" w:rsidR="001F4FBD" w:rsidRDefault="00000000">
            <w:pPr>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t xml:space="preserve">Փոփոխվել են աղյուսակի թվերը՝ պայմանավորված բյուջետայի ծախսերի կրճատմամբ, իսկ նշված թիվը չի կազմում ամբողջ հարկերը, այլ միայն հարկային մուտքերի հավելաճը: Հարկային վճարումների  նշված բարձր մակարդակը ենթադրվում է, որ մնալու է կայուն նախատեսված պետական միջամտության ավարտից հետո ևս, ինչպես նաև ստեղծելու է մուլտիպլիկատիվ էֆեկտ:  </w:t>
            </w:r>
          </w:p>
        </w:tc>
      </w:tr>
      <w:tr w:rsidR="001F4FBD" w14:paraId="1BB4F191" w14:textId="77777777">
        <w:trPr>
          <w:trHeight w:val="2618"/>
        </w:trPr>
        <w:tc>
          <w:tcPr>
            <w:tcW w:w="7815" w:type="dxa"/>
            <w:shd w:val="clear" w:color="auto" w:fill="FFFFFF"/>
          </w:tcPr>
          <w:p w14:paraId="4526390E" w14:textId="77777777" w:rsidR="001F4FBD" w:rsidRDefault="00000000">
            <w:pPr>
              <w:pBdr>
                <w:top w:val="nil"/>
                <w:left w:val="nil"/>
                <w:bottom w:val="nil"/>
                <w:right w:val="nil"/>
                <w:between w:val="nil"/>
              </w:pBdr>
              <w:tabs>
                <w:tab w:val="left" w:pos="0"/>
                <w:tab w:val="left" w:pos="851"/>
              </w:tabs>
              <w:spacing w:after="0" w:line="360" w:lineRule="auto"/>
              <w:ind w:left="360"/>
              <w:jc w:val="both"/>
              <w:rPr>
                <w:rFonts w:ascii="GHEA Grapalat" w:eastAsia="GHEA Grapalat" w:hAnsi="GHEA Grapalat" w:cs="GHEA Grapalat"/>
                <w:color w:val="000000"/>
                <w:sz w:val="24"/>
                <w:szCs w:val="24"/>
              </w:rPr>
            </w:pPr>
            <w:bookmarkStart w:id="0" w:name="_heading=h.gjdgxs" w:colFirst="0" w:colLast="0"/>
            <w:bookmarkEnd w:id="0"/>
            <w:r>
              <w:rPr>
                <w:rFonts w:ascii="GHEA Grapalat" w:eastAsia="GHEA Grapalat" w:hAnsi="GHEA Grapalat" w:cs="GHEA Grapalat"/>
                <w:color w:val="222222"/>
                <w:sz w:val="24"/>
                <w:szCs w:val="24"/>
              </w:rPr>
              <w:t xml:space="preserve">7. </w:t>
            </w:r>
            <w:r>
              <w:rPr>
                <w:rFonts w:ascii="GHEA Grapalat" w:eastAsia="GHEA Grapalat" w:hAnsi="GHEA Grapalat" w:cs="GHEA Grapalat"/>
                <w:color w:val="000000"/>
                <w:sz w:val="24"/>
                <w:szCs w:val="24"/>
              </w:rPr>
              <w:t xml:space="preserve"> Ծրագրում անդրադարձ չի կատարվել արտապատվիրված ծառայությունների մոդելի (հայտնի բրենդների հետ համագործակցության) հետագա կիրառման նպատակահարմարությանը, ինչը, որպես իրողություն, </w:t>
            </w:r>
            <w:r>
              <w:rPr>
                <w:rFonts w:ascii="GHEA Grapalat" w:eastAsia="GHEA Grapalat" w:hAnsi="GHEA Grapalat" w:cs="GHEA Grapalat"/>
                <w:color w:val="000000"/>
                <w:sz w:val="24"/>
                <w:szCs w:val="24"/>
              </w:rPr>
              <w:lastRenderedPageBreak/>
              <w:t>նկարագրված է ներկա «Հայաստանի տեքստիլ արդյունաբերության ակնարկ» բաժնում։</w:t>
            </w:r>
          </w:p>
          <w:p w14:paraId="6667A1A1" w14:textId="77777777" w:rsidR="001F4FBD" w:rsidRDefault="001F4FBD">
            <w:pPr>
              <w:shd w:val="clear" w:color="auto" w:fill="FFFFFF"/>
              <w:spacing w:after="0" w:line="360" w:lineRule="auto"/>
              <w:ind w:left="72" w:hanging="72"/>
              <w:jc w:val="both"/>
              <w:rPr>
                <w:rFonts w:ascii="GHEA Grapalat" w:eastAsia="GHEA Grapalat" w:hAnsi="GHEA Grapalat" w:cs="GHEA Grapalat"/>
                <w:color w:val="222222"/>
                <w:sz w:val="24"/>
                <w:szCs w:val="24"/>
                <w:highlight w:val="white"/>
              </w:rPr>
            </w:pPr>
          </w:p>
          <w:p w14:paraId="30B08BA2" w14:textId="77777777" w:rsidR="001F4FBD" w:rsidRDefault="001F4FBD">
            <w:pPr>
              <w:spacing w:after="0" w:line="360" w:lineRule="auto"/>
              <w:ind w:left="72" w:hanging="72"/>
              <w:jc w:val="both"/>
              <w:rPr>
                <w:rFonts w:ascii="GHEA Grapalat" w:eastAsia="GHEA Grapalat" w:hAnsi="GHEA Grapalat" w:cs="GHEA Grapalat"/>
                <w:color w:val="222222"/>
                <w:sz w:val="24"/>
                <w:szCs w:val="24"/>
              </w:rPr>
            </w:pPr>
          </w:p>
        </w:tc>
        <w:tc>
          <w:tcPr>
            <w:tcW w:w="7065" w:type="dxa"/>
            <w:shd w:val="clear" w:color="auto" w:fill="FFFFFF"/>
          </w:tcPr>
          <w:p w14:paraId="7FE9A023" w14:textId="77777777" w:rsidR="001F4FBD" w:rsidRDefault="001F4FBD">
            <w:pPr>
              <w:spacing w:after="0" w:line="240" w:lineRule="auto"/>
              <w:rPr>
                <w:rFonts w:ascii="GHEA Grapalat" w:eastAsia="GHEA Grapalat" w:hAnsi="GHEA Grapalat" w:cs="GHEA Grapalat"/>
                <w:sz w:val="24"/>
                <w:szCs w:val="24"/>
              </w:rPr>
            </w:pPr>
          </w:p>
          <w:tbl>
            <w:tblPr>
              <w:tblStyle w:val="a2"/>
              <w:tblW w:w="4395" w:type="dxa"/>
              <w:tblInd w:w="15" w:type="dxa"/>
              <w:tblLayout w:type="fixed"/>
              <w:tblLook w:val="0600" w:firstRow="0" w:lastRow="0" w:firstColumn="0" w:lastColumn="0" w:noHBand="1" w:noVBand="1"/>
            </w:tblPr>
            <w:tblGrid>
              <w:gridCol w:w="4395"/>
            </w:tblGrid>
            <w:tr w:rsidR="001F4FBD" w14:paraId="6EDE1730" w14:textId="77777777">
              <w:trPr>
                <w:trHeight w:val="1500"/>
              </w:trPr>
              <w:tc>
                <w:tcPr>
                  <w:tcW w:w="4395" w:type="dxa"/>
                  <w:tcMar>
                    <w:top w:w="100" w:type="dxa"/>
                    <w:left w:w="180" w:type="dxa"/>
                    <w:bottom w:w="100" w:type="dxa"/>
                    <w:right w:w="180" w:type="dxa"/>
                  </w:tcMar>
                </w:tcPr>
                <w:p w14:paraId="40B15A32" w14:textId="77777777" w:rsidR="001F4FBD" w:rsidRDefault="00000000">
                  <w:pPr>
                    <w:spacing w:before="240" w:after="0"/>
                    <w:rPr>
                      <w:rFonts w:ascii="GHEA Grapalat" w:eastAsia="GHEA Grapalat" w:hAnsi="GHEA Grapalat" w:cs="GHEA Grapalat"/>
                      <w:sz w:val="24"/>
                      <w:szCs w:val="24"/>
                    </w:rPr>
                  </w:pPr>
                  <w:r>
                    <w:rPr>
                      <w:rFonts w:ascii="GHEA Grapalat" w:eastAsia="GHEA Grapalat" w:hAnsi="GHEA Grapalat" w:cs="GHEA Grapalat"/>
                      <w:sz w:val="24"/>
                      <w:szCs w:val="24"/>
                    </w:rPr>
                    <w:t>Ընդունվել է ի գիտություն:</w:t>
                  </w:r>
                </w:p>
              </w:tc>
            </w:tr>
          </w:tbl>
          <w:p w14:paraId="592C8346" w14:textId="77777777" w:rsidR="001F4FBD" w:rsidRDefault="00000000">
            <w:pPr>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t>Ռազմավարությունը թիրախավորում է ավելացված արժեքը և բարձր արտադրողականությունը:</w:t>
            </w:r>
          </w:p>
        </w:tc>
      </w:tr>
      <w:tr w:rsidR="001F4FBD" w14:paraId="210EA0A8" w14:textId="77777777">
        <w:trPr>
          <w:trHeight w:val="2618"/>
        </w:trPr>
        <w:tc>
          <w:tcPr>
            <w:tcW w:w="7815" w:type="dxa"/>
            <w:shd w:val="clear" w:color="auto" w:fill="FFFFFF"/>
          </w:tcPr>
          <w:p w14:paraId="07A4190D" w14:textId="77777777" w:rsidR="001F4FBD" w:rsidRDefault="00000000">
            <w:pPr>
              <w:pBdr>
                <w:top w:val="nil"/>
                <w:left w:val="nil"/>
                <w:bottom w:val="nil"/>
                <w:right w:val="nil"/>
                <w:between w:val="nil"/>
              </w:pBdr>
              <w:tabs>
                <w:tab w:val="left" w:pos="0"/>
                <w:tab w:val="left" w:pos="851"/>
              </w:tabs>
              <w:spacing w:after="0" w:line="360" w:lineRule="auto"/>
              <w:ind w:left="360"/>
              <w:jc w:val="both"/>
              <w:rPr>
                <w:rFonts w:ascii="GHEA Grapalat" w:eastAsia="GHEA Grapalat" w:hAnsi="GHEA Grapalat" w:cs="GHEA Grapalat"/>
                <w:color w:val="FF0000"/>
                <w:sz w:val="24"/>
                <w:szCs w:val="24"/>
              </w:rPr>
            </w:pPr>
            <w:r>
              <w:rPr>
                <w:rFonts w:ascii="GHEA Grapalat" w:eastAsia="GHEA Grapalat" w:hAnsi="GHEA Grapalat" w:cs="GHEA Grapalat"/>
                <w:color w:val="222222"/>
                <w:sz w:val="24"/>
                <w:szCs w:val="24"/>
              </w:rPr>
              <w:t xml:space="preserve">8. </w:t>
            </w:r>
            <w:r>
              <w:rPr>
                <w:rFonts w:ascii="GHEA Grapalat" w:eastAsia="GHEA Grapalat" w:hAnsi="GHEA Grapalat" w:cs="GHEA Grapalat"/>
                <w:color w:val="000000"/>
                <w:sz w:val="24"/>
                <w:szCs w:val="24"/>
              </w:rPr>
              <w:t xml:space="preserve"> Նախագծի 2-րդ հավելվածով հաստատվող Հայաստանի տեքստիլ արդյունաբերության զարգացման ծրագրից բխող 2023-2026 թվականների գործողությունների ծրագրով ինստիտուցիոնալ լուծումների շրջանակներում նախատեսվում է օպերատորի ստեղծում՝ նախորդ տարբերակով ներկայացված հիմնադրամի փոխարեն: Այդ կապակցությամբ օպերատորի փոխարեն կրկին անգամ կարևորում ենք ոլորտի ընկերությունների կողմից միության ստեղծման գաղափարը, որ ոլորտի ինքնակազմակերպման համար համար կհանդիսանա առաջնորդող, իսկ պետությունն, ըստ անհրաժեշտության,  կարող է ունենալ ֆինանսական մասնակցություն։ </w:t>
            </w:r>
            <w:r w:rsidRPr="00C91B65">
              <w:rPr>
                <w:rFonts w:ascii="GHEA Grapalat" w:eastAsia="GHEA Grapalat" w:hAnsi="GHEA Grapalat" w:cs="GHEA Grapalat"/>
                <w:color w:val="000000" w:themeColor="text1"/>
                <w:sz w:val="24"/>
                <w:szCs w:val="24"/>
              </w:rPr>
              <w:t>Միաժամանակ առաջարկում ենք օպերատորի համար սահմանել արդյունքային ցուցանիշներ՝ վերջինիս աշխատանքը գնահատելու նպատակով:</w:t>
            </w:r>
          </w:p>
          <w:p w14:paraId="3D61C53D" w14:textId="77777777" w:rsidR="001F4FBD" w:rsidRDefault="001F4FBD">
            <w:pPr>
              <w:spacing w:after="0" w:line="360" w:lineRule="auto"/>
              <w:ind w:left="72" w:hanging="72"/>
              <w:jc w:val="both"/>
              <w:rPr>
                <w:rFonts w:ascii="GHEA Grapalat" w:eastAsia="GHEA Grapalat" w:hAnsi="GHEA Grapalat" w:cs="GHEA Grapalat"/>
                <w:color w:val="222222"/>
                <w:sz w:val="24"/>
                <w:szCs w:val="24"/>
              </w:rPr>
            </w:pPr>
          </w:p>
          <w:p w14:paraId="6AD893DE" w14:textId="77777777" w:rsidR="001F4FBD" w:rsidRDefault="001F4FBD">
            <w:pPr>
              <w:spacing w:after="0" w:line="360" w:lineRule="auto"/>
              <w:ind w:left="72" w:hanging="72"/>
              <w:jc w:val="both"/>
              <w:rPr>
                <w:rFonts w:ascii="GHEA Grapalat" w:eastAsia="GHEA Grapalat" w:hAnsi="GHEA Grapalat" w:cs="GHEA Grapalat"/>
                <w:color w:val="222222"/>
                <w:sz w:val="24"/>
                <w:szCs w:val="24"/>
              </w:rPr>
            </w:pPr>
          </w:p>
          <w:p w14:paraId="11AD9C45" w14:textId="77777777" w:rsidR="001F4FBD" w:rsidRDefault="001F4FBD">
            <w:pPr>
              <w:shd w:val="clear" w:color="auto" w:fill="FFFFFF"/>
              <w:spacing w:after="0" w:line="360" w:lineRule="auto"/>
              <w:ind w:left="72" w:hanging="72"/>
              <w:jc w:val="right"/>
              <w:rPr>
                <w:rFonts w:ascii="GHEA Grapalat" w:eastAsia="GHEA Grapalat" w:hAnsi="GHEA Grapalat" w:cs="GHEA Grapalat"/>
                <w:color w:val="222222"/>
                <w:sz w:val="24"/>
                <w:szCs w:val="24"/>
              </w:rPr>
            </w:pPr>
          </w:p>
        </w:tc>
        <w:tc>
          <w:tcPr>
            <w:tcW w:w="7065" w:type="dxa"/>
            <w:shd w:val="clear" w:color="auto" w:fill="FFFFFF"/>
          </w:tcPr>
          <w:p w14:paraId="4C50B6D7" w14:textId="77777777" w:rsidR="001F4FBD" w:rsidRDefault="00000000">
            <w:pPr>
              <w:spacing w:after="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Չի ընդունվել։</w:t>
            </w:r>
          </w:p>
          <w:p w14:paraId="4F8343A6" w14:textId="77777777" w:rsidR="001F4FBD" w:rsidRDefault="001F4FBD">
            <w:pPr>
              <w:spacing w:after="0"/>
              <w:jc w:val="both"/>
              <w:rPr>
                <w:rFonts w:ascii="GHEA Grapalat" w:eastAsia="GHEA Grapalat" w:hAnsi="GHEA Grapalat" w:cs="GHEA Grapalat"/>
                <w:sz w:val="24"/>
                <w:szCs w:val="24"/>
              </w:rPr>
            </w:pPr>
          </w:p>
          <w:p w14:paraId="79C72692" w14:textId="708A7122" w:rsidR="001F4FBD" w:rsidRPr="00C91B65" w:rsidRDefault="00000000">
            <w:pPr>
              <w:spacing w:after="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Նախատեսվող հիմնադրամը ինքնին հանդիսանում է ոլորտի ընկերությունների մասնակցությամբ ստեղծվաած միությունը: Ոլորտի ընկերությունները ներկայացված են լինելու հիմնադրամի հոգաբարձուների խորհրդի կազմում: Այն ծրագրերը, որոնք նախատեսվում են իրականացվել ոլորտի ընկերությունների անմիջական մասնակցույթամբ ունեն պարտադիր համաֆինանսավորման սկզբունք, ինչն էլ կհանգեցնի հիմնադրամի երկարաժամկետ կայունության` հանրային ֆինանսավորման նվազագույն մասնակցության: </w:t>
            </w:r>
            <w:r w:rsidR="00C91B65">
              <w:rPr>
                <w:rFonts w:ascii="GHEA Grapalat" w:eastAsia="GHEA Grapalat" w:hAnsi="GHEA Grapalat" w:cs="GHEA Grapalat"/>
                <w:sz w:val="24"/>
                <w:szCs w:val="24"/>
              </w:rPr>
              <w:br/>
              <w:t xml:space="preserve">Օպերատորի արդյունավետության գնահատման համար՝ Հավելված 2-ում ներկայացված է ցուցանիշի նկարագրությունը և ելքային տվյալները՝ ըստ ժամանակցույցի։ </w:t>
            </w:r>
          </w:p>
          <w:p w14:paraId="681FA520" w14:textId="77777777" w:rsidR="001F4FBD" w:rsidRDefault="001F4FBD">
            <w:pPr>
              <w:spacing w:after="0"/>
              <w:jc w:val="both"/>
              <w:rPr>
                <w:rFonts w:ascii="GHEA Grapalat" w:eastAsia="GHEA Grapalat" w:hAnsi="GHEA Grapalat" w:cs="GHEA Grapalat"/>
                <w:sz w:val="24"/>
                <w:szCs w:val="24"/>
              </w:rPr>
            </w:pPr>
          </w:p>
        </w:tc>
      </w:tr>
      <w:tr w:rsidR="001F4FBD" w14:paraId="42F45BE0" w14:textId="77777777">
        <w:trPr>
          <w:trHeight w:val="2618"/>
        </w:trPr>
        <w:tc>
          <w:tcPr>
            <w:tcW w:w="7815" w:type="dxa"/>
            <w:shd w:val="clear" w:color="auto" w:fill="FFFFFF"/>
          </w:tcPr>
          <w:p w14:paraId="49361350" w14:textId="77777777" w:rsidR="001F4FBD" w:rsidRDefault="00000000">
            <w:pPr>
              <w:pBdr>
                <w:top w:val="nil"/>
                <w:left w:val="nil"/>
                <w:bottom w:val="nil"/>
                <w:right w:val="nil"/>
                <w:between w:val="nil"/>
              </w:pBdr>
              <w:tabs>
                <w:tab w:val="left" w:pos="0"/>
                <w:tab w:val="left" w:pos="851"/>
              </w:tabs>
              <w:spacing w:after="0" w:line="360" w:lineRule="auto"/>
              <w:ind w:left="360"/>
              <w:jc w:val="both"/>
              <w:rPr>
                <w:rFonts w:ascii="GHEA Grapalat" w:eastAsia="GHEA Grapalat" w:hAnsi="GHEA Grapalat" w:cs="GHEA Grapalat"/>
                <w:color w:val="000000"/>
                <w:sz w:val="24"/>
                <w:szCs w:val="24"/>
              </w:rPr>
            </w:pPr>
            <w:r>
              <w:rPr>
                <w:rFonts w:ascii="GHEA Grapalat" w:eastAsia="GHEA Grapalat" w:hAnsi="GHEA Grapalat" w:cs="GHEA Grapalat"/>
                <w:color w:val="222222"/>
                <w:sz w:val="24"/>
                <w:szCs w:val="24"/>
              </w:rPr>
              <w:t xml:space="preserve">9. </w:t>
            </w:r>
            <w:r>
              <w:rPr>
                <w:rFonts w:ascii="GHEA Grapalat" w:eastAsia="GHEA Grapalat" w:hAnsi="GHEA Grapalat" w:cs="GHEA Grapalat"/>
                <w:color w:val="000000"/>
                <w:sz w:val="24"/>
                <w:szCs w:val="24"/>
              </w:rPr>
              <w:t xml:space="preserve"> Առաջարկում ենք հանել նախագծի 1-ին կետի 2-րդ ենթակետով հաստատվող թիվ 2 հավելվածի աղյուսակի 4.1-ին կետը, քանի որ այդ կետով առաջարկվում է փոփոխել կարգավորող իրավական ակտերը՝ ոլորտի ընկերություններին հնարավորություն տալով հարկային հաշվառում կատարելիս կիրառել սարքերի մաշվածության արագացված մասհանումներ այն մեքենաների և տեխնիկական լուծումների վերաբերյալ, որոնք նշված են ՀՀ էկոնոմիկայի նախարարության կողմից սահմանված մասնագրերում: Ընդ որում, մեր առաջարկությունը մի կողմից հիմնավորվում է այն հանգամանքով, որ հարկային արտոնյալ կարգավորումների սահմանումը հակադրվում է կառավարության կողմից իրականացվող հարկային քաղաքականության սկզբունքներին, մյուս կողմից հիմնավորվում է այն </w:t>
            </w:r>
            <w:r>
              <w:rPr>
                <w:rFonts w:ascii="GHEA Grapalat" w:eastAsia="GHEA Grapalat" w:hAnsi="GHEA Grapalat" w:cs="GHEA Grapalat"/>
                <w:color w:val="000000"/>
                <w:sz w:val="24"/>
                <w:szCs w:val="24"/>
              </w:rPr>
              <w:lastRenderedPageBreak/>
              <w:t>հանգամանքով, որ Հարկային օրենսգրքով արդեն իսկ սահմանված են սարքավորումների արագացված ամորտիզացիայի հնարավորություններ ամորտիզացիոն նվազագույն ժամկետը սահմանված է ընդամենը 5 տարի, որոնց երկար լինելու կապակցությամբ որևէ հիմնավորում նախագծով ներկայացված չեն:</w:t>
            </w:r>
          </w:p>
          <w:p w14:paraId="3A8FCC70" w14:textId="77777777" w:rsidR="001F4FBD" w:rsidRDefault="00000000">
            <w:pPr>
              <w:tabs>
                <w:tab w:val="left" w:pos="0"/>
                <w:tab w:val="left" w:pos="567"/>
              </w:tabs>
              <w:spacing w:after="0" w:line="360" w:lineRule="auto"/>
              <w:ind w:firstLine="561"/>
              <w:jc w:val="both"/>
              <w:rPr>
                <w:rFonts w:ascii="GHEA Grapalat" w:eastAsia="GHEA Grapalat" w:hAnsi="GHEA Grapalat" w:cs="GHEA Grapalat"/>
                <w:sz w:val="24"/>
                <w:szCs w:val="24"/>
              </w:rPr>
            </w:pPr>
            <w:r>
              <w:rPr>
                <w:rFonts w:ascii="GHEA Grapalat" w:eastAsia="GHEA Grapalat" w:hAnsi="GHEA Grapalat" w:cs="GHEA Grapalat"/>
                <w:sz w:val="24"/>
                <w:szCs w:val="24"/>
              </w:rPr>
              <w:tab/>
              <w:t>Միևնույն ժամանակ, հարկ ենք համարում հայտնել, որ առաջարկությունների ընդունման դեպքում կարող է ստացվել այնպես, որ մեկ ընկերությանը տրամադրված փոխհատուցման գումարը կգերազանցի ընկերության կողմից վճարված շահութահարկի գումարը, հետևաբար անհրաժեշտ է սահմանել համապատասխան սահմանափակումներ:</w:t>
            </w:r>
          </w:p>
          <w:p w14:paraId="39A2BF80" w14:textId="77777777" w:rsidR="001F4FBD" w:rsidRDefault="001F4FBD">
            <w:pPr>
              <w:spacing w:after="0" w:line="360" w:lineRule="auto"/>
              <w:ind w:left="72" w:hanging="72"/>
              <w:jc w:val="both"/>
              <w:rPr>
                <w:rFonts w:ascii="GHEA Grapalat" w:eastAsia="GHEA Grapalat" w:hAnsi="GHEA Grapalat" w:cs="GHEA Grapalat"/>
                <w:color w:val="222222"/>
                <w:sz w:val="24"/>
                <w:szCs w:val="24"/>
              </w:rPr>
            </w:pPr>
          </w:p>
        </w:tc>
        <w:tc>
          <w:tcPr>
            <w:tcW w:w="7065" w:type="dxa"/>
            <w:tcMar>
              <w:top w:w="100" w:type="dxa"/>
              <w:left w:w="180" w:type="dxa"/>
              <w:bottom w:w="100" w:type="dxa"/>
              <w:right w:w="180" w:type="dxa"/>
            </w:tcMar>
          </w:tcPr>
          <w:p w14:paraId="33997109" w14:textId="77777777" w:rsidR="001F4FBD" w:rsidRDefault="00000000">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Չի ընդունվել:</w:t>
            </w:r>
          </w:p>
          <w:p w14:paraId="20923073" w14:textId="77777777" w:rsidR="001F4FBD" w:rsidRDefault="00000000">
            <w:pPr>
              <w:spacing w:before="240"/>
              <w:rPr>
                <w:rFonts w:ascii="GHEA Grapalat" w:eastAsia="GHEA Grapalat" w:hAnsi="GHEA Grapalat" w:cs="GHEA Grapalat"/>
                <w:sz w:val="24"/>
                <w:szCs w:val="24"/>
              </w:rPr>
            </w:pPr>
            <w:r>
              <w:rPr>
                <w:rFonts w:ascii="GHEA Grapalat" w:eastAsia="GHEA Grapalat" w:hAnsi="GHEA Grapalat" w:cs="GHEA Grapalat"/>
                <w:sz w:val="24"/>
                <w:szCs w:val="24"/>
              </w:rPr>
              <w:t>Նշվածը չի հանդիսանում հարկային արտոնություն, այլ հանդիսանում է հարկային պարտավորությունների հետաձգված վճարում: Նշված իրավական հիմքերը ստեղծելով հնարավություն կտրվի ներդրողներին բիզնես գործունեության սկզբնական փուլում հնարավորինս նվազեցնել վճարվելիք շահութահարկը` հետաձգելով տվյալ հարկման բազայի նկատմամբ առաջացած հարկային պարտավորությունները բիզնես գործունեության հետագա տարիներ: Վերոնշյալը հանդիսանում է ընդունված միջազգային փորձ:</w:t>
            </w:r>
          </w:p>
          <w:p w14:paraId="23597EE0" w14:textId="77777777" w:rsidR="001F4FBD" w:rsidRDefault="001F4FBD">
            <w:pPr>
              <w:spacing w:before="240"/>
              <w:rPr>
                <w:rFonts w:ascii="GHEA Grapalat" w:eastAsia="GHEA Grapalat" w:hAnsi="GHEA Grapalat" w:cs="GHEA Grapalat"/>
                <w:color w:val="FF0000"/>
                <w:sz w:val="24"/>
                <w:szCs w:val="24"/>
              </w:rPr>
            </w:pPr>
          </w:p>
          <w:p w14:paraId="3B651BB6" w14:textId="77777777" w:rsidR="001F4FBD" w:rsidRDefault="001F4FBD">
            <w:pPr>
              <w:spacing w:before="240"/>
              <w:rPr>
                <w:rFonts w:ascii="GHEA Grapalat" w:eastAsia="GHEA Grapalat" w:hAnsi="GHEA Grapalat" w:cs="GHEA Grapalat"/>
                <w:color w:val="FF0000"/>
                <w:sz w:val="24"/>
                <w:szCs w:val="24"/>
              </w:rPr>
            </w:pPr>
          </w:p>
          <w:p w14:paraId="30E4E1C5" w14:textId="77777777" w:rsidR="001F4FBD" w:rsidRDefault="001F4FBD">
            <w:pPr>
              <w:spacing w:before="240"/>
              <w:rPr>
                <w:rFonts w:ascii="GHEA Grapalat" w:eastAsia="GHEA Grapalat" w:hAnsi="GHEA Grapalat" w:cs="GHEA Grapalat"/>
                <w:color w:val="FF0000"/>
                <w:sz w:val="24"/>
                <w:szCs w:val="24"/>
              </w:rPr>
            </w:pPr>
          </w:p>
          <w:p w14:paraId="57B61570" w14:textId="77777777" w:rsidR="001F4FBD" w:rsidRDefault="001F4FBD">
            <w:pPr>
              <w:spacing w:before="240"/>
              <w:rPr>
                <w:rFonts w:ascii="GHEA Grapalat" w:eastAsia="GHEA Grapalat" w:hAnsi="GHEA Grapalat" w:cs="GHEA Grapalat"/>
                <w:color w:val="FF0000"/>
                <w:sz w:val="24"/>
                <w:szCs w:val="24"/>
              </w:rPr>
            </w:pPr>
          </w:p>
          <w:p w14:paraId="7F613F7A" w14:textId="77777777" w:rsidR="001F4FBD" w:rsidRDefault="001F4FBD">
            <w:pPr>
              <w:spacing w:before="240"/>
              <w:rPr>
                <w:rFonts w:ascii="GHEA Grapalat" w:eastAsia="GHEA Grapalat" w:hAnsi="GHEA Grapalat" w:cs="GHEA Grapalat"/>
                <w:color w:val="FF0000"/>
                <w:sz w:val="24"/>
                <w:szCs w:val="24"/>
              </w:rPr>
            </w:pPr>
          </w:p>
          <w:p w14:paraId="50CD2AB3" w14:textId="77777777" w:rsidR="001F4FBD" w:rsidRDefault="001F4FBD">
            <w:pPr>
              <w:spacing w:before="240"/>
              <w:rPr>
                <w:rFonts w:ascii="GHEA Grapalat" w:eastAsia="GHEA Grapalat" w:hAnsi="GHEA Grapalat" w:cs="GHEA Grapalat"/>
                <w:color w:val="FF0000"/>
                <w:sz w:val="24"/>
                <w:szCs w:val="24"/>
              </w:rPr>
            </w:pPr>
          </w:p>
          <w:p w14:paraId="69EBE6C6" w14:textId="77777777" w:rsidR="001F4FBD" w:rsidRDefault="001F4FBD">
            <w:pPr>
              <w:spacing w:before="240"/>
              <w:rPr>
                <w:rFonts w:ascii="GHEA Grapalat" w:eastAsia="GHEA Grapalat" w:hAnsi="GHEA Grapalat" w:cs="GHEA Grapalat"/>
                <w:color w:val="FF0000"/>
                <w:sz w:val="24"/>
                <w:szCs w:val="24"/>
              </w:rPr>
            </w:pPr>
          </w:p>
          <w:p w14:paraId="1A011A4A" w14:textId="77777777" w:rsidR="001F4FBD" w:rsidRDefault="001F4FBD">
            <w:pPr>
              <w:spacing w:before="240"/>
              <w:rPr>
                <w:rFonts w:ascii="GHEA Grapalat" w:eastAsia="GHEA Grapalat" w:hAnsi="GHEA Grapalat" w:cs="GHEA Grapalat"/>
                <w:color w:val="FF0000"/>
                <w:sz w:val="24"/>
                <w:szCs w:val="24"/>
              </w:rPr>
            </w:pPr>
          </w:p>
          <w:p w14:paraId="375A52FD" w14:textId="77777777" w:rsidR="001F4FBD" w:rsidRDefault="001F4FBD">
            <w:pPr>
              <w:spacing w:before="240"/>
              <w:rPr>
                <w:rFonts w:ascii="GHEA Grapalat" w:eastAsia="GHEA Grapalat" w:hAnsi="GHEA Grapalat" w:cs="GHEA Grapalat"/>
                <w:color w:val="FF0000"/>
                <w:sz w:val="24"/>
                <w:szCs w:val="24"/>
              </w:rPr>
            </w:pPr>
          </w:p>
          <w:p w14:paraId="1F2E800A" w14:textId="77777777" w:rsidR="001F4FBD" w:rsidRDefault="001F4FBD">
            <w:pPr>
              <w:spacing w:before="240"/>
              <w:rPr>
                <w:rFonts w:ascii="GHEA Grapalat" w:eastAsia="GHEA Grapalat" w:hAnsi="GHEA Grapalat" w:cs="GHEA Grapalat"/>
                <w:color w:val="FF0000"/>
                <w:sz w:val="24"/>
                <w:szCs w:val="24"/>
              </w:rPr>
            </w:pPr>
          </w:p>
          <w:p w14:paraId="55F2C816" w14:textId="77777777" w:rsidR="001F4FBD" w:rsidRDefault="001F4FBD">
            <w:pPr>
              <w:spacing w:before="240"/>
              <w:rPr>
                <w:rFonts w:ascii="GHEA Grapalat" w:eastAsia="GHEA Grapalat" w:hAnsi="GHEA Grapalat" w:cs="GHEA Grapalat"/>
                <w:color w:val="FF0000"/>
                <w:sz w:val="24"/>
                <w:szCs w:val="24"/>
              </w:rPr>
            </w:pPr>
          </w:p>
          <w:p w14:paraId="5DF2E6A2" w14:textId="77777777" w:rsidR="001F4FBD" w:rsidRDefault="001F4FBD">
            <w:pPr>
              <w:spacing w:before="240"/>
              <w:rPr>
                <w:rFonts w:ascii="GHEA Grapalat" w:eastAsia="GHEA Grapalat" w:hAnsi="GHEA Grapalat" w:cs="GHEA Grapalat"/>
                <w:color w:val="FF0000"/>
                <w:sz w:val="24"/>
                <w:szCs w:val="24"/>
              </w:rPr>
            </w:pPr>
          </w:p>
          <w:p w14:paraId="4A86AB3E" w14:textId="77777777" w:rsidR="001F4FBD" w:rsidRDefault="001F4FBD">
            <w:pPr>
              <w:spacing w:before="240"/>
              <w:rPr>
                <w:rFonts w:ascii="GHEA Grapalat" w:eastAsia="GHEA Grapalat" w:hAnsi="GHEA Grapalat" w:cs="GHEA Grapalat"/>
                <w:color w:val="FF0000"/>
                <w:sz w:val="24"/>
                <w:szCs w:val="24"/>
              </w:rPr>
            </w:pPr>
          </w:p>
          <w:p w14:paraId="2B6453EC" w14:textId="77777777" w:rsidR="001F4FBD" w:rsidRDefault="001F4FBD">
            <w:pPr>
              <w:spacing w:before="240"/>
              <w:rPr>
                <w:rFonts w:ascii="GHEA Grapalat" w:eastAsia="GHEA Grapalat" w:hAnsi="GHEA Grapalat" w:cs="GHEA Grapalat"/>
                <w:color w:val="FF0000"/>
                <w:sz w:val="24"/>
                <w:szCs w:val="24"/>
              </w:rPr>
            </w:pPr>
          </w:p>
        </w:tc>
      </w:tr>
      <w:tr w:rsidR="001F4FBD" w14:paraId="75BD651F" w14:textId="77777777">
        <w:trPr>
          <w:trHeight w:val="2618"/>
        </w:trPr>
        <w:tc>
          <w:tcPr>
            <w:tcW w:w="7815" w:type="dxa"/>
            <w:shd w:val="clear" w:color="auto" w:fill="FFFFFF"/>
          </w:tcPr>
          <w:p w14:paraId="337583BB" w14:textId="77777777" w:rsidR="001F4FBD" w:rsidRPr="000B2781" w:rsidRDefault="00000000">
            <w:pPr>
              <w:widowControl w:val="0"/>
              <w:numPr>
                <w:ilvl w:val="0"/>
                <w:numId w:val="1"/>
              </w:numPr>
              <w:pBdr>
                <w:top w:val="nil"/>
                <w:left w:val="nil"/>
                <w:bottom w:val="nil"/>
                <w:right w:val="nil"/>
                <w:between w:val="nil"/>
              </w:pBdr>
              <w:tabs>
                <w:tab w:val="left" w:pos="0"/>
                <w:tab w:val="left" w:pos="567"/>
                <w:tab w:val="left" w:pos="851"/>
              </w:tabs>
              <w:spacing w:after="0" w:line="360" w:lineRule="auto"/>
              <w:ind w:left="0" w:firstLine="561"/>
              <w:jc w:val="both"/>
              <w:rPr>
                <w:rFonts w:ascii="GHEA Grapalat" w:eastAsia="GHEA Grapalat" w:hAnsi="GHEA Grapalat" w:cs="GHEA Grapalat"/>
                <w:color w:val="000000" w:themeColor="text1"/>
                <w:sz w:val="24"/>
                <w:szCs w:val="24"/>
              </w:rPr>
            </w:pPr>
            <w:r w:rsidRPr="000B2781">
              <w:rPr>
                <w:rFonts w:ascii="GHEA Grapalat" w:eastAsia="GHEA Grapalat" w:hAnsi="GHEA Grapalat" w:cs="GHEA Grapalat"/>
                <w:color w:val="000000" w:themeColor="text1"/>
                <w:sz w:val="24"/>
                <w:szCs w:val="24"/>
              </w:rPr>
              <w:lastRenderedPageBreak/>
              <w:t>10</w:t>
            </w:r>
            <w:r w:rsidRPr="000B2781">
              <w:rPr>
                <w:rFonts w:ascii="Cambria Math" w:eastAsia="Cambria Math" w:hAnsi="Cambria Math" w:cs="Cambria Math"/>
                <w:color w:val="000000" w:themeColor="text1"/>
                <w:sz w:val="24"/>
                <w:szCs w:val="24"/>
              </w:rPr>
              <w:t xml:space="preserve">․ </w:t>
            </w:r>
            <w:r w:rsidRPr="000B2781">
              <w:rPr>
                <w:rFonts w:ascii="GHEA Grapalat" w:eastAsia="GHEA Grapalat" w:hAnsi="GHEA Grapalat" w:cs="GHEA Grapalat"/>
                <w:color w:val="000000" w:themeColor="text1"/>
                <w:sz w:val="24"/>
                <w:szCs w:val="24"/>
              </w:rPr>
              <w:t xml:space="preserve"> Նախագծի 1-ին հավելվածում՝</w:t>
            </w:r>
          </w:p>
          <w:p w14:paraId="3E4B713A" w14:textId="77777777" w:rsidR="001F4FBD" w:rsidRPr="000B2781" w:rsidRDefault="00000000">
            <w:pPr>
              <w:widowControl w:val="0"/>
              <w:numPr>
                <w:ilvl w:val="0"/>
                <w:numId w:val="2"/>
              </w:numPr>
              <w:pBdr>
                <w:top w:val="nil"/>
                <w:left w:val="nil"/>
                <w:bottom w:val="nil"/>
                <w:right w:val="nil"/>
                <w:between w:val="nil"/>
              </w:pBdr>
              <w:spacing w:after="0" w:line="360" w:lineRule="auto"/>
              <w:ind w:left="0" w:firstLine="561"/>
              <w:jc w:val="both"/>
              <w:rPr>
                <w:rFonts w:ascii="GHEA Grapalat" w:eastAsia="GHEA Grapalat" w:hAnsi="GHEA Grapalat" w:cs="GHEA Grapalat"/>
                <w:color w:val="000000" w:themeColor="text1"/>
                <w:sz w:val="24"/>
                <w:szCs w:val="24"/>
              </w:rPr>
            </w:pPr>
            <w:r w:rsidRPr="000B2781">
              <w:rPr>
                <w:rFonts w:ascii="GHEA Grapalat" w:eastAsia="GHEA Grapalat" w:hAnsi="GHEA Grapalat" w:cs="GHEA Grapalat"/>
                <w:color w:val="000000" w:themeColor="text1"/>
                <w:sz w:val="24"/>
                <w:szCs w:val="24"/>
              </w:rPr>
              <w:t>Նախագծի այն բոլոր հաշվարկներում, որոնց համար որպես սկզբնաղբյուր նշված է «Սեփական հաշվարկներ», ներկայացված չեն հիմնավորումներ և մեթոդաբանություն, ուստի հարկ ենք համարում նշված հաշվարկները (առնվազն մեթոդաբանությունները) ևս արտացոլել Նախագծում։</w:t>
            </w:r>
          </w:p>
          <w:p w14:paraId="6F43A52B" w14:textId="77777777" w:rsidR="001F4FBD" w:rsidRPr="000B2781" w:rsidRDefault="00000000">
            <w:pPr>
              <w:widowControl w:val="0"/>
              <w:numPr>
                <w:ilvl w:val="0"/>
                <w:numId w:val="2"/>
              </w:numPr>
              <w:pBdr>
                <w:top w:val="nil"/>
                <w:left w:val="nil"/>
                <w:bottom w:val="nil"/>
                <w:right w:val="nil"/>
                <w:between w:val="nil"/>
              </w:pBdr>
              <w:spacing w:after="0" w:line="360" w:lineRule="auto"/>
              <w:ind w:left="0" w:firstLine="561"/>
              <w:jc w:val="both"/>
              <w:rPr>
                <w:rFonts w:ascii="GHEA Grapalat" w:eastAsia="GHEA Grapalat" w:hAnsi="GHEA Grapalat" w:cs="GHEA Grapalat"/>
                <w:color w:val="000000" w:themeColor="text1"/>
                <w:sz w:val="24"/>
                <w:szCs w:val="24"/>
              </w:rPr>
            </w:pPr>
            <w:r w:rsidRPr="000B2781">
              <w:rPr>
                <w:rFonts w:ascii="GHEA Grapalat" w:eastAsia="GHEA Grapalat" w:hAnsi="GHEA Grapalat" w:cs="GHEA Grapalat"/>
                <w:color w:val="000000" w:themeColor="text1"/>
                <w:sz w:val="24"/>
                <w:szCs w:val="24"/>
              </w:rPr>
              <w:t>7</w:t>
            </w:r>
            <w:r w:rsidRPr="000B2781">
              <w:rPr>
                <w:rFonts w:ascii="Cambria Math" w:eastAsia="Cambria Math" w:hAnsi="Cambria Math" w:cs="Cambria Math"/>
                <w:color w:val="000000" w:themeColor="text1"/>
                <w:sz w:val="24"/>
                <w:szCs w:val="24"/>
              </w:rPr>
              <w:t>․</w:t>
            </w:r>
            <w:r w:rsidRPr="000B2781">
              <w:rPr>
                <w:rFonts w:ascii="GHEA Grapalat" w:eastAsia="GHEA Grapalat" w:hAnsi="GHEA Grapalat" w:cs="GHEA Grapalat"/>
                <w:color w:val="000000" w:themeColor="text1"/>
                <w:sz w:val="24"/>
                <w:szCs w:val="24"/>
              </w:rPr>
              <w:t xml:space="preserve">3 բաժնում առանձին հոդվածով առաջարկվում է պետական աջակցություն ցուցաբերել շահառուների չորս հիմնական խմբերի՝ առանձնացնելով այն տեքստիլ ընկերությունները, որոնք մեծացնում են արտադրանքի բարդության ինդեքսը։ Այս մասով, հարկ ենք համարում նշել, որ ներկայացված չեն նշված չորս հիմնական շահառուների խմբերի միջև ակնկալվող աջակցության բաշխման համար հիմք հանդիսացող հաշվարկները, ինչպես նաև ներկայացված չեն այն սկզբունքները, որոնցով ընտրվելու են արտադրանքի բարդության ինդեքսը մեծացմանը նպաստող ընկերությունների ցանկը։ </w:t>
            </w:r>
          </w:p>
          <w:p w14:paraId="1124606E" w14:textId="77777777" w:rsidR="001F4FBD" w:rsidRPr="000B2781" w:rsidRDefault="00000000">
            <w:pPr>
              <w:widowControl w:val="0"/>
              <w:numPr>
                <w:ilvl w:val="0"/>
                <w:numId w:val="2"/>
              </w:numPr>
              <w:pBdr>
                <w:top w:val="nil"/>
                <w:left w:val="nil"/>
                <w:bottom w:val="nil"/>
                <w:right w:val="nil"/>
                <w:between w:val="nil"/>
              </w:pBdr>
              <w:spacing w:after="0" w:line="360" w:lineRule="auto"/>
              <w:ind w:left="0" w:firstLine="561"/>
              <w:jc w:val="both"/>
              <w:rPr>
                <w:rFonts w:ascii="GHEA Grapalat" w:eastAsia="GHEA Grapalat" w:hAnsi="GHEA Grapalat" w:cs="GHEA Grapalat"/>
                <w:color w:val="000000" w:themeColor="text1"/>
                <w:sz w:val="24"/>
                <w:szCs w:val="24"/>
              </w:rPr>
            </w:pPr>
            <w:r w:rsidRPr="000B2781">
              <w:rPr>
                <w:rFonts w:ascii="GHEA Grapalat" w:eastAsia="GHEA Grapalat" w:hAnsi="GHEA Grapalat" w:cs="GHEA Grapalat"/>
                <w:color w:val="000000" w:themeColor="text1"/>
                <w:sz w:val="24"/>
                <w:szCs w:val="24"/>
              </w:rPr>
              <w:t xml:space="preserve"> 8</w:t>
            </w:r>
            <w:r w:rsidRPr="000B2781">
              <w:rPr>
                <w:rFonts w:ascii="Cambria Math" w:eastAsia="Cambria Math" w:hAnsi="Cambria Math" w:cs="Cambria Math"/>
                <w:color w:val="000000" w:themeColor="text1"/>
                <w:sz w:val="24"/>
                <w:szCs w:val="24"/>
              </w:rPr>
              <w:t>․</w:t>
            </w:r>
            <w:r w:rsidRPr="000B2781">
              <w:rPr>
                <w:rFonts w:ascii="GHEA Grapalat" w:eastAsia="GHEA Grapalat" w:hAnsi="GHEA Grapalat" w:cs="GHEA Grapalat"/>
                <w:color w:val="000000" w:themeColor="text1"/>
                <w:sz w:val="24"/>
                <w:szCs w:val="24"/>
              </w:rPr>
              <w:t xml:space="preserve">1 բաժնում կանխատեսված է, որ տեքստիլ ոլորտի միջին աշխատավարձը կաճի 1,5 անգամ՝ որպես նշված աճի հիմք ներկայացնելով պատման վիճակագրական աճի տեմպը, գնաճը և </w:t>
            </w:r>
            <w:r w:rsidRPr="000B2781">
              <w:rPr>
                <w:rFonts w:ascii="GHEA Grapalat" w:eastAsia="GHEA Grapalat" w:hAnsi="GHEA Grapalat" w:cs="GHEA Grapalat"/>
                <w:color w:val="000000" w:themeColor="text1"/>
                <w:sz w:val="24"/>
                <w:szCs w:val="24"/>
              </w:rPr>
              <w:lastRenderedPageBreak/>
              <w:t xml:space="preserve">վերապատրաստում անցած աշխատակիցների թվաքանակի աճը։ Անհրաժեշտ է պարզաբանել, թե ինչ ցուցանիշներ են օգտագործվել նշված ցուցանիշի հաշվարկման հիմքում և ինչպես է գնահատվել աշխատակիցների կողմից վերապատրաստում անցնելու հանգամանքի նպաստումը աշխատավարձի աճին։ </w:t>
            </w:r>
          </w:p>
          <w:p w14:paraId="3B940E8A" w14:textId="77777777" w:rsidR="001F4FBD" w:rsidRDefault="00000000">
            <w:pPr>
              <w:spacing w:after="0" w:line="360" w:lineRule="auto"/>
              <w:ind w:firstLine="561"/>
              <w:jc w:val="both"/>
            </w:pPr>
            <w:r w:rsidRPr="000B2781">
              <w:rPr>
                <w:rFonts w:ascii="GHEA Grapalat" w:eastAsia="GHEA Grapalat" w:hAnsi="GHEA Grapalat" w:cs="GHEA Grapalat"/>
                <w:color w:val="000000" w:themeColor="text1"/>
                <w:sz w:val="24"/>
                <w:szCs w:val="24"/>
              </w:rPr>
              <w:t xml:space="preserve">Նույն բաժնում ներկայացված է, որ այլ շուկաներ արտահանման համար աճը գնահատվել է նախկինում արտահայտված աճի ցածր տեմպի հիման վրա, որին ավելացվել են մի շարք ծրագրեր, մասնավորապես՝ առևտրի ֆինանսավորման տոկոսադրույքի 10%-ի չափով սուբսիդավորումը։ Հարկ ենք համարում նշել, որ այս մասով ներկայացված չէ նշված չափով սուբսիդավորման հիմքում ընկած հաշվարկները, ինչպես նաև պետական բյուջեի վրա հնարավոր ազդեցության չափը։ </w:t>
            </w:r>
            <w:r w:rsidRPr="000B2781">
              <w:rPr>
                <w:rFonts w:ascii="GHEA Grapalat" w:eastAsia="GHEA Grapalat" w:hAnsi="GHEA Grapalat" w:cs="GHEA Grapalat"/>
                <w:color w:val="000000" w:themeColor="text1"/>
                <w:sz w:val="23"/>
                <w:szCs w:val="23"/>
              </w:rPr>
              <w:tab/>
            </w:r>
          </w:p>
        </w:tc>
        <w:tc>
          <w:tcPr>
            <w:tcW w:w="7065" w:type="dxa"/>
            <w:shd w:val="clear" w:color="auto" w:fill="FFFFFF"/>
          </w:tcPr>
          <w:p w14:paraId="4FFFC900" w14:textId="77777777" w:rsidR="00543D4E" w:rsidRDefault="00543D4E">
            <w:pPr>
              <w:spacing w:after="0" w:line="240" w:lineRule="auto"/>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Չի ընդունվել</w:t>
            </w:r>
          </w:p>
          <w:p w14:paraId="75D48970" w14:textId="77777777" w:rsidR="00543D4E" w:rsidRDefault="00543D4E">
            <w:pPr>
              <w:spacing w:after="0" w:line="240" w:lineRule="auto"/>
              <w:rPr>
                <w:rFonts w:ascii="GHEA Grapalat" w:eastAsia="GHEA Grapalat" w:hAnsi="GHEA Grapalat" w:cs="GHEA Grapalat"/>
                <w:color w:val="000000"/>
                <w:sz w:val="24"/>
                <w:szCs w:val="24"/>
              </w:rPr>
            </w:pPr>
          </w:p>
          <w:p w14:paraId="26EB7B50" w14:textId="22CEE283" w:rsidR="001F4FBD" w:rsidRPr="00543D4E" w:rsidRDefault="00C91B65" w:rsidP="00543D4E">
            <w:pPr>
              <w:pStyle w:val="ListParagraph"/>
              <w:numPr>
                <w:ilvl w:val="0"/>
                <w:numId w:val="3"/>
              </w:numPr>
              <w:spacing w:after="0" w:line="240" w:lineRule="auto"/>
              <w:rPr>
                <w:rFonts w:ascii="GHEA Grapalat" w:eastAsia="GHEA Grapalat" w:hAnsi="GHEA Grapalat" w:cs="GHEA Grapalat"/>
                <w:color w:val="000000"/>
                <w:sz w:val="24"/>
                <w:szCs w:val="24"/>
              </w:rPr>
            </w:pPr>
            <w:r w:rsidRPr="00543D4E">
              <w:rPr>
                <w:rFonts w:ascii="GHEA Grapalat" w:eastAsia="GHEA Grapalat" w:hAnsi="GHEA Grapalat" w:cs="GHEA Grapalat"/>
                <w:color w:val="000000"/>
                <w:sz w:val="24"/>
                <w:szCs w:val="24"/>
              </w:rPr>
              <w:t xml:space="preserve">Նախագծի </w:t>
            </w:r>
            <w:r w:rsidR="00543D4E" w:rsidRPr="00543D4E">
              <w:rPr>
                <w:rFonts w:ascii="GHEA Grapalat" w:eastAsia="GHEA Grapalat" w:hAnsi="GHEA Grapalat" w:cs="GHEA Grapalat"/>
                <w:color w:val="000000"/>
                <w:sz w:val="24"/>
                <w:szCs w:val="24"/>
              </w:rPr>
              <w:t>հաշվարկ-հիմնավորումների տրամաբնությունը ներկայացված է՝ Հավելված 2-ի «Ֆինանսական հաշվարկների պարզաբանում» սյունակում։</w:t>
            </w:r>
          </w:p>
          <w:p w14:paraId="6C966629" w14:textId="77777777" w:rsidR="00543D4E" w:rsidRDefault="00543D4E">
            <w:pPr>
              <w:spacing w:after="0" w:line="240" w:lineRule="auto"/>
              <w:rPr>
                <w:rFonts w:ascii="GHEA Grapalat" w:eastAsia="GHEA Grapalat" w:hAnsi="GHEA Grapalat" w:cs="GHEA Grapalat"/>
                <w:color w:val="000000"/>
                <w:sz w:val="24"/>
                <w:szCs w:val="24"/>
              </w:rPr>
            </w:pPr>
          </w:p>
          <w:p w14:paraId="0FF4A799" w14:textId="092463D7" w:rsidR="00543D4E" w:rsidRDefault="00A0057E" w:rsidP="00A0057E">
            <w:pPr>
              <w:pStyle w:val="ListParagraph"/>
              <w:numPr>
                <w:ilvl w:val="0"/>
                <w:numId w:val="3"/>
              </w:numPr>
              <w:spacing w:after="0" w:line="240" w:lineRule="auto"/>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Արտադրանքի բարդության ցուցանիշը հաշվարկելու տրամաբանությունը, նպատակը և հիմքերը մանրամասն նկարագրված են Նախագծի Հավելված 1-ի 5</w:t>
            </w:r>
            <w:r w:rsidRPr="00A0057E">
              <w:rPr>
                <w:rFonts w:ascii="Cambria Math" w:eastAsia="GHEA Grapalat" w:hAnsi="Cambria Math" w:cs="Cambria Math"/>
                <w:color w:val="000000"/>
                <w:sz w:val="24"/>
                <w:szCs w:val="24"/>
              </w:rPr>
              <w:t>․</w:t>
            </w:r>
            <w:r w:rsidRPr="00A0057E">
              <w:rPr>
                <w:rFonts w:ascii="GHEA Grapalat" w:eastAsia="GHEA Grapalat" w:hAnsi="GHEA Grapalat" w:cs="GHEA Grapalat"/>
                <w:color w:val="000000"/>
                <w:sz w:val="24"/>
                <w:szCs w:val="24"/>
              </w:rPr>
              <w:t>5 բաժնում։</w:t>
            </w:r>
          </w:p>
          <w:p w14:paraId="37CE5B32" w14:textId="77777777" w:rsidR="00A0057E" w:rsidRPr="00A0057E" w:rsidRDefault="00A0057E" w:rsidP="00A0057E">
            <w:pPr>
              <w:pStyle w:val="ListParagraph"/>
              <w:rPr>
                <w:rFonts w:ascii="GHEA Grapalat" w:eastAsia="GHEA Grapalat" w:hAnsi="GHEA Grapalat" w:cs="GHEA Grapalat"/>
                <w:color w:val="000000"/>
                <w:sz w:val="24"/>
                <w:szCs w:val="24"/>
              </w:rPr>
            </w:pPr>
          </w:p>
          <w:p w14:paraId="39FE8EE9" w14:textId="200C3908" w:rsidR="00A0057E" w:rsidRPr="00A0057E" w:rsidRDefault="00A0057E" w:rsidP="000B2781">
            <w:pPr>
              <w:pStyle w:val="ListParagraph"/>
              <w:spacing w:after="0" w:line="240" w:lineRule="auto"/>
              <w:rPr>
                <w:rFonts w:ascii="GHEA Grapalat" w:eastAsia="GHEA Grapalat" w:hAnsi="GHEA Grapalat" w:cs="GHEA Grapalat"/>
                <w:color w:val="000000"/>
                <w:sz w:val="24"/>
                <w:szCs w:val="24"/>
              </w:rPr>
            </w:pPr>
          </w:p>
        </w:tc>
      </w:tr>
    </w:tbl>
    <w:p w14:paraId="7DDD465A" w14:textId="77777777" w:rsidR="001F4FBD" w:rsidRDefault="00000000">
      <w:pPr>
        <w:pBdr>
          <w:top w:val="nil"/>
          <w:left w:val="nil"/>
          <w:bottom w:val="nil"/>
          <w:right w:val="nil"/>
          <w:between w:val="nil"/>
        </w:pBdr>
        <w:ind w:left="720"/>
        <w:rPr>
          <w:color w:val="000000"/>
        </w:rPr>
      </w:pPr>
      <w:r>
        <w:rPr>
          <w:color w:val="000000"/>
        </w:rPr>
        <w:br/>
      </w:r>
    </w:p>
    <w:sectPr w:rsidR="001F4FBD">
      <w:footerReference w:type="default" r:id="rId8"/>
      <w:pgSz w:w="16840" w:h="11907" w:orient="landscape"/>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CB7DF" w14:textId="77777777" w:rsidR="00C356EE" w:rsidRDefault="00C356EE">
      <w:pPr>
        <w:spacing w:after="0" w:line="240" w:lineRule="auto"/>
      </w:pPr>
      <w:r>
        <w:separator/>
      </w:r>
    </w:p>
  </w:endnote>
  <w:endnote w:type="continuationSeparator" w:id="0">
    <w:p w14:paraId="6E459219" w14:textId="77777777" w:rsidR="00C356EE" w:rsidRDefault="00C35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C277E" w14:textId="77777777" w:rsidR="001F4FBD" w:rsidRDefault="00000000">
    <w:pPr>
      <w:pBdr>
        <w:top w:val="nil"/>
        <w:left w:val="nil"/>
        <w:bottom w:val="nil"/>
        <w:right w:val="nil"/>
        <w:between w:val="nil"/>
      </w:pBdr>
      <w:tabs>
        <w:tab w:val="center" w:pos="4844"/>
        <w:tab w:val="right" w:pos="9689"/>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91B65">
      <w:rPr>
        <w:noProof/>
        <w:color w:val="000000"/>
      </w:rPr>
      <w:t>1</w:t>
    </w:r>
    <w:r>
      <w:rPr>
        <w:color w:val="000000"/>
      </w:rPr>
      <w:fldChar w:fldCharType="end"/>
    </w:r>
  </w:p>
  <w:p w14:paraId="2963DC20" w14:textId="77777777" w:rsidR="001F4FBD" w:rsidRDefault="001F4FBD">
    <w:pPr>
      <w:pBdr>
        <w:top w:val="nil"/>
        <w:left w:val="nil"/>
        <w:bottom w:val="nil"/>
        <w:right w:val="nil"/>
        <w:between w:val="nil"/>
      </w:pBdr>
      <w:tabs>
        <w:tab w:val="center" w:pos="4844"/>
        <w:tab w:val="right" w:pos="9689"/>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D5666" w14:textId="77777777" w:rsidR="00C356EE" w:rsidRDefault="00C356EE">
      <w:pPr>
        <w:spacing w:after="0" w:line="240" w:lineRule="auto"/>
      </w:pPr>
      <w:r>
        <w:separator/>
      </w:r>
    </w:p>
  </w:footnote>
  <w:footnote w:type="continuationSeparator" w:id="0">
    <w:p w14:paraId="1A3722FF" w14:textId="77777777" w:rsidR="00C356EE" w:rsidRDefault="00C356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295819"/>
    <w:multiLevelType w:val="multilevel"/>
    <w:tmpl w:val="FD54477C"/>
    <w:lvl w:ilvl="0">
      <w:start w:val="1"/>
      <w:numFmt w:val="bullet"/>
      <w:lvlText w:val="●"/>
      <w:lvlJc w:val="left"/>
      <w:pPr>
        <w:ind w:left="1155" w:hanging="360"/>
      </w:pPr>
      <w:rPr>
        <w:rFonts w:ascii="Noto Sans Symbols" w:eastAsia="Noto Sans Symbols" w:hAnsi="Noto Sans Symbols" w:cs="Noto Sans Symbols"/>
      </w:rPr>
    </w:lvl>
    <w:lvl w:ilvl="1">
      <w:start w:val="1"/>
      <w:numFmt w:val="bullet"/>
      <w:lvlText w:val="o"/>
      <w:lvlJc w:val="left"/>
      <w:pPr>
        <w:ind w:left="1875" w:hanging="360"/>
      </w:pPr>
      <w:rPr>
        <w:rFonts w:ascii="Courier New" w:eastAsia="Courier New" w:hAnsi="Courier New" w:cs="Courier New"/>
      </w:rPr>
    </w:lvl>
    <w:lvl w:ilvl="2">
      <w:start w:val="1"/>
      <w:numFmt w:val="bullet"/>
      <w:lvlText w:val="▪"/>
      <w:lvlJc w:val="left"/>
      <w:pPr>
        <w:ind w:left="2595" w:hanging="360"/>
      </w:pPr>
      <w:rPr>
        <w:rFonts w:ascii="Noto Sans Symbols" w:eastAsia="Noto Sans Symbols" w:hAnsi="Noto Sans Symbols" w:cs="Noto Sans Symbols"/>
      </w:rPr>
    </w:lvl>
    <w:lvl w:ilvl="3">
      <w:start w:val="1"/>
      <w:numFmt w:val="bullet"/>
      <w:lvlText w:val="●"/>
      <w:lvlJc w:val="left"/>
      <w:pPr>
        <w:ind w:left="3315" w:hanging="360"/>
      </w:pPr>
      <w:rPr>
        <w:rFonts w:ascii="Noto Sans Symbols" w:eastAsia="Noto Sans Symbols" w:hAnsi="Noto Sans Symbols" w:cs="Noto Sans Symbols"/>
      </w:rPr>
    </w:lvl>
    <w:lvl w:ilvl="4">
      <w:start w:val="1"/>
      <w:numFmt w:val="bullet"/>
      <w:lvlText w:val="o"/>
      <w:lvlJc w:val="left"/>
      <w:pPr>
        <w:ind w:left="4035" w:hanging="360"/>
      </w:pPr>
      <w:rPr>
        <w:rFonts w:ascii="Courier New" w:eastAsia="Courier New" w:hAnsi="Courier New" w:cs="Courier New"/>
      </w:rPr>
    </w:lvl>
    <w:lvl w:ilvl="5">
      <w:start w:val="1"/>
      <w:numFmt w:val="bullet"/>
      <w:lvlText w:val="▪"/>
      <w:lvlJc w:val="left"/>
      <w:pPr>
        <w:ind w:left="4755" w:hanging="360"/>
      </w:pPr>
      <w:rPr>
        <w:rFonts w:ascii="Noto Sans Symbols" w:eastAsia="Noto Sans Symbols" w:hAnsi="Noto Sans Symbols" w:cs="Noto Sans Symbols"/>
      </w:rPr>
    </w:lvl>
    <w:lvl w:ilvl="6">
      <w:start w:val="1"/>
      <w:numFmt w:val="bullet"/>
      <w:lvlText w:val="●"/>
      <w:lvlJc w:val="left"/>
      <w:pPr>
        <w:ind w:left="5475" w:hanging="360"/>
      </w:pPr>
      <w:rPr>
        <w:rFonts w:ascii="Noto Sans Symbols" w:eastAsia="Noto Sans Symbols" w:hAnsi="Noto Sans Symbols" w:cs="Noto Sans Symbols"/>
      </w:rPr>
    </w:lvl>
    <w:lvl w:ilvl="7">
      <w:start w:val="1"/>
      <w:numFmt w:val="bullet"/>
      <w:lvlText w:val="o"/>
      <w:lvlJc w:val="left"/>
      <w:pPr>
        <w:ind w:left="6195" w:hanging="360"/>
      </w:pPr>
      <w:rPr>
        <w:rFonts w:ascii="Courier New" w:eastAsia="Courier New" w:hAnsi="Courier New" w:cs="Courier New"/>
      </w:rPr>
    </w:lvl>
    <w:lvl w:ilvl="8">
      <w:start w:val="1"/>
      <w:numFmt w:val="bullet"/>
      <w:lvlText w:val="▪"/>
      <w:lvlJc w:val="left"/>
      <w:pPr>
        <w:ind w:left="6915" w:hanging="360"/>
      </w:pPr>
      <w:rPr>
        <w:rFonts w:ascii="Noto Sans Symbols" w:eastAsia="Noto Sans Symbols" w:hAnsi="Noto Sans Symbols" w:cs="Noto Sans Symbols"/>
      </w:rPr>
    </w:lvl>
  </w:abstractNum>
  <w:abstractNum w:abstractNumId="1" w15:restartNumberingAfterBreak="0">
    <w:nsid w:val="4DD5285F"/>
    <w:multiLevelType w:val="hybridMultilevel"/>
    <w:tmpl w:val="E736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FA6348F"/>
    <w:multiLevelType w:val="multilevel"/>
    <w:tmpl w:val="203E76AC"/>
    <w:lvl w:ilvl="0">
      <w:start w:val="1"/>
      <w:numFmt w:val="decimal"/>
      <w:lvlText w:val="%1."/>
      <w:lvlJc w:val="left"/>
      <w:pPr>
        <w:ind w:left="360" w:hanging="360"/>
      </w:pPr>
      <w:rPr>
        <w:rFonts w:ascii="GHEA Grapalat" w:eastAsia="GHEA Grapalat" w:hAnsi="GHEA Grapalat" w:cs="GHEA Grapalat"/>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16cid:durableId="1000550005">
    <w:abstractNumId w:val="2"/>
  </w:num>
  <w:num w:numId="2" w16cid:durableId="2110811214">
    <w:abstractNumId w:val="0"/>
  </w:num>
  <w:num w:numId="3" w16cid:durableId="11512934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FBD"/>
    <w:rsid w:val="000B2781"/>
    <w:rsid w:val="001F4FBD"/>
    <w:rsid w:val="00543D4E"/>
    <w:rsid w:val="00A0057E"/>
    <w:rsid w:val="00C356EE"/>
    <w:rsid w:val="00C91B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9D815"/>
  <w15:docId w15:val="{E6526404-BE30-4B57-BD87-6F4D27A5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472"/>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6214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3"/>
    <w:basedOn w:val="Normal"/>
    <w:link w:val="ListParagraphChar"/>
    <w:uiPriority w:val="34"/>
    <w:qFormat/>
    <w:rsid w:val="004F21DD"/>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 webb,Знак Знак"/>
    <w:basedOn w:val="Normal"/>
    <w:link w:val="NormalWebChar"/>
    <w:uiPriority w:val="99"/>
    <w:qFormat/>
    <w:rsid w:val="00150B3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uiPriority w:val="99"/>
    <w:locked/>
    <w:rsid w:val="00150B38"/>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4F4D53"/>
    <w:pPr>
      <w:tabs>
        <w:tab w:val="center" w:pos="4844"/>
        <w:tab w:val="right" w:pos="9689"/>
      </w:tabs>
      <w:spacing w:after="0" w:line="240" w:lineRule="auto"/>
    </w:pPr>
  </w:style>
  <w:style w:type="character" w:customStyle="1" w:styleId="HeaderChar">
    <w:name w:val="Header Char"/>
    <w:basedOn w:val="DefaultParagraphFont"/>
    <w:link w:val="Header"/>
    <w:uiPriority w:val="99"/>
    <w:rsid w:val="004F4D53"/>
  </w:style>
  <w:style w:type="paragraph" w:styleId="Footer">
    <w:name w:val="footer"/>
    <w:basedOn w:val="Normal"/>
    <w:link w:val="FooterChar"/>
    <w:uiPriority w:val="99"/>
    <w:unhideWhenUsed/>
    <w:rsid w:val="004F4D53"/>
    <w:pPr>
      <w:tabs>
        <w:tab w:val="center" w:pos="4844"/>
        <w:tab w:val="right" w:pos="9689"/>
      </w:tabs>
      <w:spacing w:after="0" w:line="240" w:lineRule="auto"/>
    </w:pPr>
  </w:style>
  <w:style w:type="character" w:customStyle="1" w:styleId="FooterChar">
    <w:name w:val="Footer Char"/>
    <w:basedOn w:val="DefaultParagraphFont"/>
    <w:link w:val="Footer"/>
    <w:uiPriority w:val="99"/>
    <w:rsid w:val="004F4D53"/>
  </w:style>
  <w:style w:type="paragraph" w:styleId="BalloonText">
    <w:name w:val="Balloon Text"/>
    <w:basedOn w:val="Normal"/>
    <w:link w:val="BalloonTextChar"/>
    <w:uiPriority w:val="99"/>
    <w:semiHidden/>
    <w:unhideWhenUsed/>
    <w:rsid w:val="008665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6583"/>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636C72"/>
  </w:style>
  <w:style w:type="character" w:styleId="Strong">
    <w:name w:val="Strong"/>
    <w:basedOn w:val="DefaultParagraphFont"/>
    <w:uiPriority w:val="22"/>
    <w:qFormat/>
    <w:rsid w:val="00636C72"/>
    <w:rPr>
      <w:b/>
      <w:bCs/>
    </w:rPr>
  </w:style>
  <w:style w:type="character" w:customStyle="1" w:styleId="a">
    <w:name w:val="Текст выноски Знак"/>
    <w:basedOn w:val="DefaultParagraphFont"/>
    <w:uiPriority w:val="99"/>
    <w:semiHidden/>
    <w:qFormat/>
    <w:rsid w:val="00876D18"/>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pPr>
      <w:spacing w:after="0" w:line="240" w:lineRule="auto"/>
    </w:pPr>
    <w:tblPr>
      <w:tblStyleRowBandSize w:val="1"/>
      <w:tblStyleColBandSize w:val="1"/>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C3K3AMwv53PjLrgs0waqGvw8qXg==">AMUW2mWwdhI1+qUEIMrLhk/oaBcZQ3PDqV6SrUoxy14Re92BcGT9XbgBNv9Nax2ypeYnCNwBBwpv3O43WIWjRYWJ+Cv/GDtAwHQt5gnYmS/pIXokygWKPFFJKa+Qx/YANkfmkE9nVSUL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1923</Words>
  <Characters>10967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Tamara V. Sargsyan</dc:creator>
  <cp:lastModifiedBy>Narine A. Haroyan</cp:lastModifiedBy>
  <cp:revision>2</cp:revision>
  <dcterms:created xsi:type="dcterms:W3CDTF">2023-01-18T12:24:00Z</dcterms:created>
  <dcterms:modified xsi:type="dcterms:W3CDTF">2023-01-18T12:24:00Z</dcterms:modified>
</cp:coreProperties>
</file>