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8E712" w14:textId="77777777" w:rsidR="00C90ACF" w:rsidRPr="002C47E4" w:rsidRDefault="00C90ACF" w:rsidP="00A53CA7">
      <w:pPr>
        <w:spacing w:line="276" w:lineRule="auto"/>
        <w:jc w:val="both"/>
        <w:rPr>
          <w:rFonts w:ascii="GHEA Grapalat" w:hAnsi="GHEA Grapalat" w:cs="Sylfaen"/>
          <w:b/>
          <w:sz w:val="20"/>
          <w:szCs w:val="20"/>
          <w:lang w:val="en-US"/>
        </w:rPr>
      </w:pPr>
    </w:p>
    <w:p w14:paraId="10B5A05C" w14:textId="77777777" w:rsidR="005C5C60" w:rsidRPr="00426F90" w:rsidRDefault="005C5C60" w:rsidP="00EA400F">
      <w:pPr>
        <w:shd w:val="clear" w:color="auto" w:fill="FFFFFF"/>
        <w:ind w:firstLine="375"/>
        <w:jc w:val="center"/>
        <w:rPr>
          <w:rFonts w:ascii="GHEA Grapalat" w:hAnsi="GHEA Grapalat"/>
          <w:b/>
          <w:bCs/>
          <w:color w:val="000000"/>
          <w:lang w:val="hy-AM"/>
        </w:rPr>
      </w:pPr>
    </w:p>
    <w:p w14:paraId="492B6760" w14:textId="355B7574" w:rsidR="00EA400F" w:rsidRPr="00426F90" w:rsidRDefault="00EA400F" w:rsidP="00EA400F">
      <w:pPr>
        <w:shd w:val="clear" w:color="auto" w:fill="FFFFFF"/>
        <w:ind w:firstLine="375"/>
        <w:jc w:val="center"/>
        <w:rPr>
          <w:rFonts w:ascii="GHEA Grapalat" w:hAnsi="GHEA Grapalat"/>
          <w:b/>
          <w:bCs/>
          <w:color w:val="000000"/>
          <w:lang w:val="hy-AM"/>
        </w:rPr>
      </w:pPr>
      <w:r w:rsidRPr="00426F90">
        <w:rPr>
          <w:rFonts w:ascii="GHEA Grapalat" w:hAnsi="GHEA Grapalat"/>
          <w:b/>
          <w:bCs/>
          <w:color w:val="000000"/>
          <w:lang w:val="hy-AM"/>
        </w:rPr>
        <w:t>ԱՄՓՈՓԱԹԵՐԹ</w:t>
      </w:r>
    </w:p>
    <w:p w14:paraId="2129A086" w14:textId="324045B1" w:rsidR="00EA400F" w:rsidRPr="00426F90" w:rsidRDefault="009D7A4D" w:rsidP="00EA400F">
      <w:pPr>
        <w:shd w:val="clear" w:color="auto" w:fill="FFFFFF"/>
        <w:ind w:firstLine="375"/>
        <w:jc w:val="center"/>
        <w:rPr>
          <w:rFonts w:ascii="GHEA Grapalat" w:hAnsi="GHEA Grapalat"/>
          <w:color w:val="000000"/>
          <w:lang w:val="hy-AM" w:eastAsia="en-US"/>
        </w:rPr>
      </w:pPr>
      <w:r w:rsidRPr="00426F90">
        <w:rPr>
          <w:rFonts w:ascii="Calibri" w:hAnsi="Calibri" w:cs="Calibri"/>
          <w:color w:val="000000"/>
          <w:lang w:val="hy-AM" w:eastAsia="en-US"/>
        </w:rPr>
        <w:t>  </w:t>
      </w:r>
    </w:p>
    <w:p w14:paraId="5C0FA078" w14:textId="6F2D81C1" w:rsidR="005C5295" w:rsidRPr="005C5C60" w:rsidRDefault="006E0E97" w:rsidP="005C5295">
      <w:pPr>
        <w:shd w:val="clear" w:color="auto" w:fill="FFFFFF"/>
        <w:ind w:firstLine="375"/>
        <w:jc w:val="center"/>
        <w:rPr>
          <w:rFonts w:ascii="GHEA Grapalat" w:hAnsi="GHEA Grapalat"/>
          <w:color w:val="000000"/>
          <w:sz w:val="21"/>
          <w:szCs w:val="21"/>
          <w:lang w:val="hy-AM" w:eastAsia="en-US"/>
        </w:rPr>
      </w:pPr>
      <w:r w:rsidRPr="006E0E97">
        <w:rPr>
          <w:rFonts w:ascii="GHEA Grapalat" w:hAnsi="GHEA Grapalat"/>
          <w:b/>
          <w:bCs/>
          <w:lang w:val="hy-AM"/>
        </w:rPr>
        <w:t>««ՀԱՅԱՍՏԱՆԻ ՀԱՆՐԱՊԵՏՈՒԹՅԱՆ ԴԱՏԱԿԱՆ ՕՐԵՆՍԳԻՐՔ» ՍԱՀՄԱՆԱԴՐԱԿԱՆ ՕՐԵՆՔՈՒՄ ՓՈՓՈԽՈՒԹՅՈՒՆՆԵՐ ԵՎ ԼՐԱՑՈՒՄ ԿԱՏԱՐԵԼՈՒ ՄԱՍԻՆ» ՀԱՅԱՍՏԱՆԻ ՀԱՆՐԱՊԵՏՈՒԹՅԱՆ ՍԱՀՄԱՆԱԴՐԱԿԱՆ ՕՐԵՆՔԻ ՆԱԽԱԳԾԻ</w:t>
      </w:r>
      <w:r w:rsidR="005C5295" w:rsidRPr="005C5C60">
        <w:rPr>
          <w:rFonts w:ascii="Calibri" w:hAnsi="Calibri" w:cs="Calibri"/>
          <w:color w:val="000000"/>
          <w:sz w:val="21"/>
          <w:szCs w:val="21"/>
          <w:lang w:val="hy-AM" w:eastAsia="en-US"/>
        </w:rPr>
        <w:t>     </w:t>
      </w:r>
      <w:r w:rsidR="005C5295" w:rsidRPr="005C5C60">
        <w:rPr>
          <w:rFonts w:ascii="GHEA Grapalat" w:hAnsi="GHEA Grapalat"/>
          <w:color w:val="000000"/>
          <w:sz w:val="21"/>
          <w:szCs w:val="21"/>
          <w:lang w:val="hy-AM" w:eastAsia="en-US"/>
        </w:rPr>
        <w:t xml:space="preserve"> </w:t>
      </w:r>
      <w:r w:rsidR="005C5295" w:rsidRPr="005C5C60">
        <w:rPr>
          <w:rFonts w:ascii="Calibri" w:hAnsi="Calibri" w:cs="Calibri"/>
          <w:color w:val="000000"/>
          <w:sz w:val="21"/>
          <w:szCs w:val="21"/>
          <w:lang w:val="hy-AM" w:eastAsia="en-US"/>
        </w:rPr>
        <w:t> </w:t>
      </w:r>
    </w:p>
    <w:p w14:paraId="7A7CA10D" w14:textId="2D3A83A5" w:rsidR="00EA400F" w:rsidRPr="00426F90" w:rsidRDefault="00EA400F" w:rsidP="00EA400F">
      <w:pPr>
        <w:shd w:val="clear" w:color="auto" w:fill="FFFFFF"/>
        <w:ind w:firstLine="375"/>
        <w:jc w:val="center"/>
        <w:rPr>
          <w:rFonts w:ascii="GHEA Grapalat" w:hAnsi="GHEA Grapalat"/>
          <w:color w:val="000000"/>
          <w:sz w:val="21"/>
          <w:szCs w:val="21"/>
          <w:lang w:val="hy-AM" w:eastAsia="en-US"/>
        </w:rPr>
      </w:pPr>
      <w:r w:rsidRPr="00426F90">
        <w:rPr>
          <w:rFonts w:ascii="Calibri" w:hAnsi="Calibri" w:cs="Calibri"/>
          <w:color w:val="000000"/>
          <w:sz w:val="21"/>
          <w:szCs w:val="21"/>
          <w:lang w:val="hy-AM" w:eastAsia="en-US"/>
        </w:rPr>
        <w:t> </w:t>
      </w:r>
      <w:r w:rsidRPr="00426F90">
        <w:rPr>
          <w:rFonts w:ascii="GHEA Grapalat" w:hAnsi="GHEA Grapalat"/>
          <w:color w:val="000000"/>
          <w:sz w:val="21"/>
          <w:szCs w:val="21"/>
          <w:lang w:val="hy-AM" w:eastAsia="en-US"/>
        </w:rPr>
        <w:t xml:space="preserve"> </w:t>
      </w:r>
      <w:r w:rsidRPr="00426F90">
        <w:rPr>
          <w:rFonts w:ascii="Calibri" w:hAnsi="Calibri" w:cs="Calibri"/>
          <w:color w:val="000000"/>
          <w:sz w:val="21"/>
          <w:szCs w:val="21"/>
          <w:lang w:val="hy-AM" w:eastAsia="en-US"/>
        </w:rPr>
        <w:t> </w:t>
      </w:r>
    </w:p>
    <w:tbl>
      <w:tblPr>
        <w:tblW w:w="1377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09"/>
        <w:gridCol w:w="6041"/>
        <w:gridCol w:w="1723"/>
      </w:tblGrid>
      <w:tr w:rsidR="00873FB7" w:rsidRPr="006E0E97" w14:paraId="4E1A5455" w14:textId="77777777" w:rsidTr="006E0E97">
        <w:trPr>
          <w:tblCellSpacing w:w="0" w:type="dxa"/>
          <w:jc w:val="center"/>
        </w:trPr>
        <w:tc>
          <w:tcPr>
            <w:tcW w:w="12050"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12843D3A" w14:textId="008F6BAE" w:rsidR="00873FB7" w:rsidRPr="00426F90" w:rsidRDefault="005C5295" w:rsidP="006E0E97">
            <w:pPr>
              <w:spacing w:before="100" w:beforeAutospacing="1" w:after="100" w:afterAutospacing="1"/>
              <w:jc w:val="center"/>
              <w:rPr>
                <w:rFonts w:ascii="GHEA Grapalat" w:hAnsi="GHEA Grapalat"/>
                <w:color w:val="000000"/>
                <w:lang w:val="hy-AM" w:eastAsia="en-US"/>
              </w:rPr>
            </w:pPr>
            <w:r w:rsidRPr="002B562E">
              <w:rPr>
                <w:rFonts w:ascii="GHEA Grapalat" w:hAnsi="GHEA Grapalat"/>
                <w:color w:val="000000"/>
                <w:lang w:val="hy-AM" w:eastAsia="en-US"/>
              </w:rPr>
              <w:t>1</w:t>
            </w:r>
            <w:r w:rsidR="009D7A4D" w:rsidRPr="002B562E">
              <w:rPr>
                <w:rFonts w:ascii="GHEA Grapalat" w:hAnsi="GHEA Grapalat"/>
                <w:color w:val="000000"/>
                <w:lang w:val="hy-AM" w:eastAsia="en-US"/>
              </w:rPr>
              <w:t xml:space="preserve">. </w:t>
            </w:r>
            <w:r w:rsidR="006E0E97" w:rsidRPr="002B562E">
              <w:rPr>
                <w:rFonts w:ascii="GHEA Grapalat" w:hAnsi="GHEA Grapalat"/>
                <w:color w:val="000000"/>
                <w:lang w:val="hy-AM" w:eastAsia="en-US"/>
              </w:rPr>
              <w:t>Բարձրագույն դատական խորհուրդ</w:t>
            </w:r>
          </w:p>
        </w:tc>
        <w:tc>
          <w:tcPr>
            <w:tcW w:w="1723" w:type="dxa"/>
            <w:tcBorders>
              <w:top w:val="outset" w:sz="6" w:space="0" w:color="auto"/>
              <w:left w:val="outset" w:sz="6" w:space="0" w:color="auto"/>
              <w:bottom w:val="outset" w:sz="6" w:space="0" w:color="auto"/>
              <w:right w:val="outset" w:sz="6" w:space="0" w:color="auto"/>
            </w:tcBorders>
            <w:shd w:val="clear" w:color="auto" w:fill="D0D0D0"/>
            <w:hideMark/>
          </w:tcPr>
          <w:p w14:paraId="762D9782" w14:textId="2C6FEF92" w:rsidR="00873FB7" w:rsidRPr="00426F90" w:rsidRDefault="006E0E97" w:rsidP="00863B2D">
            <w:pPr>
              <w:jc w:val="center"/>
              <w:rPr>
                <w:rFonts w:ascii="GHEA Grapalat" w:hAnsi="GHEA Grapalat"/>
                <w:color w:val="000000"/>
                <w:lang w:val="hy-AM" w:eastAsia="en-US"/>
              </w:rPr>
            </w:pPr>
            <w:r>
              <w:rPr>
                <w:rFonts w:ascii="GHEA Grapalat" w:hAnsi="GHEA Grapalat"/>
                <w:color w:val="000000"/>
                <w:lang w:val="hy-AM" w:eastAsia="en-US"/>
              </w:rPr>
              <w:t>2</w:t>
            </w:r>
            <w:r w:rsidR="00863B2D">
              <w:rPr>
                <w:rFonts w:ascii="GHEA Grapalat" w:hAnsi="GHEA Grapalat"/>
                <w:color w:val="000000"/>
                <w:lang w:val="hy-AM" w:eastAsia="en-US"/>
              </w:rPr>
              <w:t>0</w:t>
            </w:r>
            <w:r>
              <w:rPr>
                <w:rFonts w:ascii="GHEA Grapalat" w:hAnsi="GHEA Grapalat"/>
                <w:color w:val="000000"/>
                <w:lang w:val="hy-AM" w:eastAsia="en-US"/>
              </w:rPr>
              <w:t>.10</w:t>
            </w:r>
            <w:r w:rsidR="009D7A4D" w:rsidRPr="00DA487D">
              <w:rPr>
                <w:rFonts w:ascii="GHEA Grapalat" w:hAnsi="GHEA Grapalat"/>
                <w:color w:val="000000"/>
                <w:lang w:val="hy-AM" w:eastAsia="en-US"/>
              </w:rPr>
              <w:t>.2022թ</w:t>
            </w:r>
            <w:r w:rsidR="009D7A4D" w:rsidRPr="00DA487D">
              <w:rPr>
                <w:rFonts w:ascii="Cambria Math" w:hAnsi="Cambria Math" w:cs="Cambria Math"/>
                <w:color w:val="000000"/>
                <w:lang w:val="hy-AM" w:eastAsia="en-US"/>
              </w:rPr>
              <w:t>․</w:t>
            </w:r>
          </w:p>
        </w:tc>
      </w:tr>
      <w:tr w:rsidR="00873FB7" w:rsidRPr="006E0E97" w14:paraId="66CE7FF6" w14:textId="77777777" w:rsidTr="006E0E97">
        <w:trPr>
          <w:tblCellSpacing w:w="0" w:type="dxa"/>
          <w:jc w:val="center"/>
        </w:trPr>
        <w:tc>
          <w:tcPr>
            <w:tcW w:w="1205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220F54" w14:textId="77777777" w:rsidR="00873FB7" w:rsidRPr="00426F90" w:rsidRDefault="00873FB7" w:rsidP="00C57711">
            <w:pPr>
              <w:rPr>
                <w:rFonts w:ascii="GHEA Grapalat" w:hAnsi="GHEA Grapalat"/>
                <w:color w:val="000000"/>
                <w:lang w:val="hy-AM" w:eastAsia="en-US"/>
              </w:rPr>
            </w:pPr>
          </w:p>
        </w:tc>
        <w:tc>
          <w:tcPr>
            <w:tcW w:w="1723" w:type="dxa"/>
            <w:tcBorders>
              <w:top w:val="outset" w:sz="6" w:space="0" w:color="auto"/>
              <w:left w:val="outset" w:sz="6" w:space="0" w:color="auto"/>
              <w:bottom w:val="outset" w:sz="6" w:space="0" w:color="auto"/>
              <w:right w:val="outset" w:sz="6" w:space="0" w:color="auto"/>
            </w:tcBorders>
            <w:shd w:val="clear" w:color="auto" w:fill="D0D0D0"/>
            <w:hideMark/>
          </w:tcPr>
          <w:p w14:paraId="2CB2EA2D" w14:textId="2606FCFC" w:rsidR="00873FB7" w:rsidRPr="006E0E97" w:rsidRDefault="009D7A4D" w:rsidP="006E0E97">
            <w:pPr>
              <w:jc w:val="center"/>
              <w:rPr>
                <w:rFonts w:ascii="GHEA Grapalat" w:hAnsi="GHEA Grapalat"/>
                <w:color w:val="000000"/>
                <w:lang w:val="en-US" w:eastAsia="en-US"/>
              </w:rPr>
            </w:pPr>
            <w:r w:rsidRPr="00DA487D">
              <w:rPr>
                <w:rFonts w:ascii="GHEA Grapalat" w:hAnsi="GHEA Grapalat"/>
                <w:color w:val="000000"/>
                <w:lang w:val="hy-AM" w:eastAsia="en-US"/>
              </w:rPr>
              <w:t xml:space="preserve">№ </w:t>
            </w:r>
            <w:r w:rsidR="006E0E97" w:rsidRPr="006E0E97">
              <w:rPr>
                <w:rFonts w:ascii="GHEA Grapalat" w:hAnsi="GHEA Grapalat"/>
                <w:color w:val="000000"/>
                <w:lang w:val="en-US" w:eastAsia="en-US"/>
              </w:rPr>
              <w:t>ԴԴ/555-22</w:t>
            </w:r>
          </w:p>
        </w:tc>
      </w:tr>
      <w:tr w:rsidR="00873FB7" w:rsidRPr="002621C0" w14:paraId="44AC7A30" w14:textId="77777777" w:rsidTr="006E0E97">
        <w:trPr>
          <w:tblCellSpacing w:w="0" w:type="dxa"/>
          <w:jc w:val="center"/>
        </w:trPr>
        <w:tc>
          <w:tcPr>
            <w:tcW w:w="6009" w:type="dxa"/>
            <w:tcBorders>
              <w:top w:val="outset" w:sz="6" w:space="0" w:color="auto"/>
              <w:left w:val="outset" w:sz="6" w:space="0" w:color="auto"/>
              <w:bottom w:val="outset" w:sz="6" w:space="0" w:color="auto"/>
              <w:right w:val="outset" w:sz="6" w:space="0" w:color="auto"/>
            </w:tcBorders>
            <w:shd w:val="clear" w:color="auto" w:fill="FFFFFF"/>
            <w:hideMark/>
          </w:tcPr>
          <w:p w14:paraId="1B0FE260" w14:textId="7960F49C" w:rsidR="00873FB7" w:rsidRPr="00426F90" w:rsidRDefault="00B25E78" w:rsidP="002B562E">
            <w:pPr>
              <w:pStyle w:val="NoSpacing"/>
              <w:numPr>
                <w:ilvl w:val="0"/>
                <w:numId w:val="14"/>
              </w:numPr>
              <w:spacing w:line="276" w:lineRule="auto"/>
              <w:ind w:left="117" w:right="75" w:firstLine="348"/>
              <w:jc w:val="both"/>
              <w:rPr>
                <w:rFonts w:ascii="GHEA Grapalat" w:hAnsi="GHEA Grapalat"/>
                <w:color w:val="000000"/>
                <w:sz w:val="24"/>
                <w:szCs w:val="24"/>
                <w:lang w:val="hy-AM"/>
              </w:rPr>
            </w:pPr>
            <w:r w:rsidRPr="00B25E78">
              <w:rPr>
                <w:rFonts w:ascii="GHEA Grapalat" w:hAnsi="GHEA Grapalat"/>
                <w:color w:val="000000"/>
                <w:sz w:val="24"/>
                <w:szCs w:val="24"/>
                <w:lang w:val="hy-AM"/>
              </w:rPr>
              <w:t>Առաջարկվում է «Հայաստանի Հանրապետության դատական օրենսգիրք» սահմանադրական օրենքի այսուհետ՝ Օրենք 159-րդ հոդվածի 3-րդ մասում «1-ին մասի» բառերը փոխարինել «2-րդ մասի» բառերով, քանի որ, նախ, նշված հոդվածի 1-ին մասը 4-րդ կետ չունի, բացի այդ, դատավորի լիազորությունների դադարեցման հիմքեր չի նախատեսում, իսկ այդ հիմքերը նախատեսված են նույն հոդվածի 2-րդ մասում, և 4-րդ կետ ունի 2-րդ մասը։ Կարծում ենք, որ սա ի սկզբանե տեխնիկական վրիպակ է եղել, իսկ այժմ Օրենքի 159-րդ հոդվածի փոփոխությունների շրջանակում առաջարկում ենք լուծել այս խնդիրը նույնպես։</w:t>
            </w:r>
          </w:p>
        </w:tc>
        <w:tc>
          <w:tcPr>
            <w:tcW w:w="6041" w:type="dxa"/>
            <w:tcBorders>
              <w:top w:val="outset" w:sz="6" w:space="0" w:color="auto"/>
              <w:left w:val="outset" w:sz="6" w:space="0" w:color="auto"/>
              <w:bottom w:val="outset" w:sz="6" w:space="0" w:color="auto"/>
              <w:right w:val="nil"/>
            </w:tcBorders>
            <w:shd w:val="clear" w:color="auto" w:fill="FFFFFF"/>
            <w:hideMark/>
          </w:tcPr>
          <w:p w14:paraId="22C61869" w14:textId="77777777" w:rsidR="00873FB7" w:rsidRDefault="002B562E" w:rsidP="00186F88">
            <w:pPr>
              <w:pStyle w:val="NoSpacing"/>
              <w:spacing w:line="276" w:lineRule="auto"/>
              <w:ind w:left="105" w:right="75" w:firstLine="0"/>
              <w:rPr>
                <w:rFonts w:ascii="GHEA Grapalat" w:hAnsi="GHEA Grapalat"/>
                <w:color w:val="000000"/>
                <w:sz w:val="24"/>
                <w:szCs w:val="24"/>
                <w:lang w:val="hy-AM"/>
              </w:rPr>
            </w:pPr>
            <w:r>
              <w:rPr>
                <w:rFonts w:ascii="GHEA Grapalat" w:hAnsi="GHEA Grapalat"/>
                <w:color w:val="000000"/>
                <w:sz w:val="24"/>
                <w:szCs w:val="24"/>
                <w:lang w:val="hy-AM"/>
              </w:rPr>
              <w:t>Ընդունվել է:</w:t>
            </w:r>
          </w:p>
          <w:p w14:paraId="13E61793" w14:textId="534498BC" w:rsidR="00BA54C9" w:rsidRPr="00426F90" w:rsidRDefault="00BA54C9" w:rsidP="00BA73DE">
            <w:pPr>
              <w:pStyle w:val="NoSpacing"/>
              <w:spacing w:line="276" w:lineRule="auto"/>
              <w:ind w:left="105" w:right="75" w:firstLine="0"/>
              <w:rPr>
                <w:rFonts w:ascii="GHEA Grapalat" w:hAnsi="GHEA Grapalat"/>
                <w:color w:val="000000"/>
                <w:sz w:val="24"/>
                <w:szCs w:val="24"/>
                <w:lang w:val="hy-AM"/>
              </w:rPr>
            </w:pPr>
            <w:r w:rsidRPr="00DF0DE3">
              <w:rPr>
                <w:rFonts w:ascii="GHEA Grapalat" w:hAnsi="GHEA Grapalat"/>
                <w:color w:val="000000"/>
                <w:sz w:val="24"/>
                <w:szCs w:val="24"/>
                <w:lang w:val="hy-AM"/>
              </w:rPr>
              <w:t>Փոփոխվ</w:t>
            </w:r>
            <w:r w:rsidR="00BA73DE">
              <w:rPr>
                <w:rFonts w:ascii="GHEA Grapalat" w:hAnsi="GHEA Grapalat"/>
                <w:color w:val="000000"/>
                <w:sz w:val="24"/>
                <w:szCs w:val="24"/>
                <w:lang w:val="hy-AM"/>
              </w:rPr>
              <w:t>ել</w:t>
            </w:r>
            <w:r w:rsidRPr="00DF0DE3">
              <w:rPr>
                <w:rFonts w:ascii="GHEA Grapalat" w:hAnsi="GHEA Grapalat"/>
                <w:color w:val="000000"/>
                <w:sz w:val="24"/>
                <w:szCs w:val="24"/>
                <w:lang w:val="hy-AM"/>
              </w:rPr>
              <w:t xml:space="preserve"> է նաև</w:t>
            </w:r>
            <w:r>
              <w:rPr>
                <w:rFonts w:ascii="GHEA Grapalat" w:hAnsi="GHEA Grapalat"/>
                <w:color w:val="000000"/>
                <w:sz w:val="24"/>
                <w:szCs w:val="24"/>
                <w:lang w:val="hy-AM"/>
              </w:rPr>
              <w:t xml:space="preserve"> </w:t>
            </w:r>
            <w:r w:rsidR="00DF0DE3">
              <w:rPr>
                <w:rFonts w:ascii="GHEA Grapalat" w:hAnsi="GHEA Grapalat"/>
                <w:color w:val="000000"/>
                <w:sz w:val="24"/>
                <w:szCs w:val="24"/>
                <w:lang w:val="hy-AM"/>
              </w:rPr>
              <w:t>159-րդ հոդվածի 4-րդ մասը, քանի որ առկա է նույնատիպ տեխնիկական անհամապատասխանություն:</w:t>
            </w:r>
          </w:p>
        </w:tc>
        <w:tc>
          <w:tcPr>
            <w:tcW w:w="1723" w:type="dxa"/>
            <w:tcBorders>
              <w:top w:val="outset" w:sz="6" w:space="0" w:color="auto"/>
              <w:left w:val="nil"/>
              <w:bottom w:val="outset" w:sz="6" w:space="0" w:color="auto"/>
              <w:right w:val="outset" w:sz="6" w:space="0" w:color="auto"/>
            </w:tcBorders>
            <w:shd w:val="clear" w:color="auto" w:fill="FFFFFF"/>
            <w:hideMark/>
          </w:tcPr>
          <w:p w14:paraId="7D230CBC" w14:textId="77777777" w:rsidR="00873FB7" w:rsidRPr="00426F90" w:rsidRDefault="00873FB7" w:rsidP="00C57711">
            <w:pPr>
              <w:rPr>
                <w:rFonts w:ascii="GHEA Grapalat" w:hAnsi="GHEA Grapalat"/>
                <w:color w:val="000000"/>
                <w:sz w:val="21"/>
                <w:szCs w:val="21"/>
                <w:lang w:val="hy-AM" w:eastAsia="en-US"/>
              </w:rPr>
            </w:pPr>
            <w:r w:rsidRPr="00426F90">
              <w:rPr>
                <w:rFonts w:ascii="Calibri" w:hAnsi="Calibri" w:cs="Calibri"/>
                <w:color w:val="000000"/>
                <w:sz w:val="21"/>
                <w:szCs w:val="21"/>
                <w:lang w:val="hy-AM" w:eastAsia="en-US"/>
              </w:rPr>
              <w:t> </w:t>
            </w:r>
          </w:p>
        </w:tc>
      </w:tr>
      <w:tr w:rsidR="00205004" w:rsidRPr="002621C0" w14:paraId="2F1B735D" w14:textId="77777777" w:rsidTr="006E0E97">
        <w:trPr>
          <w:tblCellSpacing w:w="0" w:type="dxa"/>
          <w:jc w:val="center"/>
        </w:trPr>
        <w:tc>
          <w:tcPr>
            <w:tcW w:w="6009" w:type="dxa"/>
            <w:tcBorders>
              <w:top w:val="outset" w:sz="6" w:space="0" w:color="auto"/>
              <w:left w:val="outset" w:sz="6" w:space="0" w:color="auto"/>
              <w:bottom w:val="outset" w:sz="6" w:space="0" w:color="auto"/>
              <w:right w:val="outset" w:sz="6" w:space="0" w:color="auto"/>
            </w:tcBorders>
            <w:shd w:val="clear" w:color="auto" w:fill="FFFFFF"/>
          </w:tcPr>
          <w:p w14:paraId="1AECC84F" w14:textId="22A7B6D2" w:rsidR="00205004" w:rsidRDefault="00B25E78" w:rsidP="002B562E">
            <w:pPr>
              <w:pStyle w:val="NoSpacing"/>
              <w:numPr>
                <w:ilvl w:val="0"/>
                <w:numId w:val="14"/>
              </w:numPr>
              <w:spacing w:line="276" w:lineRule="auto"/>
              <w:ind w:left="117" w:right="75" w:firstLine="348"/>
              <w:jc w:val="both"/>
              <w:rPr>
                <w:rFonts w:ascii="GHEA Grapalat" w:hAnsi="GHEA Grapalat"/>
                <w:color w:val="000000"/>
                <w:sz w:val="24"/>
                <w:szCs w:val="24"/>
                <w:lang w:val="hy-AM"/>
              </w:rPr>
            </w:pPr>
            <w:r w:rsidRPr="00B25E78">
              <w:rPr>
                <w:rFonts w:ascii="GHEA Grapalat" w:hAnsi="GHEA Grapalat"/>
                <w:color w:val="000000"/>
                <w:sz w:val="24"/>
                <w:szCs w:val="24"/>
                <w:lang w:val="hy-AM"/>
              </w:rPr>
              <w:t xml:space="preserve">Առաջարկվում է Օրենքի 159-րդ հոդվածում կատարել այնպիսի փոփոխություն, որի ուժով դատարանի նախագահը դիմի ոչ թե Լիազոր մարմին հանդիսացող ՀՀ արդարադատության </w:t>
            </w:r>
            <w:r w:rsidRPr="00B25E78">
              <w:rPr>
                <w:rFonts w:ascii="GHEA Grapalat" w:hAnsi="GHEA Grapalat"/>
                <w:color w:val="000000"/>
                <w:sz w:val="24"/>
                <w:szCs w:val="24"/>
                <w:lang w:val="hy-AM"/>
              </w:rPr>
              <w:lastRenderedPageBreak/>
              <w:t>նախարարին, այլ անմիջականորեն ՀՀ առողջապահության նախարարին, քանի որ խոսքը վերաբերում է անձի՝ դատավորի, բժշկական զննությունը կազմակերպելուն, ըստ նրա ներկայացրած գանգատների։ Հետևաբար, այդ գործընթացն ավելի արդյունավետ և ճիշտ կարող է կազմակերպել հենց ՀՀ առողջապահության նախարարը, ոչ թե ՀՀ արդարադատության նախարարը։</w:t>
            </w:r>
          </w:p>
        </w:tc>
        <w:tc>
          <w:tcPr>
            <w:tcW w:w="6041" w:type="dxa"/>
            <w:tcBorders>
              <w:top w:val="outset" w:sz="6" w:space="0" w:color="auto"/>
              <w:left w:val="outset" w:sz="6" w:space="0" w:color="auto"/>
              <w:bottom w:val="outset" w:sz="6" w:space="0" w:color="auto"/>
              <w:right w:val="nil"/>
            </w:tcBorders>
            <w:shd w:val="clear" w:color="auto" w:fill="FFFFFF"/>
          </w:tcPr>
          <w:p w14:paraId="0E970E26" w14:textId="3ED628F0" w:rsidR="0028512C" w:rsidRPr="008E6A41" w:rsidRDefault="0028512C" w:rsidP="00186F88">
            <w:pPr>
              <w:pStyle w:val="NoSpacing"/>
              <w:spacing w:line="276" w:lineRule="auto"/>
              <w:ind w:left="105" w:right="75" w:firstLine="0"/>
              <w:rPr>
                <w:rFonts w:ascii="GHEA Grapalat" w:hAnsi="GHEA Grapalat"/>
                <w:color w:val="000000"/>
                <w:sz w:val="24"/>
                <w:szCs w:val="24"/>
                <w:lang w:val="hy-AM"/>
              </w:rPr>
            </w:pPr>
            <w:r w:rsidRPr="008E6A41">
              <w:rPr>
                <w:rFonts w:ascii="GHEA Grapalat" w:hAnsi="GHEA Grapalat"/>
                <w:color w:val="000000"/>
                <w:sz w:val="24"/>
                <w:szCs w:val="24"/>
                <w:lang w:val="hy-AM"/>
              </w:rPr>
              <w:lastRenderedPageBreak/>
              <w:t>Չի ընդունվել:</w:t>
            </w:r>
          </w:p>
          <w:p w14:paraId="389E49BF" w14:textId="77777777" w:rsidR="00205004" w:rsidRDefault="0028512C" w:rsidP="00706776">
            <w:pPr>
              <w:pStyle w:val="NoSpacing"/>
              <w:spacing w:line="276" w:lineRule="auto"/>
              <w:ind w:left="105" w:right="75" w:firstLine="0"/>
              <w:rPr>
                <w:rFonts w:ascii="GHEA Grapalat" w:hAnsi="GHEA Grapalat"/>
                <w:bCs/>
                <w:color w:val="000000"/>
                <w:sz w:val="24"/>
                <w:szCs w:val="24"/>
                <w:lang w:val="hy-AM"/>
              </w:rPr>
            </w:pPr>
            <w:r w:rsidRPr="008E6A41">
              <w:rPr>
                <w:rFonts w:ascii="GHEA Grapalat" w:hAnsi="GHEA Grapalat"/>
                <w:color w:val="000000"/>
                <w:sz w:val="24"/>
                <w:szCs w:val="24"/>
                <w:lang w:val="hy-AM"/>
              </w:rPr>
              <w:t xml:space="preserve">Առողջապահության նախարարությունը </w:t>
            </w:r>
            <w:r w:rsidR="008E6A41" w:rsidRPr="008E6A41">
              <w:rPr>
                <w:rFonts w:ascii="GHEA Grapalat" w:hAnsi="GHEA Grapalat"/>
                <w:color w:val="000000"/>
                <w:sz w:val="24"/>
                <w:szCs w:val="24"/>
                <w:lang w:val="hy-AM"/>
              </w:rPr>
              <w:t xml:space="preserve">(այսուհետ` Նախարարություն) </w:t>
            </w:r>
            <w:r w:rsidRPr="008E6A41">
              <w:rPr>
                <w:rFonts w:ascii="GHEA Grapalat" w:hAnsi="GHEA Grapalat"/>
                <w:color w:val="000000"/>
                <w:sz w:val="24"/>
                <w:szCs w:val="24"/>
                <w:lang w:val="hy-AM"/>
              </w:rPr>
              <w:t xml:space="preserve">հանդիսանում է </w:t>
            </w:r>
            <w:r w:rsidR="008E6A41" w:rsidRPr="008E6A41">
              <w:rPr>
                <w:rFonts w:ascii="GHEA Grapalat" w:hAnsi="GHEA Grapalat"/>
                <w:color w:val="000000"/>
                <w:sz w:val="24"/>
                <w:szCs w:val="24"/>
                <w:lang w:val="hy-AM"/>
              </w:rPr>
              <w:t xml:space="preserve">առողջապահության բնագավառում Հայաստանի </w:t>
            </w:r>
            <w:r w:rsidR="008E6A41" w:rsidRPr="008E6A41">
              <w:rPr>
                <w:rFonts w:ascii="GHEA Grapalat" w:hAnsi="GHEA Grapalat"/>
                <w:color w:val="000000"/>
                <w:sz w:val="24"/>
                <w:szCs w:val="24"/>
                <w:lang w:val="hy-AM"/>
              </w:rPr>
              <w:lastRenderedPageBreak/>
              <w:t>Հանրապետության կառավարության քաղաքականության մշակումն ու դրա իրականացումն ապահովող մարմին, որի գործունեության հիմնական ոլորտները նկարագրված են «</w:t>
            </w:r>
            <w:r w:rsidR="008E6A41" w:rsidRPr="008E6A41">
              <w:rPr>
                <w:rFonts w:ascii="GHEA Grapalat" w:hAnsi="GHEA Grapalat"/>
                <w:bCs/>
                <w:color w:val="000000"/>
                <w:sz w:val="24"/>
                <w:szCs w:val="24"/>
                <w:lang w:val="hy-AM"/>
              </w:rPr>
              <w:t>Կառավարության կառուցվածքի և գործունեության մասին» օրենքի հավելվածում, իսկ Նախարարության գործառույթները սահմանվում են Նախարարության կանոնադրությամբ (հաստատված` Վարչապետի 2018 թվականի հունիսի 11-</w:t>
            </w:r>
            <w:r w:rsidR="008E6A41" w:rsidRPr="008E6A41">
              <w:rPr>
                <w:rFonts w:ascii="GHEA Grapalat" w:hAnsi="GHEA Grapalat" w:cs="Calibri"/>
                <w:bCs/>
                <w:color w:val="000000"/>
                <w:sz w:val="24"/>
                <w:szCs w:val="24"/>
                <w:lang w:val="hy-AM"/>
              </w:rPr>
              <w:t xml:space="preserve">ի </w:t>
            </w:r>
            <w:r w:rsidR="008E6A41" w:rsidRPr="008E6A41">
              <w:rPr>
                <w:rFonts w:ascii="GHEA Grapalat" w:hAnsi="GHEA Grapalat"/>
                <w:bCs/>
                <w:color w:val="000000"/>
                <w:sz w:val="24"/>
                <w:szCs w:val="24"/>
                <w:lang w:val="hy-AM"/>
              </w:rPr>
              <w:t>N 728-Լ որոշմամբ):</w:t>
            </w:r>
            <w:r w:rsidR="00706776">
              <w:rPr>
                <w:rFonts w:ascii="GHEA Grapalat" w:hAnsi="GHEA Grapalat"/>
                <w:bCs/>
                <w:color w:val="000000"/>
                <w:sz w:val="24"/>
                <w:szCs w:val="24"/>
                <w:lang w:val="hy-AM"/>
              </w:rPr>
              <w:t xml:space="preserve"> </w:t>
            </w:r>
          </w:p>
          <w:p w14:paraId="236E386D" w14:textId="03AE9CF9" w:rsidR="00706776" w:rsidRDefault="00862C06" w:rsidP="002C74AB">
            <w:pPr>
              <w:pStyle w:val="NoSpacing"/>
              <w:spacing w:line="276" w:lineRule="auto"/>
              <w:ind w:left="105" w:right="75" w:firstLine="0"/>
              <w:rPr>
                <w:rFonts w:ascii="GHEA Grapalat" w:hAnsi="GHEA Grapalat"/>
                <w:bCs/>
                <w:color w:val="000000"/>
                <w:sz w:val="24"/>
                <w:szCs w:val="24"/>
                <w:lang w:val="hy-AM"/>
              </w:rPr>
            </w:pPr>
            <w:r>
              <w:rPr>
                <w:rFonts w:ascii="GHEA Grapalat" w:hAnsi="GHEA Grapalat"/>
                <w:bCs/>
                <w:color w:val="000000"/>
                <w:sz w:val="24"/>
                <w:szCs w:val="24"/>
                <w:lang w:val="hy-AM"/>
              </w:rPr>
              <w:t>Տվյալ պարագայու</w:t>
            </w:r>
            <w:r w:rsidR="00BA54C9">
              <w:rPr>
                <w:rFonts w:ascii="GHEA Grapalat" w:hAnsi="GHEA Grapalat"/>
                <w:bCs/>
                <w:color w:val="000000"/>
                <w:sz w:val="24"/>
                <w:szCs w:val="24"/>
                <w:lang w:val="hy-AM"/>
              </w:rPr>
              <w:t>մ</w:t>
            </w:r>
            <w:r>
              <w:rPr>
                <w:rFonts w:ascii="GHEA Grapalat" w:hAnsi="GHEA Grapalat"/>
                <w:bCs/>
                <w:color w:val="000000"/>
                <w:sz w:val="24"/>
                <w:szCs w:val="24"/>
                <w:lang w:val="hy-AM"/>
              </w:rPr>
              <w:t>,</w:t>
            </w:r>
            <w:r w:rsidR="002C74AB">
              <w:rPr>
                <w:rFonts w:ascii="GHEA Grapalat" w:hAnsi="GHEA Grapalat"/>
                <w:bCs/>
                <w:color w:val="000000"/>
                <w:sz w:val="24"/>
                <w:szCs w:val="24"/>
                <w:lang w:val="hy-AM"/>
              </w:rPr>
              <w:t xml:space="preserve"> դատավորի</w:t>
            </w:r>
            <w:r>
              <w:rPr>
                <w:rFonts w:ascii="GHEA Grapalat" w:hAnsi="GHEA Grapalat"/>
                <w:bCs/>
                <w:color w:val="000000"/>
                <w:sz w:val="24"/>
                <w:szCs w:val="24"/>
                <w:lang w:val="hy-AM"/>
              </w:rPr>
              <w:t xml:space="preserve"> բժշկական զննության կազմակերպումը դուրս է Նախարարության կանոնադրական նպատակների շրջանակից:</w:t>
            </w:r>
            <w:r w:rsidR="002C74AB">
              <w:rPr>
                <w:rFonts w:ascii="GHEA Grapalat" w:hAnsi="GHEA Grapalat"/>
                <w:bCs/>
                <w:color w:val="000000"/>
                <w:sz w:val="24"/>
                <w:szCs w:val="24"/>
                <w:lang w:val="hy-AM"/>
              </w:rPr>
              <w:t xml:space="preserve"> </w:t>
            </w:r>
          </w:p>
          <w:p w14:paraId="08CD2F55" w14:textId="5FB60EFC" w:rsidR="00BA54C9" w:rsidRPr="00BA54C9" w:rsidRDefault="00862C06" w:rsidP="00BA54C9">
            <w:pPr>
              <w:pStyle w:val="NoSpacing"/>
              <w:spacing w:line="276" w:lineRule="auto"/>
              <w:ind w:left="105" w:right="75" w:firstLine="0"/>
              <w:rPr>
                <w:rFonts w:ascii="GHEA Grapalat" w:hAnsi="GHEA Grapalat"/>
                <w:bCs/>
                <w:color w:val="000000"/>
                <w:sz w:val="24"/>
                <w:szCs w:val="24"/>
                <w:lang w:val="hy-AM"/>
              </w:rPr>
            </w:pPr>
            <w:r w:rsidRPr="00BA54C9">
              <w:rPr>
                <w:rFonts w:ascii="GHEA Grapalat" w:hAnsi="GHEA Grapalat"/>
                <w:bCs/>
                <w:color w:val="000000"/>
                <w:sz w:val="24"/>
                <w:szCs w:val="24"/>
                <w:lang w:val="hy-AM"/>
              </w:rPr>
              <w:t>Բացի այդ,</w:t>
            </w:r>
            <w:r>
              <w:rPr>
                <w:rFonts w:ascii="GHEA Grapalat" w:hAnsi="GHEA Grapalat"/>
                <w:bCs/>
                <w:color w:val="000000"/>
                <w:sz w:val="24"/>
                <w:szCs w:val="24"/>
                <w:lang w:val="hy-AM"/>
              </w:rPr>
              <w:t xml:space="preserve"> </w:t>
            </w:r>
            <w:r w:rsidR="00BA54C9">
              <w:rPr>
                <w:rFonts w:ascii="GHEA Grapalat" w:hAnsi="GHEA Grapalat"/>
                <w:bCs/>
                <w:color w:val="000000"/>
                <w:sz w:val="24"/>
                <w:szCs w:val="24"/>
                <w:lang w:val="hy-AM"/>
              </w:rPr>
              <w:t>կատարվող փոփոխությամբ կկրճատվի ներգրավվող մարմնինների ցանկը, որն էլ առավել արագ և դյուրին կդարձնի գործընթացը:</w:t>
            </w:r>
          </w:p>
        </w:tc>
        <w:tc>
          <w:tcPr>
            <w:tcW w:w="1723" w:type="dxa"/>
            <w:tcBorders>
              <w:top w:val="outset" w:sz="6" w:space="0" w:color="auto"/>
              <w:left w:val="nil"/>
              <w:bottom w:val="outset" w:sz="6" w:space="0" w:color="auto"/>
              <w:right w:val="outset" w:sz="6" w:space="0" w:color="auto"/>
            </w:tcBorders>
            <w:shd w:val="clear" w:color="auto" w:fill="FFFFFF"/>
          </w:tcPr>
          <w:p w14:paraId="429D7EEF" w14:textId="77777777" w:rsidR="00205004" w:rsidRPr="00426F90" w:rsidRDefault="00205004" w:rsidP="00C57711">
            <w:pPr>
              <w:rPr>
                <w:rFonts w:ascii="Calibri" w:hAnsi="Calibri" w:cs="Calibri"/>
                <w:color w:val="000000"/>
                <w:sz w:val="21"/>
                <w:szCs w:val="21"/>
                <w:lang w:val="hy-AM" w:eastAsia="en-US"/>
              </w:rPr>
            </w:pPr>
          </w:p>
        </w:tc>
      </w:tr>
      <w:tr w:rsidR="00205004" w:rsidRPr="002621C0" w14:paraId="3A6F9C79" w14:textId="77777777" w:rsidTr="006E0E97">
        <w:trPr>
          <w:tblCellSpacing w:w="0" w:type="dxa"/>
          <w:jc w:val="center"/>
        </w:trPr>
        <w:tc>
          <w:tcPr>
            <w:tcW w:w="6009" w:type="dxa"/>
            <w:tcBorders>
              <w:top w:val="outset" w:sz="6" w:space="0" w:color="auto"/>
              <w:left w:val="outset" w:sz="6" w:space="0" w:color="auto"/>
              <w:bottom w:val="outset" w:sz="6" w:space="0" w:color="auto"/>
              <w:right w:val="outset" w:sz="6" w:space="0" w:color="auto"/>
            </w:tcBorders>
            <w:shd w:val="clear" w:color="auto" w:fill="FFFFFF"/>
          </w:tcPr>
          <w:p w14:paraId="54B9A703" w14:textId="2EF3946A" w:rsidR="00E50D97" w:rsidRPr="00E50D97" w:rsidRDefault="00E50D97" w:rsidP="00E50D97">
            <w:pPr>
              <w:pStyle w:val="NoSpacing"/>
              <w:numPr>
                <w:ilvl w:val="0"/>
                <w:numId w:val="14"/>
              </w:numPr>
              <w:spacing w:line="276" w:lineRule="auto"/>
              <w:ind w:left="117" w:right="75" w:firstLine="348"/>
              <w:jc w:val="both"/>
              <w:rPr>
                <w:rFonts w:ascii="GHEA Grapalat" w:hAnsi="GHEA Grapalat"/>
                <w:color w:val="000000"/>
                <w:sz w:val="24"/>
                <w:szCs w:val="24"/>
                <w:lang w:val="hy-AM"/>
              </w:rPr>
            </w:pPr>
            <w:r w:rsidRPr="00E50D97">
              <w:rPr>
                <w:rFonts w:ascii="GHEA Grapalat" w:hAnsi="GHEA Grapalat"/>
                <w:color w:val="000000"/>
                <w:sz w:val="24"/>
                <w:szCs w:val="24"/>
                <w:lang w:val="hy-AM"/>
              </w:rPr>
              <w:t xml:space="preserve">Առաջարկվում է նաև պաշտոնավարող դատավորների համար սահմանել պաշտոնավարմանը խոչընդոտող հիվանդությունների և վիճակների առանձին և ոչ սպառիչ ցանկ, որը պետք է ներառի հիվանդությունների կամ վիճակների ավելի լայն շրջանակ, քան նախատեսված է հավակնորդների համար, և քանի որ ներկայումս առկա ցանկը վերաբերում է հավակնորդների նշանակմանը խոչընդոտող հիվանդություններին, ապա այն որևէ </w:t>
            </w:r>
            <w:r w:rsidRPr="00E50D97">
              <w:rPr>
                <w:rFonts w:ascii="GHEA Grapalat" w:hAnsi="GHEA Grapalat"/>
                <w:color w:val="000000"/>
                <w:sz w:val="24"/>
                <w:szCs w:val="24"/>
                <w:lang w:val="hy-AM"/>
              </w:rPr>
              <w:lastRenderedPageBreak/>
              <w:t xml:space="preserve">պարագայում նույնությամբ չի կարող կիրառվել պաշտոնավարող դատավորի՝ հետագայում ծագած այնպիսի հիվանդությունների և/կամ վիճակների դեպքում, որոնք օբյեկտիվորեն խոչընդոտում են դատավորի պատշաճ պաշտոնավարմանը։ Բացի այդ, անհրաժեշտ է ոչ միայն առանձնացնել և ընդլայնել հիվանդությունների և վիճակների ցանկը, այլև անհրաժեշտ է դատավորի բժշկական զննություն իրականացնող հանձնաժողովում ներառել դատական իշխանության ներկայացուցչի, օրինակ՝ դատավորի կամ Բարձրագույն դատական խորհրդի անդամի, որպեսզի վերջինս հանձնաժողովի բժիշկ անդամներին ներկայացնի կամ բացատրի, թե որոշակի հիվանդություններ կամ վիճակներ ինչպիսի ազդեցություն կարող են ունենալ դատավորի պաշտոն զբաղեցնող անձի և նրա պաշտոնեական պարտականությունների իրականացման վրա։ Օրինակ, եթե որոշակի հիվանդություններ կամ վիճակներ կարող են և չազդել այլ աշխատանք կատարող մարդու աշխատունակության վրա, ապա դատավորի աշխատունակության վրա նույն հիվանդությունները կամ վիճակները կարող են լուրջ ազդեցություն թողնել՝ վտանգելով դատավորի լիազորությունների պատշաճ իրականացումը։ </w:t>
            </w:r>
          </w:p>
          <w:p w14:paraId="68EDF8C5" w14:textId="7AB66760" w:rsidR="00205004" w:rsidRDefault="00E50D97" w:rsidP="00E50D97">
            <w:pPr>
              <w:pStyle w:val="NoSpacing"/>
              <w:spacing w:line="276" w:lineRule="auto"/>
              <w:ind w:left="117" w:right="75" w:hanging="117"/>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Pr="00E50D97">
              <w:rPr>
                <w:rFonts w:ascii="GHEA Grapalat" w:hAnsi="GHEA Grapalat"/>
                <w:color w:val="000000"/>
                <w:sz w:val="24"/>
                <w:szCs w:val="24"/>
                <w:lang w:val="hy-AM"/>
              </w:rPr>
              <w:t xml:space="preserve">Քննարկման արժանի է նաև այն հարցը, որ այն հիվանդությունները և վիճակները, որոնք վտանգում, </w:t>
            </w:r>
            <w:r w:rsidRPr="00E50D97">
              <w:rPr>
                <w:rFonts w:ascii="GHEA Grapalat" w:hAnsi="GHEA Grapalat"/>
                <w:color w:val="000000"/>
                <w:sz w:val="24"/>
                <w:szCs w:val="24"/>
                <w:lang w:val="hy-AM"/>
              </w:rPr>
              <w:lastRenderedPageBreak/>
              <w:t>դժվարացնում կամ անհնարին են դարձնում դատավորի լիազորությունների պատշաճ իրականացումը, կիրառվեն միայն որոշակի տևական ժամանակահատված պաշտոնավարած դատավորների նկատմամբ, օրինակ՝ 10, 15 կամ 20 տարվա ստաժ ունեցող դատավորների նկատմամբ։</w:t>
            </w:r>
          </w:p>
        </w:tc>
        <w:tc>
          <w:tcPr>
            <w:tcW w:w="6041" w:type="dxa"/>
            <w:tcBorders>
              <w:top w:val="outset" w:sz="6" w:space="0" w:color="auto"/>
              <w:left w:val="outset" w:sz="6" w:space="0" w:color="auto"/>
              <w:bottom w:val="outset" w:sz="6" w:space="0" w:color="auto"/>
              <w:right w:val="nil"/>
            </w:tcBorders>
            <w:shd w:val="clear" w:color="auto" w:fill="FFFFFF"/>
          </w:tcPr>
          <w:p w14:paraId="08695CDA" w14:textId="77777777" w:rsidR="00205004" w:rsidRDefault="00E50D97" w:rsidP="00186F88">
            <w:pPr>
              <w:pStyle w:val="NoSpacing"/>
              <w:spacing w:line="276" w:lineRule="auto"/>
              <w:ind w:left="105" w:right="75" w:firstLine="0"/>
              <w:rPr>
                <w:rFonts w:ascii="GHEA Grapalat" w:hAnsi="GHEA Grapalat"/>
                <w:color w:val="000000"/>
                <w:sz w:val="24"/>
                <w:szCs w:val="24"/>
                <w:lang w:val="hy-AM"/>
              </w:rPr>
            </w:pPr>
            <w:r>
              <w:rPr>
                <w:rFonts w:ascii="GHEA Grapalat" w:hAnsi="GHEA Grapalat"/>
                <w:color w:val="000000"/>
                <w:sz w:val="24"/>
                <w:szCs w:val="24"/>
                <w:lang w:val="hy-AM"/>
              </w:rPr>
              <w:lastRenderedPageBreak/>
              <w:t>Չի ընդունվել:</w:t>
            </w:r>
          </w:p>
          <w:p w14:paraId="0B525990" w14:textId="53970617" w:rsidR="003A2D7A" w:rsidRDefault="000A3034" w:rsidP="003A2D7A">
            <w:pPr>
              <w:pStyle w:val="NoSpacing"/>
              <w:spacing w:line="276" w:lineRule="auto"/>
              <w:ind w:left="105" w:right="75" w:firstLine="0"/>
              <w:rPr>
                <w:rFonts w:ascii="GHEA Grapalat" w:hAnsi="GHEA Grapalat"/>
                <w:color w:val="000000"/>
                <w:sz w:val="24"/>
                <w:szCs w:val="24"/>
                <w:lang w:val="hy-AM"/>
              </w:rPr>
            </w:pPr>
            <w:r w:rsidRPr="003A2D7A">
              <w:rPr>
                <w:rFonts w:ascii="GHEA Grapalat" w:hAnsi="GHEA Grapalat"/>
                <w:color w:val="000000"/>
                <w:sz w:val="24"/>
                <w:szCs w:val="24"/>
                <w:lang w:val="hy-AM"/>
              </w:rPr>
              <w:t xml:space="preserve">Առողջապահության նախարարի 2022 թվականի սեպտեմբերի 27-ի թիվ 4504-Լ հրամանի 1-ին կետի համաձայն` </w:t>
            </w:r>
            <w:r w:rsidR="003A2D7A" w:rsidRPr="003A2D7A">
              <w:rPr>
                <w:rFonts w:ascii="GHEA Grapalat" w:hAnsi="GHEA Grapalat"/>
                <w:color w:val="000000"/>
                <w:sz w:val="24"/>
                <w:szCs w:val="24"/>
                <w:lang w:val="hy-AM"/>
              </w:rPr>
              <w:t xml:space="preserve">դատավորի բժշկական զննության դեպքում կիրառվում է Կառավարության 2019 թվականի մայիսի 30-ի N 685-Ն որոշման Հավելված 1-ով սահմանված դատավորի պաշտոնում նշանակմանը խոչընդոտող </w:t>
            </w:r>
            <w:r w:rsidR="00FB1BC0">
              <w:rPr>
                <w:rFonts w:ascii="GHEA Grapalat" w:hAnsi="GHEA Grapalat"/>
                <w:color w:val="000000"/>
                <w:sz w:val="24"/>
                <w:szCs w:val="24"/>
                <w:lang w:val="hy-AM"/>
              </w:rPr>
              <w:t xml:space="preserve">ֆիզիկական արատների </w:t>
            </w:r>
            <w:r w:rsidR="00FB1BC0" w:rsidRPr="003A2D7A">
              <w:rPr>
                <w:rFonts w:ascii="GHEA Grapalat" w:hAnsi="GHEA Grapalat"/>
                <w:color w:val="000000"/>
                <w:sz w:val="24"/>
                <w:szCs w:val="24"/>
                <w:lang w:val="hy-AM"/>
              </w:rPr>
              <w:t xml:space="preserve">և </w:t>
            </w:r>
            <w:r w:rsidR="003A2D7A" w:rsidRPr="003A2D7A">
              <w:rPr>
                <w:rFonts w:ascii="GHEA Grapalat" w:hAnsi="GHEA Grapalat"/>
                <w:color w:val="000000"/>
                <w:sz w:val="24"/>
                <w:szCs w:val="24"/>
                <w:lang w:val="hy-AM"/>
              </w:rPr>
              <w:t>հիվանդությունների</w:t>
            </w:r>
            <w:r w:rsidR="00FB1BC0">
              <w:rPr>
                <w:rFonts w:ascii="GHEA Grapalat" w:hAnsi="GHEA Grapalat"/>
                <w:color w:val="000000"/>
                <w:sz w:val="24"/>
                <w:szCs w:val="24"/>
                <w:lang w:val="hy-AM"/>
              </w:rPr>
              <w:t xml:space="preserve"> ցանկը</w:t>
            </w:r>
            <w:r w:rsidR="003A2D7A" w:rsidRPr="003A2D7A">
              <w:rPr>
                <w:rFonts w:ascii="GHEA Grapalat" w:hAnsi="GHEA Grapalat"/>
                <w:color w:val="000000"/>
                <w:sz w:val="24"/>
                <w:szCs w:val="24"/>
                <w:lang w:val="hy-AM"/>
              </w:rPr>
              <w:t>:</w:t>
            </w:r>
            <w:r w:rsidR="003A2D7A">
              <w:rPr>
                <w:rFonts w:ascii="GHEA Grapalat" w:hAnsi="GHEA Grapalat"/>
                <w:color w:val="000000"/>
                <w:sz w:val="24"/>
                <w:szCs w:val="24"/>
                <w:lang w:val="hy-AM"/>
              </w:rPr>
              <w:t xml:space="preserve"> Տվյալ ցանկը մշակվել է առողջապահության ոլորտի համապատասխան </w:t>
            </w:r>
            <w:r w:rsidR="003A2D7A">
              <w:rPr>
                <w:rFonts w:ascii="GHEA Grapalat" w:hAnsi="GHEA Grapalat"/>
                <w:color w:val="000000"/>
                <w:sz w:val="24"/>
                <w:szCs w:val="24"/>
                <w:lang w:val="hy-AM"/>
              </w:rPr>
              <w:lastRenderedPageBreak/>
              <w:t>մասնագետների կողմից և ցանկը մշակելիս հաշվի է առնվել այն հանգամանքը, թե որ հիվանդությունն</w:t>
            </w:r>
            <w:r w:rsidR="005B25B5">
              <w:rPr>
                <w:rFonts w:ascii="GHEA Grapalat" w:hAnsi="GHEA Grapalat"/>
                <w:color w:val="000000"/>
                <w:sz w:val="24"/>
                <w:szCs w:val="24"/>
                <w:lang w:val="hy-AM"/>
              </w:rPr>
              <w:t>ե</w:t>
            </w:r>
            <w:r w:rsidR="003A2D7A">
              <w:rPr>
                <w:rFonts w:ascii="GHEA Grapalat" w:hAnsi="GHEA Grapalat"/>
                <w:color w:val="000000"/>
                <w:sz w:val="24"/>
                <w:szCs w:val="24"/>
                <w:lang w:val="hy-AM"/>
              </w:rPr>
              <w:t xml:space="preserve">րը կամ </w:t>
            </w:r>
            <w:r w:rsidR="00FB1BC0">
              <w:rPr>
                <w:rFonts w:ascii="GHEA Grapalat" w:hAnsi="GHEA Grapalat"/>
                <w:color w:val="000000"/>
                <w:sz w:val="24"/>
                <w:szCs w:val="24"/>
                <w:lang w:val="hy-AM"/>
              </w:rPr>
              <w:t xml:space="preserve">վիճակները </w:t>
            </w:r>
            <w:r w:rsidR="005B25B5">
              <w:rPr>
                <w:rFonts w:ascii="GHEA Grapalat" w:hAnsi="GHEA Grapalat"/>
                <w:color w:val="000000"/>
                <w:sz w:val="24"/>
                <w:szCs w:val="24"/>
                <w:lang w:val="hy-AM"/>
              </w:rPr>
              <w:t xml:space="preserve">կարող են </w:t>
            </w:r>
            <w:r w:rsidR="003A2D7A">
              <w:rPr>
                <w:rFonts w:ascii="GHEA Grapalat" w:hAnsi="GHEA Grapalat"/>
                <w:color w:val="000000"/>
                <w:sz w:val="24"/>
                <w:szCs w:val="24"/>
                <w:lang w:val="hy-AM"/>
              </w:rPr>
              <w:t xml:space="preserve">բացասական ազդեցություն ունենալ </w:t>
            </w:r>
            <w:r w:rsidR="00C22E3F">
              <w:rPr>
                <w:rFonts w:ascii="GHEA Grapalat" w:hAnsi="GHEA Grapalat"/>
                <w:color w:val="000000"/>
                <w:sz w:val="24"/>
                <w:szCs w:val="24"/>
                <w:lang w:val="hy-AM"/>
              </w:rPr>
              <w:t xml:space="preserve">հետագայում </w:t>
            </w:r>
            <w:r w:rsidR="003A2D7A">
              <w:rPr>
                <w:rFonts w:ascii="GHEA Grapalat" w:hAnsi="GHEA Grapalat"/>
                <w:color w:val="000000"/>
                <w:sz w:val="24"/>
                <w:szCs w:val="24"/>
                <w:lang w:val="hy-AM"/>
              </w:rPr>
              <w:t xml:space="preserve">անձի` </w:t>
            </w:r>
            <w:r w:rsidR="005B25B5">
              <w:rPr>
                <w:rFonts w:ascii="GHEA Grapalat" w:hAnsi="GHEA Grapalat"/>
                <w:color w:val="000000"/>
                <w:sz w:val="24"/>
                <w:szCs w:val="24"/>
                <w:lang w:val="hy-AM"/>
              </w:rPr>
              <w:t xml:space="preserve">որպես դատավոր </w:t>
            </w:r>
            <w:r w:rsidR="00CE17E0">
              <w:rPr>
                <w:rFonts w:ascii="GHEA Grapalat" w:hAnsi="GHEA Grapalat"/>
                <w:color w:val="000000"/>
                <w:sz w:val="24"/>
                <w:szCs w:val="24"/>
                <w:lang w:val="hy-AM"/>
              </w:rPr>
              <w:t>գործառույթ</w:t>
            </w:r>
            <w:r w:rsidR="005B25B5">
              <w:rPr>
                <w:rFonts w:ascii="GHEA Grapalat" w:hAnsi="GHEA Grapalat"/>
                <w:color w:val="000000"/>
                <w:sz w:val="24"/>
                <w:szCs w:val="24"/>
                <w:lang w:val="hy-AM"/>
              </w:rPr>
              <w:t>ներ</w:t>
            </w:r>
            <w:r w:rsidR="00BA54C9">
              <w:rPr>
                <w:rFonts w:ascii="GHEA Grapalat" w:hAnsi="GHEA Grapalat"/>
                <w:color w:val="000000"/>
                <w:sz w:val="24"/>
                <w:szCs w:val="24"/>
                <w:lang w:val="hy-AM"/>
              </w:rPr>
              <w:t>ի</w:t>
            </w:r>
            <w:r w:rsidR="005B25B5">
              <w:rPr>
                <w:rFonts w:ascii="GHEA Grapalat" w:hAnsi="GHEA Grapalat"/>
                <w:color w:val="000000"/>
                <w:sz w:val="24"/>
                <w:szCs w:val="24"/>
                <w:lang w:val="hy-AM"/>
              </w:rPr>
              <w:t xml:space="preserve"> իրականացման</w:t>
            </w:r>
            <w:r w:rsidR="00BA54C9">
              <w:rPr>
                <w:rFonts w:ascii="GHEA Grapalat" w:hAnsi="GHEA Grapalat"/>
                <w:color w:val="000000"/>
                <w:sz w:val="24"/>
                <w:szCs w:val="24"/>
                <w:lang w:val="hy-AM"/>
              </w:rPr>
              <w:t xml:space="preserve"> վրա</w:t>
            </w:r>
            <w:r w:rsidR="005B25B5">
              <w:rPr>
                <w:rFonts w:ascii="GHEA Grapalat" w:hAnsi="GHEA Grapalat"/>
                <w:color w:val="000000"/>
                <w:sz w:val="24"/>
                <w:szCs w:val="24"/>
                <w:lang w:val="hy-AM"/>
              </w:rPr>
              <w:t>, ինչպես նաև</w:t>
            </w:r>
            <w:r w:rsidR="00BA54C9">
              <w:rPr>
                <w:rFonts w:ascii="GHEA Grapalat" w:hAnsi="GHEA Grapalat"/>
                <w:color w:val="000000"/>
                <w:sz w:val="24"/>
                <w:szCs w:val="24"/>
                <w:lang w:val="hy-AM"/>
              </w:rPr>
              <w:t xml:space="preserve"> նկատի է առնվել</w:t>
            </w:r>
            <w:r w:rsidR="005B25B5">
              <w:rPr>
                <w:rFonts w:ascii="GHEA Grapalat" w:hAnsi="GHEA Grapalat"/>
                <w:color w:val="000000"/>
                <w:sz w:val="24"/>
                <w:szCs w:val="24"/>
                <w:lang w:val="hy-AM"/>
              </w:rPr>
              <w:t xml:space="preserve"> դրանց ազդեցությունը դատավորի աշխատունակության վրա: </w:t>
            </w:r>
          </w:p>
          <w:p w14:paraId="07DAEC13" w14:textId="77777777" w:rsidR="00DF0DE3" w:rsidRDefault="00DF0DE3" w:rsidP="003A2D7A">
            <w:pPr>
              <w:pStyle w:val="NoSpacing"/>
              <w:spacing w:line="276" w:lineRule="auto"/>
              <w:ind w:left="105" w:right="75" w:firstLine="0"/>
              <w:rPr>
                <w:rFonts w:ascii="GHEA Grapalat" w:hAnsi="GHEA Grapalat"/>
                <w:color w:val="000000"/>
                <w:sz w:val="24"/>
                <w:szCs w:val="24"/>
                <w:lang w:val="hy-AM"/>
              </w:rPr>
            </w:pPr>
          </w:p>
          <w:p w14:paraId="3026032F" w14:textId="07ABCF79" w:rsidR="005B25B5" w:rsidRDefault="005B25B5" w:rsidP="003A2D7A">
            <w:pPr>
              <w:pStyle w:val="NoSpacing"/>
              <w:spacing w:line="276" w:lineRule="auto"/>
              <w:ind w:left="105" w:right="75" w:firstLine="0"/>
              <w:rPr>
                <w:rFonts w:ascii="GHEA Grapalat" w:hAnsi="GHEA Grapalat"/>
                <w:color w:val="000000"/>
                <w:sz w:val="24"/>
                <w:szCs w:val="24"/>
                <w:lang w:val="hy-AM"/>
              </w:rPr>
            </w:pPr>
            <w:r>
              <w:rPr>
                <w:rFonts w:ascii="GHEA Grapalat" w:hAnsi="GHEA Grapalat"/>
                <w:color w:val="000000"/>
                <w:sz w:val="24"/>
                <w:szCs w:val="24"/>
                <w:lang w:val="hy-AM"/>
              </w:rPr>
              <w:t>Ինչ վերաբերում է</w:t>
            </w:r>
            <w:r w:rsidR="00DF0DE3" w:rsidRPr="00DF0DE3">
              <w:rPr>
                <w:rFonts w:ascii="GHEA Grapalat" w:eastAsia="Times New Roman" w:hAnsi="GHEA Grapalat"/>
                <w:color w:val="000000"/>
                <w:sz w:val="24"/>
                <w:szCs w:val="24"/>
                <w:lang w:val="hy-AM" w:eastAsia="ru-RU"/>
              </w:rPr>
              <w:t xml:space="preserve"> </w:t>
            </w:r>
            <w:r w:rsidR="00DF0DE3" w:rsidRPr="00DF0DE3">
              <w:rPr>
                <w:rFonts w:ascii="GHEA Grapalat" w:hAnsi="GHEA Grapalat"/>
                <w:color w:val="000000"/>
                <w:sz w:val="24"/>
                <w:szCs w:val="24"/>
                <w:lang w:val="hy-AM"/>
              </w:rPr>
              <w:t>դատավորի բժշկական զննություն իրականացնող հանձնաժողովում</w:t>
            </w:r>
            <w:r>
              <w:rPr>
                <w:rFonts w:ascii="GHEA Grapalat" w:hAnsi="GHEA Grapalat"/>
                <w:color w:val="000000"/>
                <w:sz w:val="24"/>
                <w:szCs w:val="24"/>
                <w:lang w:val="hy-AM"/>
              </w:rPr>
              <w:t xml:space="preserve"> </w:t>
            </w:r>
            <w:r w:rsidRPr="005B25B5">
              <w:rPr>
                <w:rFonts w:ascii="GHEA Grapalat" w:hAnsi="GHEA Grapalat"/>
                <w:color w:val="000000"/>
                <w:sz w:val="24"/>
                <w:szCs w:val="24"/>
                <w:lang w:val="hy-AM"/>
              </w:rPr>
              <w:t>դատական իշխանության ներկայացուցչի</w:t>
            </w:r>
            <w:r>
              <w:rPr>
                <w:rFonts w:ascii="GHEA Grapalat" w:hAnsi="GHEA Grapalat"/>
                <w:color w:val="000000"/>
                <w:sz w:val="24"/>
                <w:szCs w:val="24"/>
                <w:lang w:val="hy-AM"/>
              </w:rPr>
              <w:t xml:space="preserve"> ներգրավմանը, ապա հարկ է նկատել, որ բժշկական զննությունն իրականացվում է </w:t>
            </w:r>
            <w:r w:rsidRPr="005B25B5">
              <w:rPr>
                <w:rFonts w:ascii="GHEA Grapalat" w:hAnsi="GHEA Grapalat"/>
                <w:color w:val="000000"/>
                <w:sz w:val="24"/>
                <w:szCs w:val="24"/>
                <w:lang w:val="hy-AM"/>
              </w:rPr>
              <w:t xml:space="preserve">բժշկական </w:t>
            </w:r>
            <w:r w:rsidR="00C22E3F">
              <w:rPr>
                <w:rFonts w:ascii="GHEA Grapalat" w:hAnsi="GHEA Grapalat"/>
                <w:color w:val="000000"/>
                <w:sz w:val="24"/>
                <w:szCs w:val="24"/>
                <w:lang w:val="hy-AM"/>
              </w:rPr>
              <w:t xml:space="preserve">համապատասխան կրթություն ունեցող </w:t>
            </w:r>
            <w:r w:rsidRPr="005B25B5">
              <w:rPr>
                <w:rFonts w:ascii="GHEA Grapalat" w:hAnsi="GHEA Grapalat"/>
                <w:color w:val="000000"/>
                <w:sz w:val="24"/>
                <w:szCs w:val="24"/>
                <w:lang w:val="hy-AM"/>
              </w:rPr>
              <w:t>մասնագետ</w:t>
            </w:r>
            <w:r w:rsidR="00C22E3F" w:rsidRPr="00C22E3F">
              <w:rPr>
                <w:rFonts w:ascii="GHEA Grapalat" w:hAnsi="GHEA Grapalat"/>
                <w:color w:val="000000"/>
                <w:sz w:val="24"/>
                <w:szCs w:val="24"/>
                <w:lang w:val="hy-AM"/>
              </w:rPr>
              <w:t>(</w:t>
            </w:r>
            <w:r w:rsidR="00C22E3F">
              <w:rPr>
                <w:rFonts w:ascii="GHEA Grapalat" w:hAnsi="GHEA Grapalat"/>
                <w:color w:val="000000"/>
                <w:sz w:val="24"/>
                <w:szCs w:val="24"/>
                <w:lang w:val="hy-AM"/>
              </w:rPr>
              <w:t>ներ</w:t>
            </w:r>
            <w:r w:rsidR="00C22E3F" w:rsidRPr="00C22E3F">
              <w:rPr>
                <w:rFonts w:ascii="GHEA Grapalat" w:hAnsi="GHEA Grapalat"/>
                <w:color w:val="000000"/>
                <w:sz w:val="24"/>
                <w:szCs w:val="24"/>
                <w:lang w:val="hy-AM"/>
              </w:rPr>
              <w:t>)</w:t>
            </w:r>
            <w:r w:rsidRPr="005B25B5">
              <w:rPr>
                <w:rFonts w:ascii="GHEA Grapalat" w:hAnsi="GHEA Grapalat"/>
                <w:color w:val="000000"/>
                <w:sz w:val="24"/>
                <w:szCs w:val="24"/>
                <w:lang w:val="hy-AM"/>
              </w:rPr>
              <w:t>ի կողմից</w:t>
            </w:r>
            <w:r w:rsidRPr="005B25B5">
              <w:rPr>
                <w:rFonts w:cs="Calibri"/>
                <w:color w:val="000000"/>
                <w:sz w:val="24"/>
                <w:szCs w:val="24"/>
                <w:lang w:val="hy-AM"/>
              </w:rPr>
              <w:t> </w:t>
            </w:r>
            <w:r w:rsidRPr="005B25B5">
              <w:rPr>
                <w:rFonts w:ascii="GHEA Grapalat" w:hAnsi="GHEA Grapalat"/>
                <w:color w:val="000000"/>
                <w:sz w:val="24"/>
                <w:szCs w:val="24"/>
                <w:lang w:val="hy-AM"/>
              </w:rPr>
              <w:t>(</w:t>
            </w:r>
            <w:r>
              <w:rPr>
                <w:rFonts w:ascii="GHEA Grapalat" w:hAnsi="GHEA Grapalat"/>
                <w:color w:val="000000"/>
                <w:sz w:val="24"/>
                <w:szCs w:val="24"/>
                <w:lang w:val="hy-AM"/>
              </w:rPr>
              <w:t>«Բնակչության բժշկական օգնության և սպասարկման մասին» օրենքի 2-րդ հոդված 1-ին մասի 7-րդ կետ</w:t>
            </w:r>
            <w:r w:rsidRPr="005B25B5">
              <w:rPr>
                <w:rFonts w:ascii="GHEA Grapalat" w:hAnsi="GHEA Grapalat"/>
                <w:color w:val="000000"/>
                <w:sz w:val="24"/>
                <w:szCs w:val="24"/>
                <w:lang w:val="hy-AM"/>
              </w:rPr>
              <w:t>)</w:t>
            </w:r>
            <w:r w:rsidR="00C22E3F">
              <w:rPr>
                <w:rFonts w:ascii="GHEA Grapalat" w:hAnsi="GHEA Grapalat"/>
                <w:color w:val="000000"/>
                <w:sz w:val="24"/>
                <w:szCs w:val="24"/>
                <w:lang w:val="hy-AM"/>
              </w:rPr>
              <w:t>,</w:t>
            </w:r>
            <w:r w:rsidR="00C22E3F" w:rsidRPr="00C22E3F">
              <w:rPr>
                <w:rFonts w:ascii="GHEA Grapalat" w:hAnsi="GHEA Grapalat"/>
                <w:color w:val="000000"/>
                <w:sz w:val="24"/>
                <w:szCs w:val="24"/>
                <w:lang w:val="hy-AM"/>
              </w:rPr>
              <w:t xml:space="preserve"> </w:t>
            </w:r>
            <w:r w:rsidR="00C22E3F">
              <w:rPr>
                <w:rFonts w:ascii="GHEA Grapalat" w:hAnsi="GHEA Grapalat"/>
                <w:color w:val="000000"/>
                <w:sz w:val="24"/>
                <w:szCs w:val="24"/>
                <w:lang w:val="hy-AM"/>
              </w:rPr>
              <w:t>վերջինիս մասնագիտական գիտելիքների հիման վրա, ո</w:t>
            </w:r>
            <w:r w:rsidR="00DA735C">
              <w:rPr>
                <w:rFonts w:ascii="GHEA Grapalat" w:hAnsi="GHEA Grapalat"/>
                <w:color w:val="000000"/>
                <w:sz w:val="24"/>
                <w:szCs w:val="24"/>
                <w:lang w:val="hy-AM"/>
              </w:rPr>
              <w:t xml:space="preserve">րպիսի </w:t>
            </w:r>
            <w:r w:rsidR="00C22E3F">
              <w:rPr>
                <w:rFonts w:ascii="GHEA Grapalat" w:hAnsi="GHEA Grapalat"/>
                <w:color w:val="000000"/>
                <w:sz w:val="24"/>
                <w:szCs w:val="24"/>
                <w:lang w:val="hy-AM"/>
              </w:rPr>
              <w:t>պարագայում</w:t>
            </w:r>
            <w:r w:rsidR="00DA735C">
              <w:rPr>
                <w:rFonts w:ascii="GHEA Grapalat" w:hAnsi="GHEA Grapalat"/>
                <w:color w:val="000000"/>
                <w:sz w:val="24"/>
                <w:szCs w:val="24"/>
                <w:lang w:val="hy-AM"/>
              </w:rPr>
              <w:t xml:space="preserve"> </w:t>
            </w:r>
            <w:r w:rsidR="00DA735C" w:rsidRPr="00BA54C9">
              <w:rPr>
                <w:rFonts w:ascii="GHEA Grapalat" w:hAnsi="GHEA Grapalat"/>
                <w:color w:val="000000"/>
                <w:sz w:val="24"/>
                <w:szCs w:val="24"/>
                <w:lang w:val="hy-AM"/>
              </w:rPr>
              <w:t>այլ անձ</w:t>
            </w:r>
            <w:r w:rsidR="00C22E3F">
              <w:rPr>
                <w:rFonts w:ascii="GHEA Grapalat" w:hAnsi="GHEA Grapalat"/>
                <w:color w:val="000000"/>
                <w:sz w:val="24"/>
                <w:szCs w:val="24"/>
                <w:lang w:val="hy-AM"/>
              </w:rPr>
              <w:t>ա</w:t>
            </w:r>
            <w:r w:rsidR="00DA735C" w:rsidRPr="00BA54C9">
              <w:rPr>
                <w:rFonts w:ascii="GHEA Grapalat" w:hAnsi="GHEA Grapalat"/>
                <w:color w:val="000000"/>
                <w:sz w:val="24"/>
                <w:szCs w:val="24"/>
                <w:lang w:val="hy-AM"/>
              </w:rPr>
              <w:t>ն</w:t>
            </w:r>
            <w:r w:rsidR="00C22E3F">
              <w:rPr>
                <w:rFonts w:ascii="GHEA Grapalat" w:hAnsi="GHEA Grapalat"/>
                <w:color w:val="000000"/>
                <w:sz w:val="24"/>
                <w:szCs w:val="24"/>
                <w:lang w:val="hy-AM"/>
              </w:rPr>
              <w:t xml:space="preserve">ց </w:t>
            </w:r>
            <w:r w:rsidR="00C22E3F" w:rsidRPr="00C22E3F">
              <w:rPr>
                <w:rFonts w:ascii="GHEA Grapalat" w:hAnsi="GHEA Grapalat"/>
                <w:color w:val="000000"/>
                <w:sz w:val="24"/>
                <w:szCs w:val="24"/>
                <w:lang w:val="hy-AM"/>
              </w:rPr>
              <w:t>(</w:t>
            </w:r>
            <w:r w:rsidR="00C22E3F">
              <w:rPr>
                <w:rFonts w:ascii="GHEA Grapalat" w:hAnsi="GHEA Grapalat"/>
                <w:color w:val="000000"/>
                <w:sz w:val="24"/>
                <w:szCs w:val="24"/>
                <w:lang w:val="hy-AM"/>
              </w:rPr>
              <w:t>ոչ մասնագետների</w:t>
            </w:r>
            <w:r w:rsidR="00C22E3F" w:rsidRPr="00C22E3F">
              <w:rPr>
                <w:rFonts w:ascii="GHEA Grapalat" w:hAnsi="GHEA Grapalat"/>
                <w:color w:val="000000"/>
                <w:sz w:val="24"/>
                <w:szCs w:val="24"/>
                <w:lang w:val="hy-AM"/>
              </w:rPr>
              <w:t>)</w:t>
            </w:r>
            <w:r w:rsidR="00DA735C" w:rsidRPr="00BA54C9">
              <w:rPr>
                <w:rFonts w:ascii="GHEA Grapalat" w:hAnsi="GHEA Grapalat"/>
                <w:color w:val="000000"/>
                <w:sz w:val="24"/>
                <w:szCs w:val="24"/>
                <w:lang w:val="hy-AM"/>
              </w:rPr>
              <w:t xml:space="preserve"> ներգրավ</w:t>
            </w:r>
            <w:r w:rsidR="00C22E3F">
              <w:rPr>
                <w:rFonts w:ascii="GHEA Grapalat" w:hAnsi="GHEA Grapalat"/>
                <w:color w:val="000000"/>
                <w:sz w:val="24"/>
                <w:szCs w:val="24"/>
                <w:lang w:val="hy-AM"/>
              </w:rPr>
              <w:t>ումը չի կարող արդարացված լինել</w:t>
            </w:r>
            <w:r w:rsidR="00DA735C" w:rsidRPr="00BA54C9">
              <w:rPr>
                <w:rFonts w:ascii="GHEA Grapalat" w:hAnsi="GHEA Grapalat"/>
                <w:color w:val="000000"/>
                <w:sz w:val="24"/>
                <w:szCs w:val="24"/>
                <w:lang w:val="hy-AM"/>
              </w:rPr>
              <w:t>:</w:t>
            </w:r>
            <w:r w:rsidR="00DF0DE3">
              <w:rPr>
                <w:rFonts w:ascii="GHEA Grapalat" w:hAnsi="GHEA Grapalat"/>
                <w:color w:val="000000"/>
                <w:sz w:val="24"/>
                <w:szCs w:val="24"/>
                <w:lang w:val="hy-AM"/>
              </w:rPr>
              <w:t xml:space="preserve"> Բացի այդ, բժշկական զննության իրականացման ժամանակ կարող են ի հայտ գալ պացի</w:t>
            </w:r>
            <w:r w:rsidR="0033402D">
              <w:rPr>
                <w:rFonts w:ascii="GHEA Grapalat" w:hAnsi="GHEA Grapalat"/>
                <w:color w:val="000000"/>
                <w:sz w:val="24"/>
                <w:szCs w:val="24"/>
                <w:lang w:val="hy-AM"/>
              </w:rPr>
              <w:t>ե</w:t>
            </w:r>
            <w:r w:rsidR="00DF0DE3">
              <w:rPr>
                <w:rFonts w:ascii="GHEA Grapalat" w:hAnsi="GHEA Grapalat"/>
                <w:color w:val="000000"/>
                <w:sz w:val="24"/>
                <w:szCs w:val="24"/>
                <w:lang w:val="hy-AM"/>
              </w:rPr>
              <w:t>նտի առողջական վիճակի մասին այլ տվյալներ, որոնք չեն խոչընդոտում որպես դատավոր պաշտոնավարելուն, սակայն հանդիսանում են բժշկական գաղտնիք:</w:t>
            </w:r>
          </w:p>
          <w:p w14:paraId="206E82F8" w14:textId="77777777" w:rsidR="00DF0DE3" w:rsidRDefault="00DF0DE3" w:rsidP="003A2D7A">
            <w:pPr>
              <w:pStyle w:val="NoSpacing"/>
              <w:spacing w:line="276" w:lineRule="auto"/>
              <w:ind w:left="105" w:right="75" w:firstLine="0"/>
              <w:rPr>
                <w:rFonts w:ascii="GHEA Grapalat" w:hAnsi="GHEA Grapalat"/>
                <w:color w:val="000000"/>
                <w:sz w:val="24"/>
                <w:szCs w:val="24"/>
                <w:lang w:val="hy-AM"/>
              </w:rPr>
            </w:pPr>
          </w:p>
          <w:p w14:paraId="0C6D8319" w14:textId="32B11739" w:rsidR="00E50D97" w:rsidRDefault="00CE17E0" w:rsidP="00CE17E0">
            <w:pPr>
              <w:pStyle w:val="NoSpacing"/>
              <w:spacing w:line="276" w:lineRule="auto"/>
              <w:ind w:left="105" w:right="75" w:firstLine="0"/>
              <w:rPr>
                <w:rFonts w:ascii="GHEA Grapalat" w:hAnsi="GHEA Grapalat"/>
                <w:color w:val="000000"/>
                <w:sz w:val="24"/>
                <w:szCs w:val="24"/>
                <w:lang w:val="hy-AM"/>
              </w:rPr>
            </w:pPr>
            <w:r w:rsidRPr="00CE17E0">
              <w:rPr>
                <w:rFonts w:ascii="GHEA Grapalat" w:hAnsi="GHEA Grapalat"/>
                <w:color w:val="000000"/>
                <w:sz w:val="24"/>
                <w:szCs w:val="24"/>
                <w:lang w:val="hy-AM"/>
              </w:rPr>
              <w:lastRenderedPageBreak/>
              <w:t>Առաջարկը, ըստ որի` հիվանդությունները և վիճակները, որոնք վտանգում, դժվարացնում կամ անհնարին են դարձնում դատավորի լիազորությունների պատշաճ իրականացումը, կիրառվեն միայն որոշակի տևական ժամանակահատված պաշտոնավարած դատավորների նկատմամբ, հիմնավորված չէ,</w:t>
            </w:r>
            <w:r>
              <w:rPr>
                <w:rFonts w:ascii="GHEA Grapalat" w:hAnsi="GHEA Grapalat"/>
                <w:color w:val="000000"/>
                <w:sz w:val="24"/>
                <w:szCs w:val="24"/>
                <w:lang w:val="hy-AM"/>
              </w:rPr>
              <w:t xml:space="preserve"> </w:t>
            </w:r>
            <w:r w:rsidRPr="00CE17E0">
              <w:rPr>
                <w:rFonts w:ascii="GHEA Grapalat" w:hAnsi="GHEA Grapalat"/>
                <w:color w:val="000000"/>
                <w:sz w:val="24"/>
                <w:szCs w:val="24"/>
                <w:lang w:val="hy-AM"/>
              </w:rPr>
              <w:t>այն հիմքով, որ անձի մոտ պաշտոնավարմանը խոչընդոտող հիվանդության կամ վիճակի առաջացումը ոււղակիորեն պայմանավորված չէ պաշտոնավարման որոշակի ժամանակահատվածով, դրանք կարող են առաջանալ մարդու կյանքի ցանկացած փուլում, անկախ որևէ հանգամանքից, առավել ևս պաշտոնավարման հանգամանքից</w:t>
            </w:r>
            <w:r>
              <w:rPr>
                <w:rFonts w:ascii="GHEA Grapalat" w:hAnsi="GHEA Grapalat"/>
                <w:color w:val="000000"/>
                <w:sz w:val="24"/>
                <w:szCs w:val="24"/>
                <w:lang w:val="hy-AM"/>
              </w:rPr>
              <w:t xml:space="preserve"> և </w:t>
            </w:r>
            <w:r w:rsidRPr="00CE17E0">
              <w:rPr>
                <w:rFonts w:ascii="GHEA Grapalat" w:hAnsi="GHEA Grapalat"/>
                <w:color w:val="000000"/>
                <w:sz w:val="24"/>
                <w:szCs w:val="24"/>
                <w:lang w:val="hy-AM"/>
              </w:rPr>
              <w:t>պարզապես կարող են բացասաբար անդրադառնալ դատավորի հետագա պաշտոնավարման վրա:</w:t>
            </w:r>
          </w:p>
        </w:tc>
        <w:tc>
          <w:tcPr>
            <w:tcW w:w="1723" w:type="dxa"/>
            <w:tcBorders>
              <w:top w:val="outset" w:sz="6" w:space="0" w:color="auto"/>
              <w:left w:val="nil"/>
              <w:bottom w:val="outset" w:sz="6" w:space="0" w:color="auto"/>
              <w:right w:val="outset" w:sz="6" w:space="0" w:color="auto"/>
            </w:tcBorders>
            <w:shd w:val="clear" w:color="auto" w:fill="FFFFFF"/>
          </w:tcPr>
          <w:p w14:paraId="604B0E47" w14:textId="77777777" w:rsidR="00205004" w:rsidRPr="00426F90" w:rsidRDefault="00205004" w:rsidP="00C57711">
            <w:pPr>
              <w:rPr>
                <w:rFonts w:ascii="Calibri" w:hAnsi="Calibri" w:cs="Calibri"/>
                <w:color w:val="000000"/>
                <w:sz w:val="21"/>
                <w:szCs w:val="21"/>
                <w:lang w:val="hy-AM" w:eastAsia="en-US"/>
              </w:rPr>
            </w:pPr>
          </w:p>
        </w:tc>
      </w:tr>
      <w:tr w:rsidR="00881A76" w:rsidRPr="00426F90" w14:paraId="313E1E50" w14:textId="77777777" w:rsidTr="00E502CE">
        <w:trPr>
          <w:tblCellSpacing w:w="0" w:type="dxa"/>
          <w:jc w:val="center"/>
        </w:trPr>
        <w:tc>
          <w:tcPr>
            <w:tcW w:w="12050"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2A1272B9" w14:textId="4F31EF62" w:rsidR="00881A76" w:rsidRPr="00426F90" w:rsidRDefault="00881A76" w:rsidP="00E502CE">
            <w:pPr>
              <w:spacing w:before="100" w:beforeAutospacing="1" w:after="100" w:afterAutospacing="1"/>
              <w:jc w:val="center"/>
              <w:rPr>
                <w:rFonts w:ascii="GHEA Grapalat" w:hAnsi="GHEA Grapalat"/>
                <w:color w:val="000000"/>
                <w:lang w:val="hy-AM" w:eastAsia="en-US"/>
              </w:rPr>
            </w:pPr>
            <w:r>
              <w:rPr>
                <w:rFonts w:ascii="GHEA Grapalat" w:hAnsi="GHEA Grapalat"/>
                <w:color w:val="000000"/>
                <w:lang w:val="hy-AM" w:eastAsia="en-US"/>
              </w:rPr>
              <w:lastRenderedPageBreak/>
              <w:t>2</w:t>
            </w:r>
            <w:r w:rsidRPr="002B562E">
              <w:rPr>
                <w:rFonts w:ascii="GHEA Grapalat" w:hAnsi="GHEA Grapalat"/>
                <w:color w:val="000000"/>
                <w:lang w:val="hy-AM" w:eastAsia="en-US"/>
              </w:rPr>
              <w:t>. Բարձրագույն դատական խորհուրդ</w:t>
            </w:r>
          </w:p>
        </w:tc>
        <w:tc>
          <w:tcPr>
            <w:tcW w:w="1723" w:type="dxa"/>
            <w:tcBorders>
              <w:top w:val="outset" w:sz="6" w:space="0" w:color="auto"/>
              <w:left w:val="outset" w:sz="6" w:space="0" w:color="auto"/>
              <w:bottom w:val="outset" w:sz="6" w:space="0" w:color="auto"/>
              <w:right w:val="outset" w:sz="6" w:space="0" w:color="auto"/>
            </w:tcBorders>
            <w:shd w:val="clear" w:color="auto" w:fill="D0D0D0"/>
            <w:hideMark/>
          </w:tcPr>
          <w:p w14:paraId="20C7EF90" w14:textId="68C89F1A" w:rsidR="00881A76" w:rsidRPr="00426F90" w:rsidRDefault="00881A76" w:rsidP="00E502CE">
            <w:pPr>
              <w:jc w:val="center"/>
              <w:rPr>
                <w:rFonts w:ascii="GHEA Grapalat" w:hAnsi="GHEA Grapalat"/>
                <w:color w:val="000000"/>
                <w:lang w:val="hy-AM" w:eastAsia="en-US"/>
              </w:rPr>
            </w:pPr>
            <w:r>
              <w:rPr>
                <w:rFonts w:ascii="GHEA Grapalat" w:hAnsi="GHEA Grapalat"/>
                <w:color w:val="000000"/>
                <w:lang w:val="hy-AM" w:eastAsia="en-US"/>
              </w:rPr>
              <w:t>11.01.2023</w:t>
            </w:r>
            <w:r w:rsidRPr="00DA487D">
              <w:rPr>
                <w:rFonts w:ascii="GHEA Grapalat" w:hAnsi="GHEA Grapalat"/>
                <w:color w:val="000000"/>
                <w:lang w:val="hy-AM" w:eastAsia="en-US"/>
              </w:rPr>
              <w:t>թ</w:t>
            </w:r>
            <w:r w:rsidRPr="00DA487D">
              <w:rPr>
                <w:rFonts w:ascii="Cambria Math" w:hAnsi="Cambria Math" w:cs="Cambria Math"/>
                <w:color w:val="000000"/>
                <w:lang w:val="hy-AM" w:eastAsia="en-US"/>
              </w:rPr>
              <w:t>․</w:t>
            </w:r>
          </w:p>
        </w:tc>
      </w:tr>
      <w:tr w:rsidR="00881A76" w:rsidRPr="006E0E97" w14:paraId="78D24B13" w14:textId="77777777" w:rsidTr="00E502CE">
        <w:trPr>
          <w:tblCellSpacing w:w="0" w:type="dxa"/>
          <w:jc w:val="center"/>
        </w:trPr>
        <w:tc>
          <w:tcPr>
            <w:tcW w:w="1205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1DA2FA" w14:textId="77777777" w:rsidR="00881A76" w:rsidRPr="00426F90" w:rsidRDefault="00881A76" w:rsidP="00E502CE">
            <w:pPr>
              <w:rPr>
                <w:rFonts w:ascii="GHEA Grapalat" w:hAnsi="GHEA Grapalat"/>
                <w:color w:val="000000"/>
                <w:lang w:val="hy-AM" w:eastAsia="en-US"/>
              </w:rPr>
            </w:pPr>
          </w:p>
        </w:tc>
        <w:tc>
          <w:tcPr>
            <w:tcW w:w="1723" w:type="dxa"/>
            <w:tcBorders>
              <w:top w:val="outset" w:sz="6" w:space="0" w:color="auto"/>
              <w:left w:val="outset" w:sz="6" w:space="0" w:color="auto"/>
              <w:bottom w:val="outset" w:sz="6" w:space="0" w:color="auto"/>
              <w:right w:val="outset" w:sz="6" w:space="0" w:color="auto"/>
            </w:tcBorders>
            <w:shd w:val="clear" w:color="auto" w:fill="D0D0D0"/>
            <w:hideMark/>
          </w:tcPr>
          <w:p w14:paraId="07022857" w14:textId="77A5C9B9" w:rsidR="00881A76" w:rsidRPr="006E0E97" w:rsidRDefault="00881A76" w:rsidP="00E502CE">
            <w:pPr>
              <w:jc w:val="center"/>
              <w:rPr>
                <w:rFonts w:ascii="GHEA Grapalat" w:hAnsi="GHEA Grapalat"/>
                <w:color w:val="000000"/>
                <w:lang w:val="en-US" w:eastAsia="en-US"/>
              </w:rPr>
            </w:pPr>
            <w:r w:rsidRPr="00DA487D">
              <w:rPr>
                <w:rFonts w:ascii="GHEA Grapalat" w:hAnsi="GHEA Grapalat"/>
                <w:color w:val="000000"/>
                <w:lang w:val="hy-AM" w:eastAsia="en-US"/>
              </w:rPr>
              <w:t xml:space="preserve">№ </w:t>
            </w:r>
            <w:r w:rsidRPr="00881A76">
              <w:rPr>
                <w:rFonts w:ascii="GHEA Grapalat" w:hAnsi="GHEA Grapalat"/>
                <w:color w:val="000000"/>
                <w:lang w:eastAsia="en-US"/>
              </w:rPr>
              <w:t>ԴԴ/22-23</w:t>
            </w:r>
          </w:p>
        </w:tc>
      </w:tr>
      <w:tr w:rsidR="00881A76" w:rsidRPr="002621C0" w14:paraId="1294DE72" w14:textId="77777777" w:rsidTr="00E502CE">
        <w:trPr>
          <w:tblCellSpacing w:w="0" w:type="dxa"/>
          <w:jc w:val="center"/>
        </w:trPr>
        <w:tc>
          <w:tcPr>
            <w:tcW w:w="6009" w:type="dxa"/>
            <w:tcBorders>
              <w:top w:val="outset" w:sz="6" w:space="0" w:color="auto"/>
              <w:left w:val="outset" w:sz="6" w:space="0" w:color="auto"/>
              <w:bottom w:val="outset" w:sz="6" w:space="0" w:color="auto"/>
              <w:right w:val="outset" w:sz="6" w:space="0" w:color="auto"/>
            </w:tcBorders>
            <w:shd w:val="clear" w:color="auto" w:fill="FFFFFF"/>
            <w:hideMark/>
          </w:tcPr>
          <w:p w14:paraId="01169F05" w14:textId="03BC4614" w:rsidR="00ED0875" w:rsidRPr="00ED0875" w:rsidRDefault="00ED0875" w:rsidP="00340548">
            <w:pPr>
              <w:pStyle w:val="NoSpacing"/>
              <w:numPr>
                <w:ilvl w:val="0"/>
                <w:numId w:val="20"/>
              </w:numPr>
              <w:spacing w:line="276" w:lineRule="auto"/>
              <w:ind w:left="117" w:right="75" w:firstLine="348"/>
              <w:jc w:val="both"/>
              <w:rPr>
                <w:rFonts w:ascii="GHEA Grapalat" w:hAnsi="GHEA Grapalat"/>
                <w:color w:val="000000"/>
                <w:sz w:val="24"/>
                <w:szCs w:val="24"/>
                <w:lang w:val="hy-AM"/>
              </w:rPr>
            </w:pPr>
            <w:r>
              <w:rPr>
                <w:rFonts w:ascii="GHEA Grapalat" w:hAnsi="GHEA Grapalat"/>
                <w:color w:val="000000"/>
                <w:sz w:val="24"/>
                <w:szCs w:val="24"/>
                <w:lang w:val="hy-AM"/>
              </w:rPr>
              <w:t>Ա</w:t>
            </w:r>
            <w:r w:rsidRPr="00ED0875">
              <w:rPr>
                <w:rFonts w:ascii="GHEA Grapalat" w:hAnsi="GHEA Grapalat"/>
                <w:color w:val="000000"/>
                <w:sz w:val="24"/>
                <w:szCs w:val="24"/>
                <w:lang w:val="hy-AM"/>
              </w:rPr>
              <w:t xml:space="preserve">ռաջարկվում է Նախագծով սահմանել, որ դատավորը (դատավորի թեկնածուն) կարող է  իր միջոցներով  բժշկական զննությանը մասնակցելու համար հրավիրել իր կողմից ընտրված բժիշկ-մասնագետի, ով իրավունք կունենա անմիջականորեն մասնակցելու բժշկական զննությանը, ստացված արդյունքների վերաբերյալ ներկայացնելու իր մասնագիտական դիրքորոշումը, </w:t>
            </w:r>
            <w:r w:rsidRPr="00ED0875">
              <w:rPr>
                <w:rFonts w:ascii="GHEA Grapalat" w:hAnsi="GHEA Grapalat"/>
                <w:color w:val="000000"/>
                <w:sz w:val="24"/>
                <w:szCs w:val="24"/>
                <w:lang w:val="hy-AM"/>
              </w:rPr>
              <w:lastRenderedPageBreak/>
              <w:t>և որ բժիշկ-մասնագետի կարծիքը պետք է հաշվի առնվի բժշկական զննության արդյունքում ձևավորվող փաստաթղթում:</w:t>
            </w:r>
          </w:p>
          <w:p w14:paraId="3696FDF5" w14:textId="5BDF3F0F" w:rsidR="00881A76" w:rsidRPr="00426F90" w:rsidRDefault="00ED0875" w:rsidP="00340548">
            <w:pPr>
              <w:pStyle w:val="NoSpacing"/>
              <w:spacing w:line="276" w:lineRule="auto"/>
              <w:ind w:left="117" w:right="75" w:firstLine="425"/>
              <w:jc w:val="both"/>
              <w:rPr>
                <w:rFonts w:ascii="GHEA Grapalat" w:hAnsi="GHEA Grapalat"/>
                <w:color w:val="000000"/>
                <w:sz w:val="24"/>
                <w:szCs w:val="24"/>
                <w:lang w:val="hy-AM"/>
              </w:rPr>
            </w:pPr>
            <w:r w:rsidRPr="00ED0875">
              <w:rPr>
                <w:rFonts w:ascii="GHEA Grapalat" w:hAnsi="GHEA Grapalat"/>
                <w:color w:val="000000"/>
                <w:sz w:val="24"/>
                <w:szCs w:val="24"/>
                <w:lang w:val="hy-AM"/>
              </w:rPr>
              <w:t>Կարևոր է ընդգծել, որ բժշկական զննությամբ ստացված տեղեկանքը, փաստորեն, կարող է հիմք հանդիսանալ պաշտոնավարող դատավորի լիազորությունների դադարեցման հարցի քննարկման և լիազորության դադարեցման համար, իսկ դատավորի թեկնածուն կարող է հանվել ցուցակից, ուստի այս դեպքում դատավորի անկախության պահպանման տեսանկյունից անհրաժեշտ է, որ դատավորը կամ թեկնածուն ունենան բավարար երաշխիքներ և գործիքակազմ, որով դատավորը և թեկնածուն կունենան իրենց կողմից ընտրված բժշկի կողմից զննվելու, այդ թվում՝ ըստ անհրաժեշտության բժշկական զննության  արդյունքները վիճարկելու և իրենց դիրքորոշումը ներկայացնելու հնարավորություն: Նման իրավակարգավորումը նվազագույնի կհասցնի այն բոլոր ռիսկերը, որոնք կարող են օբյեկտիվորեն առաջանալ զննվող դատավորի/թեկնածուի կամ օբյեկտիվ երրորդ անձի աչքում: Նշված առաջարկությունը որևէ կերպ չի կարող խոչընդոտել զննության ընթացքին և որևէ ազդեցություն չի ունենա պետական բյուջեի վրա:</w:t>
            </w:r>
          </w:p>
        </w:tc>
        <w:tc>
          <w:tcPr>
            <w:tcW w:w="6041" w:type="dxa"/>
            <w:tcBorders>
              <w:top w:val="outset" w:sz="6" w:space="0" w:color="auto"/>
              <w:left w:val="outset" w:sz="6" w:space="0" w:color="auto"/>
              <w:bottom w:val="outset" w:sz="6" w:space="0" w:color="auto"/>
              <w:right w:val="nil"/>
            </w:tcBorders>
            <w:shd w:val="clear" w:color="auto" w:fill="FFFFFF"/>
            <w:hideMark/>
          </w:tcPr>
          <w:p w14:paraId="599962C4" w14:textId="370D74AB" w:rsidR="00881A76" w:rsidRDefault="00881A76" w:rsidP="00E502CE">
            <w:pPr>
              <w:pStyle w:val="NoSpacing"/>
              <w:spacing w:line="276" w:lineRule="auto"/>
              <w:ind w:left="105" w:right="75" w:firstLine="0"/>
              <w:rPr>
                <w:rFonts w:ascii="GHEA Grapalat" w:hAnsi="GHEA Grapalat"/>
                <w:color w:val="000000"/>
                <w:sz w:val="24"/>
                <w:szCs w:val="24"/>
                <w:lang w:val="hy-AM"/>
              </w:rPr>
            </w:pPr>
            <w:r>
              <w:rPr>
                <w:rFonts w:ascii="GHEA Grapalat" w:hAnsi="GHEA Grapalat"/>
                <w:color w:val="000000"/>
                <w:sz w:val="24"/>
                <w:szCs w:val="24"/>
                <w:lang w:val="hy-AM"/>
              </w:rPr>
              <w:lastRenderedPageBreak/>
              <w:t>Չի ընդունվել:</w:t>
            </w:r>
          </w:p>
          <w:p w14:paraId="38F14C0F" w14:textId="6EF8B01C" w:rsidR="00881A76" w:rsidRDefault="00881A76" w:rsidP="00881A76">
            <w:pPr>
              <w:pStyle w:val="NoSpacing"/>
              <w:spacing w:line="276" w:lineRule="auto"/>
              <w:ind w:left="105" w:right="75" w:firstLine="0"/>
              <w:rPr>
                <w:rFonts w:ascii="GHEA Grapalat" w:hAnsi="GHEA Grapalat"/>
                <w:color w:val="000000"/>
                <w:sz w:val="24"/>
                <w:szCs w:val="24"/>
                <w:lang w:val="hy-AM"/>
              </w:rPr>
            </w:pPr>
            <w:r>
              <w:rPr>
                <w:rFonts w:ascii="GHEA Grapalat" w:hAnsi="GHEA Grapalat"/>
                <w:color w:val="000000"/>
                <w:sz w:val="24"/>
                <w:szCs w:val="24"/>
                <w:lang w:val="hy-AM"/>
              </w:rPr>
              <w:t xml:space="preserve">Բժշկական զննությունն իրականացվում է </w:t>
            </w:r>
            <w:r w:rsidR="00AA7AD2">
              <w:rPr>
                <w:rFonts w:ascii="GHEA Grapalat" w:hAnsi="GHEA Grapalat"/>
                <w:color w:val="000000"/>
                <w:sz w:val="24"/>
                <w:szCs w:val="24"/>
                <w:lang w:val="hy-AM"/>
              </w:rPr>
              <w:t>առողջության առաջնային պահպ</w:t>
            </w:r>
            <w:bookmarkStart w:id="0" w:name="_GoBack"/>
            <w:bookmarkEnd w:id="0"/>
            <w:r w:rsidR="00AA7AD2">
              <w:rPr>
                <w:rFonts w:ascii="GHEA Grapalat" w:hAnsi="GHEA Grapalat"/>
                <w:color w:val="000000"/>
                <w:sz w:val="24"/>
                <w:szCs w:val="24"/>
                <w:lang w:val="hy-AM"/>
              </w:rPr>
              <w:t>անման օղակում մշտապես գործող</w:t>
            </w:r>
            <w:r w:rsidRPr="00881A76">
              <w:rPr>
                <w:rFonts w:ascii="GHEA Grapalat" w:hAnsi="GHEA Grapalat"/>
                <w:color w:val="000000"/>
                <w:sz w:val="24"/>
                <w:szCs w:val="24"/>
                <w:lang w:val="hy-AM"/>
              </w:rPr>
              <w:t xml:space="preserve"> հանձնաժողովի</w:t>
            </w:r>
            <w:r>
              <w:rPr>
                <w:rFonts w:ascii="GHEA Grapalat" w:hAnsi="GHEA Grapalat"/>
                <w:color w:val="000000"/>
                <w:sz w:val="24"/>
                <w:szCs w:val="24"/>
                <w:lang w:val="hy-AM"/>
              </w:rPr>
              <w:t xml:space="preserve"> կողմից:</w:t>
            </w:r>
          </w:p>
          <w:p w14:paraId="302DD6E1" w14:textId="77777777" w:rsidR="0092269B" w:rsidRDefault="0092269B" w:rsidP="00881A76">
            <w:pPr>
              <w:pStyle w:val="NoSpacing"/>
              <w:spacing w:line="276" w:lineRule="auto"/>
              <w:ind w:left="105" w:right="75" w:firstLine="0"/>
              <w:rPr>
                <w:rFonts w:ascii="GHEA Grapalat" w:hAnsi="GHEA Grapalat"/>
                <w:color w:val="000000"/>
                <w:sz w:val="24"/>
                <w:szCs w:val="24"/>
                <w:lang w:val="hy-AM"/>
              </w:rPr>
            </w:pPr>
            <w:r>
              <w:rPr>
                <w:rFonts w:ascii="GHEA Grapalat" w:hAnsi="GHEA Grapalat"/>
                <w:color w:val="000000"/>
                <w:sz w:val="24"/>
                <w:szCs w:val="24"/>
                <w:lang w:val="hy-AM"/>
              </w:rPr>
              <w:t xml:space="preserve">Դատավորի կողմից ընտրված բժիշկը կարող է օբյեկտիվ իրականությանը հակասող կարծիք տրամադրել, որը լուրջ խոչընդոտ կհանդիսանա դատավորի առողջական վիճակի վերաբերյալ </w:t>
            </w:r>
            <w:r>
              <w:rPr>
                <w:rFonts w:ascii="GHEA Grapalat" w:hAnsi="GHEA Grapalat"/>
                <w:color w:val="000000"/>
                <w:sz w:val="24"/>
                <w:szCs w:val="24"/>
                <w:lang w:val="hy-AM"/>
              </w:rPr>
              <w:lastRenderedPageBreak/>
              <w:t>իրականությանը համապատասխանող տեղեկատվություն ստանալու հարցում:</w:t>
            </w:r>
          </w:p>
          <w:p w14:paraId="6C6ECCF8" w14:textId="3FDCF7E2" w:rsidR="0092269B" w:rsidRPr="00881A76" w:rsidRDefault="0092269B" w:rsidP="008B3BD3">
            <w:pPr>
              <w:pStyle w:val="NoSpacing"/>
              <w:spacing w:line="276" w:lineRule="auto"/>
              <w:ind w:left="105" w:right="75" w:firstLine="0"/>
              <w:rPr>
                <w:rFonts w:ascii="GHEA Grapalat" w:hAnsi="GHEA Grapalat"/>
                <w:color w:val="000000"/>
                <w:sz w:val="24"/>
                <w:szCs w:val="24"/>
                <w:lang w:val="hy-AM"/>
              </w:rPr>
            </w:pPr>
            <w:r>
              <w:rPr>
                <w:rFonts w:ascii="GHEA Grapalat" w:hAnsi="GHEA Grapalat"/>
                <w:color w:val="000000"/>
                <w:sz w:val="24"/>
                <w:szCs w:val="24"/>
                <w:lang w:val="hy-AM"/>
              </w:rPr>
              <w:t>Տրված եզրակացության հետ անհամաձայնության դեպքում հարցը կարող է բողոքարկվել դատական կարգով:</w:t>
            </w:r>
          </w:p>
        </w:tc>
        <w:tc>
          <w:tcPr>
            <w:tcW w:w="1723" w:type="dxa"/>
            <w:tcBorders>
              <w:top w:val="outset" w:sz="6" w:space="0" w:color="auto"/>
              <w:left w:val="nil"/>
              <w:bottom w:val="outset" w:sz="6" w:space="0" w:color="auto"/>
              <w:right w:val="outset" w:sz="6" w:space="0" w:color="auto"/>
            </w:tcBorders>
            <w:shd w:val="clear" w:color="auto" w:fill="FFFFFF"/>
            <w:hideMark/>
          </w:tcPr>
          <w:p w14:paraId="71BA4924" w14:textId="77777777" w:rsidR="00881A76" w:rsidRPr="00426F90" w:rsidRDefault="00881A76" w:rsidP="00E502CE">
            <w:pPr>
              <w:rPr>
                <w:rFonts w:ascii="GHEA Grapalat" w:hAnsi="GHEA Grapalat"/>
                <w:color w:val="000000"/>
                <w:sz w:val="21"/>
                <w:szCs w:val="21"/>
                <w:lang w:val="hy-AM" w:eastAsia="en-US"/>
              </w:rPr>
            </w:pPr>
            <w:r w:rsidRPr="00426F90">
              <w:rPr>
                <w:rFonts w:ascii="Calibri" w:hAnsi="Calibri" w:cs="Calibri"/>
                <w:color w:val="000000"/>
                <w:sz w:val="21"/>
                <w:szCs w:val="21"/>
                <w:lang w:val="hy-AM" w:eastAsia="en-US"/>
              </w:rPr>
              <w:lastRenderedPageBreak/>
              <w:t> </w:t>
            </w:r>
          </w:p>
        </w:tc>
      </w:tr>
      <w:tr w:rsidR="00863B2D" w:rsidRPr="006E0E97" w14:paraId="39E4F2C6" w14:textId="77777777" w:rsidTr="00C57711">
        <w:trPr>
          <w:tblCellSpacing w:w="0" w:type="dxa"/>
          <w:jc w:val="center"/>
        </w:trPr>
        <w:tc>
          <w:tcPr>
            <w:tcW w:w="12050"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6861902A" w14:textId="2B212553" w:rsidR="00863B2D" w:rsidRPr="00426F90" w:rsidRDefault="00423EC3" w:rsidP="00863B2D">
            <w:pPr>
              <w:spacing w:before="100" w:beforeAutospacing="1" w:after="100" w:afterAutospacing="1"/>
              <w:jc w:val="center"/>
              <w:rPr>
                <w:rFonts w:ascii="GHEA Grapalat" w:hAnsi="GHEA Grapalat"/>
                <w:color w:val="000000"/>
                <w:lang w:val="hy-AM" w:eastAsia="en-US"/>
              </w:rPr>
            </w:pPr>
            <w:r>
              <w:rPr>
                <w:rFonts w:ascii="GHEA Grapalat" w:hAnsi="GHEA Grapalat"/>
                <w:color w:val="000000"/>
                <w:lang w:val="hy-AM" w:eastAsia="en-US"/>
              </w:rPr>
              <w:t>3</w:t>
            </w:r>
            <w:r w:rsidR="00863B2D" w:rsidRPr="002B562E">
              <w:rPr>
                <w:rFonts w:ascii="GHEA Grapalat" w:hAnsi="GHEA Grapalat"/>
                <w:color w:val="000000"/>
                <w:lang w:val="hy-AM" w:eastAsia="en-US"/>
              </w:rPr>
              <w:t xml:space="preserve">. </w:t>
            </w:r>
            <w:r w:rsidR="00863B2D">
              <w:rPr>
                <w:rFonts w:ascii="GHEA Grapalat" w:hAnsi="GHEA Grapalat"/>
                <w:color w:val="000000"/>
                <w:lang w:val="hy-AM" w:eastAsia="en-US"/>
              </w:rPr>
              <w:t>Արդարադատության նախարարություն</w:t>
            </w:r>
          </w:p>
        </w:tc>
        <w:tc>
          <w:tcPr>
            <w:tcW w:w="1723" w:type="dxa"/>
            <w:tcBorders>
              <w:top w:val="outset" w:sz="6" w:space="0" w:color="auto"/>
              <w:left w:val="outset" w:sz="6" w:space="0" w:color="auto"/>
              <w:bottom w:val="outset" w:sz="6" w:space="0" w:color="auto"/>
              <w:right w:val="outset" w:sz="6" w:space="0" w:color="auto"/>
            </w:tcBorders>
            <w:shd w:val="clear" w:color="auto" w:fill="D0D0D0"/>
            <w:hideMark/>
          </w:tcPr>
          <w:p w14:paraId="01E49997" w14:textId="24020969" w:rsidR="00863B2D" w:rsidRPr="00426F90" w:rsidRDefault="00863B2D" w:rsidP="00863B2D">
            <w:pPr>
              <w:jc w:val="center"/>
              <w:rPr>
                <w:rFonts w:ascii="GHEA Grapalat" w:hAnsi="GHEA Grapalat"/>
                <w:color w:val="000000"/>
                <w:lang w:val="hy-AM" w:eastAsia="en-US"/>
              </w:rPr>
            </w:pPr>
            <w:r>
              <w:rPr>
                <w:rFonts w:ascii="GHEA Grapalat" w:hAnsi="GHEA Grapalat"/>
                <w:color w:val="000000"/>
                <w:lang w:val="hy-AM" w:eastAsia="en-US"/>
              </w:rPr>
              <w:t>16.11</w:t>
            </w:r>
            <w:r w:rsidRPr="00DA487D">
              <w:rPr>
                <w:rFonts w:ascii="GHEA Grapalat" w:hAnsi="GHEA Grapalat"/>
                <w:color w:val="000000"/>
                <w:lang w:val="hy-AM" w:eastAsia="en-US"/>
              </w:rPr>
              <w:t>.2022թ</w:t>
            </w:r>
            <w:r w:rsidRPr="00DA487D">
              <w:rPr>
                <w:rFonts w:ascii="Cambria Math" w:hAnsi="Cambria Math" w:cs="Cambria Math"/>
                <w:color w:val="000000"/>
                <w:lang w:val="hy-AM" w:eastAsia="en-US"/>
              </w:rPr>
              <w:t>․</w:t>
            </w:r>
          </w:p>
        </w:tc>
      </w:tr>
      <w:tr w:rsidR="00863B2D" w:rsidRPr="006E0E97" w14:paraId="3E01241B" w14:textId="77777777" w:rsidTr="00C57711">
        <w:trPr>
          <w:tblCellSpacing w:w="0" w:type="dxa"/>
          <w:jc w:val="center"/>
        </w:trPr>
        <w:tc>
          <w:tcPr>
            <w:tcW w:w="1205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426343" w14:textId="77777777" w:rsidR="00863B2D" w:rsidRPr="00426F90" w:rsidRDefault="00863B2D" w:rsidP="00C57711">
            <w:pPr>
              <w:rPr>
                <w:rFonts w:ascii="GHEA Grapalat" w:hAnsi="GHEA Grapalat"/>
                <w:color w:val="000000"/>
                <w:lang w:val="hy-AM" w:eastAsia="en-US"/>
              </w:rPr>
            </w:pPr>
          </w:p>
        </w:tc>
        <w:tc>
          <w:tcPr>
            <w:tcW w:w="1723" w:type="dxa"/>
            <w:tcBorders>
              <w:top w:val="outset" w:sz="6" w:space="0" w:color="auto"/>
              <w:left w:val="outset" w:sz="6" w:space="0" w:color="auto"/>
              <w:bottom w:val="outset" w:sz="6" w:space="0" w:color="auto"/>
              <w:right w:val="outset" w:sz="6" w:space="0" w:color="auto"/>
            </w:tcBorders>
            <w:shd w:val="clear" w:color="auto" w:fill="D0D0D0"/>
            <w:hideMark/>
          </w:tcPr>
          <w:p w14:paraId="50E6B6D7" w14:textId="1BEB53C1" w:rsidR="00863B2D" w:rsidRPr="006E0E97" w:rsidRDefault="00863B2D" w:rsidP="00863B2D">
            <w:pPr>
              <w:jc w:val="center"/>
              <w:rPr>
                <w:rFonts w:ascii="GHEA Grapalat" w:hAnsi="GHEA Grapalat"/>
                <w:color w:val="000000"/>
                <w:lang w:val="en-US" w:eastAsia="en-US"/>
              </w:rPr>
            </w:pPr>
            <w:r w:rsidRPr="00DA487D">
              <w:rPr>
                <w:rFonts w:ascii="GHEA Grapalat" w:hAnsi="GHEA Grapalat"/>
                <w:color w:val="000000"/>
                <w:lang w:val="hy-AM" w:eastAsia="en-US"/>
              </w:rPr>
              <w:t xml:space="preserve">№ </w:t>
            </w:r>
            <w:r w:rsidRPr="00863B2D">
              <w:rPr>
                <w:rFonts w:ascii="GHEA Grapalat" w:hAnsi="GHEA Grapalat"/>
                <w:color w:val="000000"/>
                <w:lang w:val="en-US" w:eastAsia="en-US"/>
              </w:rPr>
              <w:t>//50792-2022</w:t>
            </w:r>
          </w:p>
        </w:tc>
      </w:tr>
      <w:tr w:rsidR="00863B2D" w:rsidRPr="002621C0" w14:paraId="7D09C4D3" w14:textId="77777777" w:rsidTr="00C57711">
        <w:trPr>
          <w:tblCellSpacing w:w="0" w:type="dxa"/>
          <w:jc w:val="center"/>
        </w:trPr>
        <w:tc>
          <w:tcPr>
            <w:tcW w:w="6009" w:type="dxa"/>
            <w:tcBorders>
              <w:top w:val="outset" w:sz="6" w:space="0" w:color="auto"/>
              <w:left w:val="outset" w:sz="6" w:space="0" w:color="auto"/>
              <w:bottom w:val="outset" w:sz="6" w:space="0" w:color="auto"/>
              <w:right w:val="outset" w:sz="6" w:space="0" w:color="auto"/>
            </w:tcBorders>
            <w:shd w:val="clear" w:color="auto" w:fill="FFFFFF"/>
            <w:hideMark/>
          </w:tcPr>
          <w:p w14:paraId="50A403DD" w14:textId="0F25748A" w:rsidR="00863B2D" w:rsidRPr="00863B2D" w:rsidRDefault="00863B2D" w:rsidP="00C57711">
            <w:pPr>
              <w:pStyle w:val="NoSpacing"/>
              <w:numPr>
                <w:ilvl w:val="0"/>
                <w:numId w:val="16"/>
              </w:numPr>
              <w:spacing w:line="276" w:lineRule="auto"/>
              <w:ind w:left="117" w:right="75" w:hanging="76"/>
              <w:jc w:val="both"/>
              <w:rPr>
                <w:rFonts w:ascii="GHEA Grapalat" w:hAnsi="GHEA Grapalat"/>
                <w:color w:val="000000"/>
                <w:sz w:val="24"/>
                <w:szCs w:val="24"/>
                <w:lang w:val="hy-AM"/>
              </w:rPr>
            </w:pPr>
            <w:r w:rsidRPr="00863B2D">
              <w:rPr>
                <w:rFonts w:ascii="GHEA Grapalat" w:hAnsi="GHEA Grapalat"/>
                <w:color w:val="000000"/>
                <w:sz w:val="24"/>
                <w:szCs w:val="24"/>
                <w:lang w:val="hy-AM"/>
              </w:rPr>
              <w:t xml:space="preserve">Նախ անդրադառնալով նախագծին կից ներկայացված հիմնավորման մեջ առկա այն ձևակերպմանը, որի համաձայն՝ կատարվող փոփոխությունների և լրացումների շրջանակում ֆիզիկական արատների և հիվանդությունների ցանկը կիրառելի է դառնում նաև պաշտոնավարող դատավորների համար, ինչպես նաև վերջիններիս համար նախատեսվում է բժշկական զննության </w:t>
            </w:r>
            <w:r w:rsidRPr="00B75358">
              <w:rPr>
                <w:rFonts w:ascii="GHEA Grapalat" w:hAnsi="GHEA Grapalat"/>
                <w:color w:val="000000"/>
                <w:sz w:val="24"/>
                <w:szCs w:val="24"/>
                <w:lang w:val="hy-AM"/>
              </w:rPr>
              <w:t>իրականացման հնարավորություն,</w:t>
            </w:r>
            <w:r w:rsidRPr="00863B2D">
              <w:rPr>
                <w:rFonts w:ascii="GHEA Grapalat" w:hAnsi="GHEA Grapalat"/>
                <w:color w:val="000000"/>
                <w:sz w:val="24"/>
                <w:szCs w:val="24"/>
                <w:lang w:val="hy-AM"/>
              </w:rPr>
              <w:t xml:space="preserve"> ցանկանում ենք նշել, որ ներկայումս «Հայաստանի Հանրապետության դատական օրենսգիրք» սահմանադրական օրենքի գործող իրավակարգավորումների պարագայում նույնպես ֆիզիկական արատների և հիվանդությունների ցանկը կիրառելի է պաշտոնավարող դատավորների համար, մասնավորապես՝«Հայաստանի Հանրապետության դատական օրենսգիրք» սահմանադրական օրենքի (այսուհետ՝ Օրենսգիրք) 159-րդ հոդվածի 2-րդ մասի 4-րդ կետի համաձայն՝ դատավորի լիազորությունները Բարձրագույն դատական խորհրդի որոշմամբ դադարեցվում են, եթե նա` ունի դատավորի պաշտոնում նշանակմանը խոչընդոտող ֆիզիկական արատ կամ հիվանդություն, որի հետևանքով այլևս ի վիճակի չէ կատարելու դատավորի լիազորությունները կամ </w:t>
            </w:r>
            <w:r w:rsidRPr="00863B2D">
              <w:rPr>
                <w:rFonts w:ascii="GHEA Grapalat" w:hAnsi="GHEA Grapalat"/>
                <w:color w:val="000000"/>
                <w:sz w:val="24"/>
                <w:szCs w:val="24"/>
                <w:lang w:val="hy-AM"/>
              </w:rPr>
              <w:lastRenderedPageBreak/>
              <w:t>հրաժարվել է անցնել սույն հոդվածի 3-րդ մասով նախատեսված պարտադիր բժշկական զննությունը:</w:t>
            </w:r>
          </w:p>
          <w:p w14:paraId="3F35254E" w14:textId="77777777" w:rsidR="00863B2D" w:rsidRPr="00863B2D" w:rsidRDefault="00863B2D" w:rsidP="00863B2D">
            <w:pPr>
              <w:pStyle w:val="NoSpacing"/>
              <w:spacing w:line="276" w:lineRule="auto"/>
              <w:ind w:left="117" w:right="75" w:firstLine="0"/>
              <w:jc w:val="both"/>
              <w:rPr>
                <w:rFonts w:ascii="GHEA Grapalat" w:hAnsi="GHEA Grapalat"/>
                <w:color w:val="000000"/>
                <w:sz w:val="24"/>
                <w:szCs w:val="24"/>
                <w:lang w:val="hy-AM"/>
              </w:rPr>
            </w:pPr>
            <w:r w:rsidRPr="00863B2D">
              <w:rPr>
                <w:rFonts w:ascii="GHEA Grapalat" w:hAnsi="GHEA Grapalat"/>
                <w:color w:val="000000"/>
                <w:sz w:val="24"/>
                <w:szCs w:val="24"/>
                <w:lang w:val="hy-AM"/>
              </w:rPr>
              <w:t>Վերոնշյալից առավել քան ակնառու է այն, որ պաշտոնավարող դատավորների վրա նույնպես տարածվում է ՀՀ Կառավարության 2019 թվականի մայիսի 30-ի N 685-Ն որոշման մեջ արտացոլված դատավորի պաշտոնում նշանակմանը խոչընդոտող ֆիզիկական արատների և հիվանդությունների ցանկը, որի առկայության պարագայում՝ դատավորի լիազորությունները Բարձրագույն դատական խորհրդի որոշմամբ դադարեցվում են:</w:t>
            </w:r>
          </w:p>
          <w:p w14:paraId="4CD2FD05" w14:textId="74E4EA03" w:rsidR="00863B2D" w:rsidRPr="00426F90" w:rsidRDefault="00863B2D" w:rsidP="00863B2D">
            <w:pPr>
              <w:pStyle w:val="NoSpacing"/>
              <w:spacing w:line="276" w:lineRule="auto"/>
              <w:ind w:left="117" w:right="75" w:firstLine="0"/>
              <w:jc w:val="both"/>
              <w:rPr>
                <w:rFonts w:ascii="GHEA Grapalat" w:hAnsi="GHEA Grapalat"/>
                <w:color w:val="000000"/>
                <w:sz w:val="24"/>
                <w:szCs w:val="24"/>
                <w:lang w:val="hy-AM"/>
              </w:rPr>
            </w:pPr>
            <w:r w:rsidRPr="00863B2D">
              <w:rPr>
                <w:rFonts w:ascii="GHEA Grapalat" w:hAnsi="GHEA Grapalat"/>
                <w:color w:val="000000"/>
                <w:sz w:val="24"/>
                <w:szCs w:val="24"/>
                <w:lang w:val="hy-AM"/>
              </w:rPr>
              <w:t>Ուստի հիմք ընդունելով վերոգրյալը և ելնելով Նախագծով առաջարկվող կարգավորումների նպատակներից և գործնական անհրաժեշտությունից՝ անհրաժեշտ է ըստ նպատակահարմարության վերանայել կամ Նախագիծը, կամ Նախագծին կից ներկայացված հիմնավորումը:</w:t>
            </w:r>
          </w:p>
        </w:tc>
        <w:tc>
          <w:tcPr>
            <w:tcW w:w="6041" w:type="dxa"/>
            <w:tcBorders>
              <w:top w:val="outset" w:sz="6" w:space="0" w:color="auto"/>
              <w:left w:val="outset" w:sz="6" w:space="0" w:color="auto"/>
              <w:bottom w:val="outset" w:sz="6" w:space="0" w:color="auto"/>
              <w:right w:val="nil"/>
            </w:tcBorders>
            <w:shd w:val="clear" w:color="auto" w:fill="FFFFFF"/>
            <w:hideMark/>
          </w:tcPr>
          <w:p w14:paraId="55F0CCE2" w14:textId="77777777" w:rsidR="00863B2D" w:rsidRDefault="00D93C61" w:rsidP="00C57711">
            <w:pPr>
              <w:pStyle w:val="NoSpacing"/>
              <w:spacing w:line="276" w:lineRule="auto"/>
              <w:ind w:left="105" w:right="75" w:firstLine="0"/>
              <w:rPr>
                <w:rFonts w:ascii="GHEA Grapalat" w:hAnsi="GHEA Grapalat"/>
                <w:color w:val="000000"/>
                <w:sz w:val="24"/>
                <w:szCs w:val="24"/>
                <w:lang w:val="hy-AM"/>
              </w:rPr>
            </w:pPr>
            <w:r>
              <w:rPr>
                <w:rFonts w:ascii="GHEA Grapalat" w:hAnsi="GHEA Grapalat"/>
                <w:color w:val="000000"/>
                <w:sz w:val="24"/>
                <w:szCs w:val="24"/>
                <w:lang w:val="hy-AM"/>
              </w:rPr>
              <w:lastRenderedPageBreak/>
              <w:t>Չի ընդունվել:</w:t>
            </w:r>
          </w:p>
          <w:p w14:paraId="6A0D2042" w14:textId="3A540809" w:rsidR="00D93C61" w:rsidRDefault="00D93C61" w:rsidP="00D93C61">
            <w:pPr>
              <w:pStyle w:val="NoSpacing"/>
              <w:spacing w:line="276" w:lineRule="auto"/>
              <w:ind w:left="105" w:right="75" w:firstLine="0"/>
              <w:rPr>
                <w:rFonts w:cs="Calibri"/>
                <w:color w:val="000000"/>
                <w:sz w:val="24"/>
                <w:szCs w:val="24"/>
                <w:lang w:val="hy-AM"/>
              </w:rPr>
            </w:pPr>
            <w:r>
              <w:rPr>
                <w:rFonts w:ascii="GHEA Grapalat" w:hAnsi="GHEA Grapalat"/>
                <w:color w:val="000000"/>
                <w:sz w:val="24"/>
                <w:szCs w:val="24"/>
                <w:lang w:val="hy-AM"/>
              </w:rPr>
              <w:t>Համաձայն «Նորմատիվ իրավական ակտերի մասին» օրենքի 13-րդ հոդվածի 1-ին մասի` ե</w:t>
            </w:r>
            <w:r w:rsidRPr="00D93C61">
              <w:rPr>
                <w:rFonts w:ascii="GHEA Grapalat" w:hAnsi="GHEA Grapalat"/>
                <w:color w:val="000000"/>
                <w:sz w:val="24"/>
                <w:szCs w:val="24"/>
                <w:lang w:val="hy-AM"/>
              </w:rPr>
              <w:t>նթաօրենսդրական</w:t>
            </w:r>
            <w:r w:rsidRPr="00D93C61">
              <w:rPr>
                <w:rFonts w:cs="Calibri"/>
                <w:color w:val="000000"/>
                <w:sz w:val="24"/>
                <w:szCs w:val="24"/>
                <w:lang w:val="hy-AM"/>
              </w:rPr>
              <w:t> </w:t>
            </w:r>
            <w:r w:rsidRPr="00D93C61">
              <w:rPr>
                <w:rFonts w:ascii="GHEA Grapalat" w:hAnsi="GHEA Grapalat"/>
                <w:color w:val="000000"/>
                <w:sz w:val="24"/>
                <w:szCs w:val="24"/>
                <w:lang w:val="hy-AM"/>
              </w:rPr>
              <w:t>նորմատիվ</w:t>
            </w:r>
            <w:r w:rsidRPr="00D93C61">
              <w:rPr>
                <w:rFonts w:cs="Calibri"/>
                <w:color w:val="000000"/>
                <w:sz w:val="24"/>
                <w:szCs w:val="24"/>
                <w:lang w:val="hy-AM"/>
              </w:rPr>
              <w:t> </w:t>
            </w:r>
            <w:r w:rsidRPr="00D93C61">
              <w:rPr>
                <w:rFonts w:ascii="GHEA Grapalat" w:hAnsi="GHEA Grapalat"/>
                <w:color w:val="000000"/>
                <w:sz w:val="24"/>
                <w:szCs w:val="24"/>
                <w:lang w:val="hy-AM"/>
              </w:rPr>
              <w:t>իրավական</w:t>
            </w:r>
            <w:r w:rsidRPr="00D93C61">
              <w:rPr>
                <w:rFonts w:cs="Calibri"/>
                <w:color w:val="000000"/>
                <w:sz w:val="24"/>
                <w:szCs w:val="24"/>
                <w:lang w:val="hy-AM"/>
              </w:rPr>
              <w:t> </w:t>
            </w:r>
            <w:r w:rsidRPr="00D93C61">
              <w:rPr>
                <w:rFonts w:ascii="GHEA Grapalat" w:hAnsi="GHEA Grapalat"/>
                <w:color w:val="000000"/>
                <w:sz w:val="24"/>
                <w:szCs w:val="24"/>
                <w:lang w:val="hy-AM"/>
              </w:rPr>
              <w:t>ակտը ունենում է նախաբան, որում նշվում է օրենսդրական</w:t>
            </w:r>
            <w:r w:rsidRPr="00D93C61">
              <w:rPr>
                <w:rFonts w:cs="Calibri"/>
                <w:color w:val="000000"/>
                <w:sz w:val="24"/>
                <w:szCs w:val="24"/>
                <w:lang w:val="hy-AM"/>
              </w:rPr>
              <w:t> </w:t>
            </w:r>
            <w:r w:rsidRPr="00D93C61">
              <w:rPr>
                <w:rFonts w:ascii="GHEA Grapalat" w:hAnsi="GHEA Grapalat"/>
                <w:color w:val="000000"/>
                <w:sz w:val="24"/>
                <w:szCs w:val="24"/>
                <w:lang w:val="hy-AM"/>
              </w:rPr>
              <w:t>իրավական</w:t>
            </w:r>
            <w:r w:rsidRPr="00D93C61">
              <w:rPr>
                <w:rFonts w:cs="Calibri"/>
                <w:color w:val="000000"/>
                <w:sz w:val="24"/>
                <w:szCs w:val="24"/>
                <w:lang w:val="hy-AM"/>
              </w:rPr>
              <w:t> </w:t>
            </w:r>
            <w:r w:rsidRPr="00D93C61">
              <w:rPr>
                <w:rFonts w:ascii="GHEA Grapalat" w:hAnsi="GHEA Grapalat"/>
                <w:color w:val="000000"/>
                <w:sz w:val="24"/>
                <w:szCs w:val="24"/>
                <w:lang w:val="hy-AM"/>
              </w:rPr>
              <w:t>ակտի հոդվածը կամ մասը, որը ներառում է Սահմանադրության 6-րդ հոդվածի 2-րդ մասով սահմանված լիազորող նորմեր:</w:t>
            </w:r>
          </w:p>
          <w:p w14:paraId="52C15054" w14:textId="77777777" w:rsidR="00D93C61" w:rsidRDefault="00D93C61" w:rsidP="00D93C61">
            <w:pPr>
              <w:pStyle w:val="NoSpacing"/>
              <w:spacing w:line="276" w:lineRule="auto"/>
              <w:ind w:left="105" w:right="75" w:firstLine="0"/>
              <w:rPr>
                <w:rFonts w:ascii="GHEA Grapalat" w:hAnsi="GHEA Grapalat" w:cs="Calibri"/>
                <w:color w:val="000000"/>
                <w:sz w:val="24"/>
                <w:szCs w:val="24"/>
                <w:lang w:val="hy-AM"/>
              </w:rPr>
            </w:pPr>
            <w:r w:rsidRPr="00D93C61">
              <w:rPr>
                <w:rFonts w:ascii="GHEA Grapalat" w:hAnsi="GHEA Grapalat" w:cs="Calibri"/>
                <w:color w:val="000000"/>
                <w:sz w:val="24"/>
                <w:szCs w:val="24"/>
                <w:lang w:val="hy-AM"/>
              </w:rPr>
              <w:t>Իր հերթին, Սահմանադրության 6-րդ հոդվածի 2-րդ մաս</w:t>
            </w:r>
            <w:r>
              <w:rPr>
                <w:rFonts w:ascii="GHEA Grapalat" w:hAnsi="GHEA Grapalat" w:cs="Calibri"/>
                <w:color w:val="000000"/>
                <w:sz w:val="24"/>
                <w:szCs w:val="24"/>
                <w:lang w:val="hy-AM"/>
              </w:rPr>
              <w:t xml:space="preserve">ը սահմանում է, որ </w:t>
            </w:r>
            <w:r w:rsidRPr="00D93C61">
              <w:rPr>
                <w:rFonts w:ascii="GHEA Grapalat" w:hAnsi="GHEA Grapalat" w:cs="Calibri"/>
                <w:color w:val="000000"/>
                <w:sz w:val="24"/>
                <w:szCs w:val="24"/>
                <w:lang w:val="hy-AM"/>
              </w:rPr>
              <w:t>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w:t>
            </w:r>
          </w:p>
          <w:p w14:paraId="36CFF757" w14:textId="47F7B55D" w:rsidR="00D93C61" w:rsidRDefault="00D93C61" w:rsidP="00D93C61">
            <w:pPr>
              <w:pStyle w:val="NoSpacing"/>
              <w:spacing w:line="276" w:lineRule="auto"/>
              <w:ind w:left="105" w:right="75" w:firstLine="0"/>
              <w:rPr>
                <w:rFonts w:ascii="GHEA Grapalat" w:hAnsi="GHEA Grapalat" w:cs="Calibri"/>
                <w:color w:val="000000"/>
                <w:sz w:val="24"/>
                <w:szCs w:val="24"/>
                <w:lang w:val="hy-AM"/>
              </w:rPr>
            </w:pPr>
            <w:r>
              <w:rPr>
                <w:rFonts w:ascii="GHEA Grapalat" w:hAnsi="GHEA Grapalat" w:cs="Calibri"/>
                <w:color w:val="000000"/>
                <w:sz w:val="24"/>
                <w:szCs w:val="24"/>
                <w:lang w:val="hy-AM"/>
              </w:rPr>
              <w:t>Կառավարության 2019 թվականի մայիսի 30-ի թիվ 685-Ն որոշման նախաբանում որպես լիազորող նորմեր նշված են Օրենսգրքի</w:t>
            </w:r>
            <w:r w:rsidRPr="00D93C61">
              <w:rPr>
                <w:rFonts w:ascii="GHEA Grapalat" w:hAnsi="GHEA Grapalat" w:cs="Calibri"/>
                <w:color w:val="000000"/>
                <w:sz w:val="24"/>
                <w:szCs w:val="24"/>
                <w:lang w:val="hy-AM"/>
              </w:rPr>
              <w:t xml:space="preserve"> 98-րդ հոդվածի 2-րդ մասի 10-րդ կետը և 112-րդ հոդվածի 2-րդ մասը</w:t>
            </w:r>
            <w:r>
              <w:rPr>
                <w:rFonts w:ascii="GHEA Grapalat" w:hAnsi="GHEA Grapalat" w:cs="Calibri"/>
                <w:color w:val="000000"/>
                <w:sz w:val="24"/>
                <w:szCs w:val="24"/>
                <w:lang w:val="hy-AM"/>
              </w:rPr>
              <w:t>:</w:t>
            </w:r>
          </w:p>
          <w:p w14:paraId="24BEE567" w14:textId="6FE2C730" w:rsidR="00D93C61" w:rsidRDefault="004B094D" w:rsidP="00E66FED">
            <w:pPr>
              <w:pStyle w:val="NoSpacing"/>
              <w:spacing w:line="276" w:lineRule="auto"/>
              <w:ind w:right="75" w:hanging="516"/>
              <w:rPr>
                <w:rFonts w:ascii="GHEA Grapalat" w:hAnsi="GHEA Grapalat" w:cs="Calibri"/>
                <w:color w:val="000000"/>
                <w:sz w:val="24"/>
                <w:szCs w:val="24"/>
                <w:lang w:val="hy-AM"/>
              </w:rPr>
            </w:pPr>
            <w:r w:rsidRPr="004B094D">
              <w:rPr>
                <w:rFonts w:ascii="GHEA Grapalat" w:hAnsi="GHEA Grapalat" w:cs="Calibri"/>
                <w:color w:val="000000"/>
                <w:sz w:val="24"/>
                <w:szCs w:val="24"/>
                <w:lang w:val="hy-AM"/>
              </w:rPr>
              <w:t>Օրենսգրքի 98-րդ հոդվածի 2-րդ մասի 10-րդ կետ</w:t>
            </w:r>
            <w:r w:rsidR="00E66FED">
              <w:rPr>
                <w:rFonts w:ascii="GHEA Grapalat" w:hAnsi="GHEA Grapalat" w:cs="Calibri"/>
                <w:color w:val="000000"/>
                <w:sz w:val="24"/>
                <w:szCs w:val="24"/>
                <w:lang w:val="hy-AM"/>
              </w:rPr>
              <w:t xml:space="preserve">ի </w:t>
            </w:r>
          </w:p>
          <w:p w14:paraId="68D9DE95" w14:textId="3404BE39" w:rsidR="00E66FED" w:rsidRDefault="00E66FED" w:rsidP="00E66FED">
            <w:pPr>
              <w:pStyle w:val="NoSpacing"/>
              <w:spacing w:line="276" w:lineRule="auto"/>
              <w:ind w:left="60" w:right="75" w:firstLine="0"/>
              <w:rPr>
                <w:rFonts w:ascii="GHEA Grapalat" w:hAnsi="GHEA Grapalat" w:cs="Calibri"/>
                <w:color w:val="000000"/>
                <w:sz w:val="24"/>
                <w:szCs w:val="24"/>
                <w:lang w:val="hy-AM"/>
              </w:rPr>
            </w:pPr>
            <w:r>
              <w:rPr>
                <w:rFonts w:ascii="GHEA Grapalat" w:hAnsi="GHEA Grapalat" w:cs="Calibri"/>
                <w:color w:val="000000"/>
                <w:sz w:val="24"/>
                <w:szCs w:val="24"/>
                <w:lang w:val="hy-AM"/>
              </w:rPr>
              <w:t>համաձայն` դ</w:t>
            </w:r>
            <w:r w:rsidRPr="00E66FED">
              <w:rPr>
                <w:rFonts w:ascii="GHEA Grapalat" w:hAnsi="GHEA Grapalat" w:cs="Calibri"/>
                <w:color w:val="000000"/>
                <w:sz w:val="24"/>
                <w:szCs w:val="24"/>
                <w:lang w:val="hy-AM"/>
              </w:rPr>
              <w:t>ատավորի թեկնածուների</w:t>
            </w:r>
            <w:r>
              <w:rPr>
                <w:rFonts w:ascii="GHEA Grapalat" w:hAnsi="GHEA Grapalat" w:cs="Calibri"/>
                <w:color w:val="000000"/>
                <w:sz w:val="24"/>
                <w:szCs w:val="24"/>
                <w:lang w:val="hy-AM"/>
              </w:rPr>
              <w:t xml:space="preserve"> </w:t>
            </w:r>
            <w:r w:rsidRPr="00E66FED">
              <w:rPr>
                <w:rFonts w:ascii="GHEA Grapalat" w:hAnsi="GHEA Grapalat" w:cs="Calibri"/>
                <w:color w:val="000000"/>
                <w:sz w:val="24"/>
                <w:szCs w:val="24"/>
                <w:lang w:val="hy-AM"/>
              </w:rPr>
              <w:t xml:space="preserve">հավակնորդների ցուցակում ընդգրկվել հավակնող </w:t>
            </w:r>
            <w:r w:rsidRPr="00E66FED">
              <w:rPr>
                <w:rFonts w:ascii="GHEA Grapalat" w:hAnsi="GHEA Grapalat" w:cs="Calibri"/>
                <w:color w:val="000000"/>
                <w:sz w:val="24"/>
                <w:szCs w:val="24"/>
                <w:lang w:val="hy-AM"/>
              </w:rPr>
              <w:lastRenderedPageBreak/>
              <w:t>անձը</w:t>
            </w:r>
            <w:r w:rsidRPr="00E66FED">
              <w:rPr>
                <w:rFonts w:ascii="Arial Unicode" w:eastAsia="Times New Roman" w:hAnsi="Arial Unicode"/>
                <w:color w:val="000000"/>
                <w:sz w:val="21"/>
                <w:szCs w:val="21"/>
                <w:shd w:val="clear" w:color="auto" w:fill="FFFFFF"/>
                <w:lang w:val="hy-AM" w:eastAsia="ru-RU"/>
              </w:rPr>
              <w:t xml:space="preserve"> </w:t>
            </w:r>
            <w:r>
              <w:rPr>
                <w:rFonts w:ascii="GHEA Grapalat" w:hAnsi="GHEA Grapalat" w:cs="Calibri"/>
                <w:color w:val="000000"/>
                <w:sz w:val="24"/>
                <w:szCs w:val="24"/>
                <w:lang w:val="hy-AM"/>
              </w:rPr>
              <w:t>հ</w:t>
            </w:r>
            <w:r w:rsidRPr="00E66FED">
              <w:rPr>
                <w:rFonts w:ascii="GHEA Grapalat" w:hAnsi="GHEA Grapalat" w:cs="Calibri"/>
                <w:color w:val="000000"/>
                <w:sz w:val="24"/>
                <w:szCs w:val="24"/>
                <w:lang w:val="hy-AM"/>
              </w:rPr>
              <w:t>այտին կից ներկայաց</w:t>
            </w:r>
            <w:r>
              <w:rPr>
                <w:rFonts w:ascii="GHEA Grapalat" w:hAnsi="GHEA Grapalat" w:cs="Calibri"/>
                <w:color w:val="000000"/>
                <w:sz w:val="24"/>
                <w:szCs w:val="24"/>
                <w:lang w:val="hy-AM"/>
              </w:rPr>
              <w:t>ն</w:t>
            </w:r>
            <w:r w:rsidRPr="00E66FED">
              <w:rPr>
                <w:rFonts w:ascii="GHEA Grapalat" w:hAnsi="GHEA Grapalat" w:cs="Calibri"/>
                <w:color w:val="000000"/>
                <w:sz w:val="24"/>
                <w:szCs w:val="24"/>
                <w:lang w:val="hy-AM"/>
              </w:rPr>
              <w:t xml:space="preserve">ում </w:t>
            </w:r>
            <w:r>
              <w:rPr>
                <w:rFonts w:ascii="GHEA Grapalat" w:hAnsi="GHEA Grapalat" w:cs="Calibri"/>
                <w:color w:val="000000"/>
                <w:sz w:val="24"/>
                <w:szCs w:val="24"/>
                <w:lang w:val="hy-AM"/>
              </w:rPr>
              <w:t xml:space="preserve">է </w:t>
            </w:r>
            <w:r w:rsidRPr="00E66FED">
              <w:rPr>
                <w:rFonts w:ascii="GHEA Grapalat" w:hAnsi="GHEA Grapalat" w:cs="Calibri"/>
                <w:color w:val="000000"/>
                <w:sz w:val="24"/>
                <w:szCs w:val="24"/>
                <w:lang w:val="hy-AM"/>
              </w:rPr>
              <w:t>դատավորի պաշտոնում նշանակմանը խոչընդոտող ֆիզիկական արատների և հիվանդությունների բացակայության մասին Կառավարության սահմանած կարգով տրված փաստաթուղթ</w:t>
            </w:r>
            <w:r>
              <w:rPr>
                <w:rFonts w:ascii="GHEA Grapalat" w:hAnsi="GHEA Grapalat" w:cs="Calibri"/>
                <w:color w:val="000000"/>
                <w:sz w:val="24"/>
                <w:szCs w:val="24"/>
                <w:lang w:val="hy-AM"/>
              </w:rPr>
              <w:t>:</w:t>
            </w:r>
          </w:p>
          <w:p w14:paraId="35025617" w14:textId="13E6B94D" w:rsidR="006B5EA9" w:rsidRPr="006B5EA9" w:rsidRDefault="006B5EA9" w:rsidP="00E66FED">
            <w:pPr>
              <w:pStyle w:val="NoSpacing"/>
              <w:spacing w:line="276" w:lineRule="auto"/>
              <w:ind w:left="60" w:right="75" w:firstLine="0"/>
              <w:rPr>
                <w:rFonts w:ascii="GHEA Grapalat" w:hAnsi="GHEA Grapalat" w:cs="Calibri"/>
                <w:color w:val="000000"/>
                <w:sz w:val="24"/>
                <w:szCs w:val="24"/>
                <w:lang w:val="hy-AM"/>
              </w:rPr>
            </w:pPr>
            <w:r>
              <w:rPr>
                <w:rFonts w:ascii="GHEA Grapalat" w:hAnsi="GHEA Grapalat" w:cs="Calibri"/>
                <w:color w:val="000000"/>
                <w:sz w:val="24"/>
                <w:szCs w:val="24"/>
                <w:lang w:val="hy-AM"/>
              </w:rPr>
              <w:t xml:space="preserve">Օրենսգրքի </w:t>
            </w:r>
            <w:r w:rsidRPr="00D93C61">
              <w:rPr>
                <w:rFonts w:ascii="GHEA Grapalat" w:hAnsi="GHEA Grapalat" w:cs="Calibri"/>
                <w:color w:val="000000"/>
                <w:sz w:val="24"/>
                <w:szCs w:val="24"/>
                <w:lang w:val="hy-AM"/>
              </w:rPr>
              <w:t>112-րդ հոդվածի 2-րդ մաս</w:t>
            </w:r>
            <w:r>
              <w:rPr>
                <w:rFonts w:ascii="GHEA Grapalat" w:hAnsi="GHEA Grapalat" w:cs="Calibri"/>
                <w:color w:val="000000"/>
                <w:sz w:val="24"/>
                <w:szCs w:val="24"/>
                <w:lang w:val="hy-AM"/>
              </w:rPr>
              <w:t>ի համաձայն` դ</w:t>
            </w:r>
            <w:r w:rsidRPr="006B5EA9">
              <w:rPr>
                <w:rFonts w:ascii="GHEA Grapalat" w:hAnsi="GHEA Grapalat" w:cs="Calibri"/>
                <w:color w:val="000000"/>
                <w:sz w:val="24"/>
                <w:szCs w:val="24"/>
                <w:lang w:val="hy-AM"/>
              </w:rPr>
              <w:t>ատավորի պաշտոնում նշանակվելուն խոչընդոտող ֆիզիկական արատների և հիվանդությունների ցանկը սահմանում է Կառավարությունը:</w:t>
            </w:r>
          </w:p>
          <w:p w14:paraId="6848D7A5" w14:textId="77777777" w:rsidR="00D93C61" w:rsidRDefault="006B5EA9" w:rsidP="006B5EA9">
            <w:pPr>
              <w:pStyle w:val="NoSpacing"/>
              <w:spacing w:line="276" w:lineRule="auto"/>
              <w:ind w:left="60" w:right="75" w:hanging="60"/>
              <w:rPr>
                <w:rFonts w:ascii="GHEA Grapalat" w:hAnsi="GHEA Grapalat"/>
                <w:color w:val="000000"/>
                <w:sz w:val="24"/>
                <w:szCs w:val="24"/>
                <w:lang w:val="hy-AM"/>
              </w:rPr>
            </w:pPr>
            <w:r>
              <w:rPr>
                <w:rFonts w:ascii="GHEA Grapalat" w:hAnsi="GHEA Grapalat"/>
                <w:color w:val="000000"/>
                <w:sz w:val="24"/>
                <w:szCs w:val="24"/>
                <w:lang w:val="hy-AM"/>
              </w:rPr>
              <w:t xml:space="preserve">Վերոգրյալ իրավանորմերի բովանդակությունից պարզ է դառնում, որ բացակայում է դատավորի բժշկական զննությունն իրականացնելու </w:t>
            </w:r>
            <w:r w:rsidR="00D45F13">
              <w:rPr>
                <w:rFonts w:ascii="GHEA Grapalat" w:hAnsi="GHEA Grapalat"/>
                <w:color w:val="000000"/>
                <w:sz w:val="24"/>
                <w:szCs w:val="24"/>
                <w:lang w:val="hy-AM"/>
              </w:rPr>
              <w:t>կարգը սահմանելու Կառավարության լիազորությունը:</w:t>
            </w:r>
          </w:p>
          <w:p w14:paraId="4D04BB4A" w14:textId="1167F8F8" w:rsidR="00D45F13" w:rsidRPr="00D93C61" w:rsidRDefault="00D45F13" w:rsidP="006B5EA9">
            <w:pPr>
              <w:pStyle w:val="NoSpacing"/>
              <w:spacing w:line="276" w:lineRule="auto"/>
              <w:ind w:left="60" w:right="75" w:hanging="60"/>
              <w:rPr>
                <w:rFonts w:ascii="GHEA Grapalat" w:hAnsi="GHEA Grapalat"/>
                <w:color w:val="000000"/>
                <w:sz w:val="24"/>
                <w:szCs w:val="24"/>
                <w:lang w:val="hy-AM"/>
              </w:rPr>
            </w:pPr>
            <w:r>
              <w:rPr>
                <w:rFonts w:ascii="GHEA Grapalat" w:hAnsi="GHEA Grapalat"/>
                <w:color w:val="000000"/>
                <w:sz w:val="24"/>
                <w:szCs w:val="24"/>
                <w:lang w:val="hy-AM"/>
              </w:rPr>
              <w:t xml:space="preserve">Ինչ վերաբերում է </w:t>
            </w:r>
            <w:r w:rsidRPr="00D45F13">
              <w:rPr>
                <w:rFonts w:ascii="GHEA Grapalat" w:hAnsi="GHEA Grapalat"/>
                <w:color w:val="000000"/>
                <w:sz w:val="24"/>
                <w:szCs w:val="24"/>
                <w:lang w:val="hy-AM"/>
              </w:rPr>
              <w:t xml:space="preserve">դատավորի պաշտոնում նշանակմանը խոչընդոտող ֆիզիկական արատների և հիվանդությունների </w:t>
            </w:r>
            <w:r>
              <w:rPr>
                <w:rFonts w:ascii="GHEA Grapalat" w:hAnsi="GHEA Grapalat"/>
                <w:color w:val="000000"/>
                <w:sz w:val="24"/>
                <w:szCs w:val="24"/>
                <w:lang w:val="hy-AM"/>
              </w:rPr>
              <w:t xml:space="preserve">ցանկի` գործող դատավորների վրա տարածվելուն, ապա հայտնում եմ, որ դրա շրջանակներում լիազորող նորմի բացակայության հարցը չի սպառվում: </w:t>
            </w:r>
          </w:p>
        </w:tc>
        <w:tc>
          <w:tcPr>
            <w:tcW w:w="1723" w:type="dxa"/>
            <w:tcBorders>
              <w:top w:val="outset" w:sz="6" w:space="0" w:color="auto"/>
              <w:left w:val="nil"/>
              <w:bottom w:val="outset" w:sz="6" w:space="0" w:color="auto"/>
              <w:right w:val="outset" w:sz="6" w:space="0" w:color="auto"/>
            </w:tcBorders>
            <w:shd w:val="clear" w:color="auto" w:fill="FFFFFF"/>
            <w:hideMark/>
          </w:tcPr>
          <w:p w14:paraId="4991E4F7" w14:textId="77777777" w:rsidR="00863B2D" w:rsidRPr="00426F90" w:rsidRDefault="00863B2D" w:rsidP="00C57711">
            <w:pPr>
              <w:rPr>
                <w:rFonts w:ascii="GHEA Grapalat" w:hAnsi="GHEA Grapalat"/>
                <w:color w:val="000000"/>
                <w:sz w:val="21"/>
                <w:szCs w:val="21"/>
                <w:lang w:val="hy-AM" w:eastAsia="en-US"/>
              </w:rPr>
            </w:pPr>
            <w:r w:rsidRPr="00426F90">
              <w:rPr>
                <w:rFonts w:ascii="Calibri" w:hAnsi="Calibri" w:cs="Calibri"/>
                <w:color w:val="000000"/>
                <w:sz w:val="21"/>
                <w:szCs w:val="21"/>
                <w:lang w:val="hy-AM" w:eastAsia="en-US"/>
              </w:rPr>
              <w:lastRenderedPageBreak/>
              <w:t> </w:t>
            </w:r>
          </w:p>
        </w:tc>
      </w:tr>
      <w:tr w:rsidR="00863B2D" w:rsidRPr="002621C0" w14:paraId="6E4B7FE5" w14:textId="77777777" w:rsidTr="00C57711">
        <w:trPr>
          <w:tblCellSpacing w:w="0" w:type="dxa"/>
          <w:jc w:val="center"/>
        </w:trPr>
        <w:tc>
          <w:tcPr>
            <w:tcW w:w="6009" w:type="dxa"/>
            <w:tcBorders>
              <w:top w:val="outset" w:sz="6" w:space="0" w:color="auto"/>
              <w:left w:val="outset" w:sz="6" w:space="0" w:color="auto"/>
              <w:bottom w:val="outset" w:sz="6" w:space="0" w:color="auto"/>
              <w:right w:val="outset" w:sz="6" w:space="0" w:color="auto"/>
            </w:tcBorders>
            <w:shd w:val="clear" w:color="auto" w:fill="FFFFFF"/>
          </w:tcPr>
          <w:p w14:paraId="7BFAE245" w14:textId="78470895" w:rsidR="00AB02DD" w:rsidRPr="00AB02DD" w:rsidRDefault="00AB02DD" w:rsidP="00AB02DD">
            <w:pPr>
              <w:pStyle w:val="NoSpacing"/>
              <w:numPr>
                <w:ilvl w:val="0"/>
                <w:numId w:val="16"/>
              </w:numPr>
              <w:spacing w:line="276" w:lineRule="auto"/>
              <w:ind w:left="117" w:right="75" w:firstLine="348"/>
              <w:jc w:val="both"/>
              <w:rPr>
                <w:rFonts w:ascii="GHEA Grapalat" w:hAnsi="GHEA Grapalat"/>
                <w:color w:val="000000"/>
                <w:sz w:val="24"/>
                <w:szCs w:val="24"/>
                <w:lang w:val="hy-AM"/>
              </w:rPr>
            </w:pPr>
            <w:r w:rsidRPr="00AB02DD">
              <w:rPr>
                <w:rFonts w:ascii="GHEA Grapalat" w:hAnsi="GHEA Grapalat"/>
                <w:color w:val="000000"/>
                <w:sz w:val="24"/>
                <w:szCs w:val="24"/>
                <w:lang w:val="hy-AM"/>
              </w:rPr>
              <w:t>Նախագծի 2-րդ հոդվածով նախատեսվում է</w:t>
            </w:r>
            <w:r>
              <w:rPr>
                <w:rFonts w:ascii="GHEA Grapalat" w:hAnsi="GHEA Grapalat"/>
                <w:color w:val="000000"/>
                <w:sz w:val="24"/>
                <w:szCs w:val="24"/>
                <w:lang w:val="hy-AM"/>
              </w:rPr>
              <w:t xml:space="preserve"> </w:t>
            </w:r>
            <w:r w:rsidRPr="00AB02DD">
              <w:rPr>
                <w:rFonts w:ascii="GHEA Grapalat" w:hAnsi="GHEA Grapalat"/>
                <w:color w:val="000000"/>
                <w:sz w:val="24"/>
                <w:szCs w:val="24"/>
                <w:lang w:val="hy-AM"/>
              </w:rPr>
              <w:t>Օրենսգրքի 98-րդ հոդվածի 2-րդ մասի 10-րդ կետում «նշանակմանը» բառից հետո լրացնել «, նշանակվելուց հետո պաշտոնավարմանը» բառերը:</w:t>
            </w:r>
          </w:p>
          <w:p w14:paraId="7AD0BE79" w14:textId="62C777DC" w:rsidR="00863B2D" w:rsidRDefault="00AB02DD" w:rsidP="00AB02DD">
            <w:pPr>
              <w:pStyle w:val="NoSpacing"/>
              <w:spacing w:line="276" w:lineRule="auto"/>
              <w:ind w:left="117" w:right="75" w:firstLine="0"/>
              <w:jc w:val="both"/>
              <w:rPr>
                <w:rFonts w:ascii="GHEA Grapalat" w:hAnsi="GHEA Grapalat"/>
                <w:color w:val="000000"/>
                <w:sz w:val="24"/>
                <w:szCs w:val="24"/>
                <w:lang w:val="hy-AM"/>
              </w:rPr>
            </w:pPr>
            <w:r w:rsidRPr="00AB02DD">
              <w:rPr>
                <w:rFonts w:ascii="GHEA Grapalat" w:hAnsi="GHEA Grapalat"/>
                <w:color w:val="000000"/>
                <w:sz w:val="24"/>
                <w:szCs w:val="24"/>
                <w:lang w:val="hy-AM"/>
              </w:rPr>
              <w:t xml:space="preserve">Գտնում ենք, որ նման լրացումների անհրաժեշտությունը բացակայում է, քանի որ Օրենսգրքի 98-րդ հոդվածի 2-րդ մասում սահմանված է այն փաստաթղթերի ցանկը, որոնք  </w:t>
            </w:r>
            <w:r w:rsidRPr="00AB02DD">
              <w:rPr>
                <w:rFonts w:ascii="GHEA Grapalat" w:hAnsi="GHEA Grapalat"/>
                <w:color w:val="000000"/>
                <w:sz w:val="24"/>
                <w:szCs w:val="24"/>
                <w:lang w:val="hy-AM"/>
              </w:rPr>
              <w:lastRenderedPageBreak/>
              <w:t>որակավորման ստուգմանը մասնակցելու հայտին կից դատավորի թեկնածուների հավակնորդների ցուցակում ընդգրկվել հավակնող անձը պետք է ներկայացնի Բարձրագույն դատական խորհուրդ: Հետևաբար Օրենսգրքի 98-րդ հոդվածի 2-րդ մասում նշված իրավակարգավորումները չեն տարածվում պաշտոնավարող դատավորների վրա:</w:t>
            </w:r>
          </w:p>
        </w:tc>
        <w:tc>
          <w:tcPr>
            <w:tcW w:w="6041" w:type="dxa"/>
            <w:tcBorders>
              <w:top w:val="outset" w:sz="6" w:space="0" w:color="auto"/>
              <w:left w:val="outset" w:sz="6" w:space="0" w:color="auto"/>
              <w:bottom w:val="outset" w:sz="6" w:space="0" w:color="auto"/>
              <w:right w:val="nil"/>
            </w:tcBorders>
            <w:shd w:val="clear" w:color="auto" w:fill="FFFFFF"/>
          </w:tcPr>
          <w:p w14:paraId="0AC7CBE3" w14:textId="232D2ABB" w:rsidR="00EA367F" w:rsidRDefault="00EA367F" w:rsidP="00DD0B60">
            <w:pPr>
              <w:pStyle w:val="NoSpacing"/>
              <w:spacing w:line="276" w:lineRule="auto"/>
              <w:ind w:left="105" w:right="75" w:firstLine="0"/>
              <w:rPr>
                <w:rFonts w:ascii="GHEA Grapalat" w:hAnsi="GHEA Grapalat"/>
                <w:bCs/>
                <w:color w:val="000000"/>
                <w:sz w:val="24"/>
                <w:szCs w:val="24"/>
                <w:lang w:val="hy-AM"/>
              </w:rPr>
            </w:pPr>
            <w:r>
              <w:rPr>
                <w:rFonts w:ascii="GHEA Grapalat" w:hAnsi="GHEA Grapalat"/>
                <w:bCs/>
                <w:color w:val="000000"/>
                <w:sz w:val="24"/>
                <w:szCs w:val="24"/>
                <w:lang w:val="hy-AM"/>
              </w:rPr>
              <w:lastRenderedPageBreak/>
              <w:t>Չի ընդունվել:</w:t>
            </w:r>
          </w:p>
          <w:p w14:paraId="21347638" w14:textId="51998D1F" w:rsidR="00863B2D" w:rsidRPr="00BA54C9" w:rsidRDefault="00203A6F" w:rsidP="00DD0B60">
            <w:pPr>
              <w:pStyle w:val="NoSpacing"/>
              <w:spacing w:line="276" w:lineRule="auto"/>
              <w:ind w:left="105" w:right="75" w:firstLine="0"/>
              <w:rPr>
                <w:rFonts w:ascii="GHEA Grapalat" w:hAnsi="GHEA Grapalat"/>
                <w:bCs/>
                <w:color w:val="000000"/>
                <w:sz w:val="24"/>
                <w:szCs w:val="24"/>
                <w:lang w:val="hy-AM"/>
              </w:rPr>
            </w:pPr>
            <w:r>
              <w:rPr>
                <w:rFonts w:ascii="GHEA Grapalat" w:hAnsi="GHEA Grapalat"/>
                <w:bCs/>
                <w:color w:val="000000"/>
                <w:sz w:val="24"/>
                <w:szCs w:val="24"/>
                <w:lang w:val="hy-AM"/>
              </w:rPr>
              <w:t>Նշված հոդվածում լրացումը պայմանավորված է այն հանգամանքով</w:t>
            </w:r>
            <w:r w:rsidR="00DD0B60">
              <w:rPr>
                <w:rFonts w:ascii="GHEA Grapalat" w:hAnsi="GHEA Grapalat"/>
                <w:bCs/>
                <w:color w:val="000000"/>
                <w:sz w:val="24"/>
                <w:szCs w:val="24"/>
                <w:lang w:val="hy-AM"/>
              </w:rPr>
              <w:t xml:space="preserve">, որ տրամադրվող փաստաթուղթը վերնագրված է լինելու հետևյալ կերպ` </w:t>
            </w:r>
            <w:r w:rsidR="00DD0B60" w:rsidRPr="00EA367F">
              <w:rPr>
                <w:rFonts w:ascii="GHEA Grapalat" w:hAnsi="GHEA Grapalat"/>
                <w:b/>
                <w:bCs/>
                <w:i/>
                <w:color w:val="000000"/>
                <w:sz w:val="24"/>
                <w:szCs w:val="24"/>
                <w:lang w:val="hy-AM"/>
              </w:rPr>
              <w:t>«դատավորի պաշտոնում նշանակմանը, նշանակվելուց հետո պաշտոնավարմանը</w:t>
            </w:r>
            <w:r w:rsidR="00DD0B60" w:rsidRPr="00EA367F">
              <w:rPr>
                <w:rFonts w:cs="Calibri"/>
                <w:b/>
                <w:bCs/>
                <w:i/>
                <w:color w:val="000000"/>
                <w:sz w:val="24"/>
                <w:szCs w:val="24"/>
                <w:lang w:val="hy-AM"/>
              </w:rPr>
              <w:t> </w:t>
            </w:r>
            <w:r w:rsidR="00DD0B60" w:rsidRPr="00EA367F">
              <w:rPr>
                <w:rFonts w:ascii="GHEA Grapalat" w:hAnsi="GHEA Grapalat"/>
                <w:b/>
                <w:bCs/>
                <w:i/>
                <w:color w:val="000000"/>
                <w:sz w:val="24"/>
                <w:szCs w:val="24"/>
                <w:lang w:val="hy-AM"/>
              </w:rPr>
              <w:t>խոչընդոտող ֆիզիկական արատների և հիվանդությունների բացակայության մասին տեղեկանք»</w:t>
            </w:r>
            <w:r w:rsidR="00DD0B60">
              <w:rPr>
                <w:rFonts w:ascii="GHEA Grapalat" w:hAnsi="GHEA Grapalat"/>
                <w:bCs/>
                <w:color w:val="000000"/>
                <w:sz w:val="24"/>
                <w:szCs w:val="24"/>
                <w:lang w:val="hy-AM"/>
              </w:rPr>
              <w:t xml:space="preserve">: </w:t>
            </w:r>
            <w:r w:rsidR="00EA367F">
              <w:rPr>
                <w:rFonts w:ascii="GHEA Grapalat" w:hAnsi="GHEA Grapalat"/>
                <w:bCs/>
                <w:color w:val="000000"/>
                <w:sz w:val="24"/>
                <w:szCs w:val="24"/>
                <w:lang w:val="hy-AM"/>
              </w:rPr>
              <w:t xml:space="preserve">Հետևաբար </w:t>
            </w:r>
            <w:r w:rsidR="00EA367F">
              <w:rPr>
                <w:rFonts w:ascii="GHEA Grapalat" w:hAnsi="GHEA Grapalat"/>
                <w:bCs/>
                <w:color w:val="000000"/>
                <w:sz w:val="24"/>
                <w:szCs w:val="24"/>
                <w:lang w:val="hy-AM"/>
              </w:rPr>
              <w:lastRenderedPageBreak/>
              <w:t>առանձին հոդվածներում նպատակահրամար չէ փաստաթղթի անվանումը կրճատելը:</w:t>
            </w:r>
          </w:p>
        </w:tc>
        <w:tc>
          <w:tcPr>
            <w:tcW w:w="1723" w:type="dxa"/>
            <w:tcBorders>
              <w:top w:val="outset" w:sz="6" w:space="0" w:color="auto"/>
              <w:left w:val="nil"/>
              <w:bottom w:val="outset" w:sz="6" w:space="0" w:color="auto"/>
              <w:right w:val="outset" w:sz="6" w:space="0" w:color="auto"/>
            </w:tcBorders>
            <w:shd w:val="clear" w:color="auto" w:fill="FFFFFF"/>
          </w:tcPr>
          <w:p w14:paraId="74A80EC5" w14:textId="77777777" w:rsidR="00863B2D" w:rsidRPr="00426F90" w:rsidRDefault="00863B2D" w:rsidP="00C57711">
            <w:pPr>
              <w:rPr>
                <w:rFonts w:ascii="Calibri" w:hAnsi="Calibri" w:cs="Calibri"/>
                <w:color w:val="000000"/>
                <w:sz w:val="21"/>
                <w:szCs w:val="21"/>
                <w:lang w:val="hy-AM" w:eastAsia="en-US"/>
              </w:rPr>
            </w:pPr>
          </w:p>
        </w:tc>
      </w:tr>
      <w:tr w:rsidR="00863B2D" w:rsidRPr="002621C0" w14:paraId="7415899F" w14:textId="77777777" w:rsidTr="00C57711">
        <w:trPr>
          <w:tblCellSpacing w:w="0" w:type="dxa"/>
          <w:jc w:val="center"/>
        </w:trPr>
        <w:tc>
          <w:tcPr>
            <w:tcW w:w="6009" w:type="dxa"/>
            <w:tcBorders>
              <w:top w:val="outset" w:sz="6" w:space="0" w:color="auto"/>
              <w:left w:val="outset" w:sz="6" w:space="0" w:color="auto"/>
              <w:bottom w:val="outset" w:sz="6" w:space="0" w:color="auto"/>
              <w:right w:val="outset" w:sz="6" w:space="0" w:color="auto"/>
            </w:tcBorders>
            <w:shd w:val="clear" w:color="auto" w:fill="FFFFFF"/>
          </w:tcPr>
          <w:p w14:paraId="18A7918C" w14:textId="2357BBE5" w:rsidR="00AB02DD" w:rsidRPr="00AB02DD" w:rsidRDefault="00AB02DD" w:rsidP="00AB02DD">
            <w:pPr>
              <w:pStyle w:val="NoSpacing"/>
              <w:numPr>
                <w:ilvl w:val="0"/>
                <w:numId w:val="16"/>
              </w:numPr>
              <w:spacing w:line="276" w:lineRule="auto"/>
              <w:ind w:left="117" w:right="75" w:firstLine="65"/>
              <w:jc w:val="both"/>
              <w:rPr>
                <w:rFonts w:ascii="GHEA Grapalat" w:hAnsi="GHEA Grapalat"/>
                <w:color w:val="000000"/>
                <w:sz w:val="24"/>
                <w:szCs w:val="24"/>
                <w:lang w:val="hy-AM"/>
              </w:rPr>
            </w:pPr>
            <w:r w:rsidRPr="00AB02DD">
              <w:rPr>
                <w:rFonts w:ascii="GHEA Grapalat" w:hAnsi="GHEA Grapalat"/>
                <w:color w:val="000000"/>
                <w:sz w:val="24"/>
                <w:szCs w:val="24"/>
                <w:lang w:val="hy-AM"/>
              </w:rPr>
              <w:t>«Նորմատիվ իրավական ակտերի մասին» օրենքի 15-րդ հոդվածի</w:t>
            </w:r>
            <w:r w:rsidR="00DD0B60">
              <w:rPr>
                <w:rFonts w:ascii="GHEA Grapalat" w:hAnsi="GHEA Grapalat"/>
                <w:color w:val="000000"/>
                <w:sz w:val="24"/>
                <w:szCs w:val="24"/>
                <w:lang w:val="hy-AM"/>
              </w:rPr>
              <w:t xml:space="preserve"> </w:t>
            </w:r>
            <w:r w:rsidRPr="00AB02DD">
              <w:rPr>
                <w:rFonts w:ascii="GHEA Grapalat" w:hAnsi="GHEA Grapalat"/>
                <w:color w:val="000000"/>
                <w:sz w:val="24"/>
                <w:szCs w:val="24"/>
                <w:lang w:val="hy-AM"/>
              </w:rPr>
              <w:t>1-ին մասի համաձայն՝ նորմատիվ իրավական ակտում կիրառվում են նորմատիվ իրավական ակտերով սահմանված կամ հանրածանոթ հասկացություններ կամ տերմիններ:</w:t>
            </w:r>
          </w:p>
          <w:p w14:paraId="6F876BAB" w14:textId="77777777" w:rsidR="00AB02DD" w:rsidRPr="00AB02DD" w:rsidRDefault="00AB02DD" w:rsidP="00AB02DD">
            <w:pPr>
              <w:pStyle w:val="NoSpacing"/>
              <w:spacing w:line="276" w:lineRule="auto"/>
              <w:ind w:left="117" w:right="75" w:firstLine="0"/>
              <w:jc w:val="both"/>
              <w:rPr>
                <w:rFonts w:ascii="GHEA Grapalat" w:hAnsi="GHEA Grapalat"/>
                <w:color w:val="000000"/>
                <w:sz w:val="24"/>
                <w:szCs w:val="24"/>
                <w:lang w:val="hy-AM"/>
              </w:rPr>
            </w:pPr>
            <w:r w:rsidRPr="00AB02DD">
              <w:rPr>
                <w:rFonts w:ascii="GHEA Grapalat" w:hAnsi="GHEA Grapalat"/>
                <w:color w:val="000000"/>
                <w:sz w:val="24"/>
                <w:szCs w:val="24"/>
                <w:lang w:val="hy-AM"/>
              </w:rPr>
              <w:t>ՀՀ սահմանադրության 6-րդ հոդվածի 2-րդ մասի համաձայն՝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w:t>
            </w:r>
          </w:p>
          <w:p w14:paraId="393A7339" w14:textId="77777777" w:rsidR="00AB02DD" w:rsidRPr="00AB02DD" w:rsidRDefault="00AB02DD" w:rsidP="00340548">
            <w:pPr>
              <w:pStyle w:val="NoSpacing"/>
              <w:spacing w:line="276" w:lineRule="auto"/>
              <w:ind w:left="117" w:right="75" w:firstLine="142"/>
              <w:jc w:val="both"/>
              <w:rPr>
                <w:rFonts w:ascii="GHEA Grapalat" w:hAnsi="GHEA Grapalat"/>
                <w:color w:val="000000"/>
                <w:sz w:val="24"/>
                <w:szCs w:val="24"/>
                <w:lang w:val="hy-AM"/>
              </w:rPr>
            </w:pPr>
            <w:r w:rsidRPr="00AB02DD">
              <w:rPr>
                <w:rFonts w:ascii="GHEA Grapalat" w:hAnsi="GHEA Grapalat"/>
                <w:color w:val="000000"/>
                <w:sz w:val="24"/>
                <w:szCs w:val="24"/>
                <w:lang w:val="hy-AM"/>
              </w:rPr>
              <w:t xml:space="preserve">ՀՀ սահմանադրական դատարանն արտահայտել է այն իրավական դիրքորոշումը, որ իրավական որոշակիության սկզբունքը, լինելով իրավական պետության հիմնարար սկզբունքներից մեկը, ենթադրում է նաև, որ իրավահարաբերությունների բոլոր սուբյեկտների, այդ թվում՝ իշխանության կրողի </w:t>
            </w:r>
            <w:r w:rsidRPr="00AB02DD">
              <w:rPr>
                <w:rFonts w:ascii="GHEA Grapalat" w:hAnsi="GHEA Grapalat"/>
                <w:color w:val="000000"/>
                <w:sz w:val="24"/>
                <w:szCs w:val="24"/>
                <w:lang w:val="hy-AM"/>
              </w:rPr>
              <w:lastRenderedPageBreak/>
              <w:t xml:space="preserve">գործողությունները պետք է լինեն կանխատեսելի ու իրավաչափ (տե՛ս, ՀՀ սահմանադրական դատարանի 09.06.2015 թվականի թիվ ՍԴՈ-1213 որոշումը): </w:t>
            </w:r>
          </w:p>
          <w:p w14:paraId="126329C0" w14:textId="77777777" w:rsidR="00AB02DD" w:rsidRPr="00AB02DD" w:rsidRDefault="00AB02DD" w:rsidP="00AB02DD">
            <w:pPr>
              <w:pStyle w:val="NoSpacing"/>
              <w:spacing w:line="276" w:lineRule="auto"/>
              <w:ind w:left="117" w:right="75" w:firstLine="0"/>
              <w:jc w:val="both"/>
              <w:rPr>
                <w:rFonts w:ascii="GHEA Grapalat" w:hAnsi="GHEA Grapalat"/>
                <w:color w:val="000000"/>
                <w:sz w:val="24"/>
                <w:szCs w:val="24"/>
                <w:lang w:val="hy-AM"/>
              </w:rPr>
            </w:pPr>
            <w:r w:rsidRPr="00AB02DD">
              <w:rPr>
                <w:rFonts w:ascii="GHEA Grapalat" w:hAnsi="GHEA Grapalat"/>
                <w:color w:val="000000"/>
                <w:sz w:val="24"/>
                <w:szCs w:val="24"/>
                <w:lang w:val="hy-AM"/>
              </w:rPr>
              <w:t>Ըստ ՀՀ սահմանադրական դատարանի՝ իրավական որոշակիության ապահովման տեսանկյունից օրենսդրության մեջ օգտագործվող հասկացությունները պետք է լինեն հստակ, որոշակի և չհանգեցնեն տարաբնույթ մեկնաբանությունների կամ շփոթության (տե՛ս, ՀՀ սահմանադրական դատարանի 02.12.2014 թվականի թիվ ՍԴՈ-1176 որոշումը):</w:t>
            </w:r>
          </w:p>
          <w:p w14:paraId="13DE4C2C" w14:textId="01456EA4" w:rsidR="00863B2D" w:rsidRDefault="00AB02DD" w:rsidP="00340548">
            <w:pPr>
              <w:pStyle w:val="NoSpacing"/>
              <w:spacing w:line="276" w:lineRule="auto"/>
              <w:ind w:left="117" w:right="75" w:firstLine="142"/>
              <w:jc w:val="both"/>
              <w:rPr>
                <w:rFonts w:ascii="GHEA Grapalat" w:hAnsi="GHEA Grapalat"/>
                <w:color w:val="000000"/>
                <w:sz w:val="24"/>
                <w:szCs w:val="24"/>
                <w:lang w:val="hy-AM"/>
              </w:rPr>
            </w:pPr>
            <w:r w:rsidRPr="00AB02DD">
              <w:rPr>
                <w:rFonts w:ascii="GHEA Grapalat" w:hAnsi="GHEA Grapalat"/>
                <w:color w:val="000000"/>
                <w:sz w:val="24"/>
                <w:szCs w:val="24"/>
                <w:lang w:val="hy-AM"/>
              </w:rPr>
              <w:t xml:space="preserve">Վերոգրյալ իրավակարգավորումների և իրավական դիրքորոշումների լույսի ներքո անդրադառնալով Նախագծի 3-րդ և 6-րդ հոդվածներում նշված կարգավորումներին՝ գտնում ենք, որ տարընկալումներից զերծ մնալու նպատակով` անհրաժեշտ է այդ կարգավորումների մեջ հստակեցնել և բացահայտել թե ին՞չ </w:t>
            </w:r>
            <w:r w:rsidRPr="00B75358">
              <w:rPr>
                <w:rFonts w:ascii="GHEA Grapalat" w:hAnsi="GHEA Grapalat"/>
                <w:color w:val="000000"/>
                <w:sz w:val="24"/>
                <w:szCs w:val="24"/>
                <w:lang w:val="hy-AM"/>
              </w:rPr>
              <w:t>«վիճակների»</w:t>
            </w:r>
            <w:r w:rsidRPr="00AB02DD">
              <w:rPr>
                <w:rFonts w:ascii="GHEA Grapalat" w:hAnsi="GHEA Grapalat"/>
                <w:color w:val="000000"/>
                <w:sz w:val="24"/>
                <w:szCs w:val="24"/>
                <w:lang w:val="hy-AM"/>
              </w:rPr>
              <w:t xml:space="preserve"> մասին է խոսքը (ախտաբանական, բժշկական, առողջական, կլինիկական և այլն):</w:t>
            </w:r>
          </w:p>
        </w:tc>
        <w:tc>
          <w:tcPr>
            <w:tcW w:w="6041" w:type="dxa"/>
            <w:tcBorders>
              <w:top w:val="outset" w:sz="6" w:space="0" w:color="auto"/>
              <w:left w:val="outset" w:sz="6" w:space="0" w:color="auto"/>
              <w:bottom w:val="outset" w:sz="6" w:space="0" w:color="auto"/>
              <w:right w:val="nil"/>
            </w:tcBorders>
            <w:shd w:val="clear" w:color="auto" w:fill="FFFFFF"/>
          </w:tcPr>
          <w:p w14:paraId="5B697B3B" w14:textId="15CA6BA5" w:rsidR="00863B2D" w:rsidRDefault="00F35434" w:rsidP="00F35434">
            <w:pPr>
              <w:pStyle w:val="NoSpacing"/>
              <w:spacing w:line="276" w:lineRule="auto"/>
              <w:ind w:left="0" w:right="75" w:firstLine="0"/>
              <w:rPr>
                <w:rFonts w:ascii="GHEA Grapalat" w:hAnsi="GHEA Grapalat"/>
                <w:color w:val="000000"/>
                <w:sz w:val="24"/>
                <w:szCs w:val="24"/>
                <w:lang w:val="hy-AM"/>
              </w:rPr>
            </w:pPr>
            <w:r>
              <w:rPr>
                <w:rFonts w:ascii="GHEA Grapalat" w:hAnsi="GHEA Grapalat"/>
                <w:color w:val="000000"/>
                <w:sz w:val="24"/>
                <w:szCs w:val="24"/>
                <w:lang w:val="hy-AM"/>
              </w:rPr>
              <w:lastRenderedPageBreak/>
              <w:t>Չի ընդունվել:</w:t>
            </w:r>
          </w:p>
          <w:p w14:paraId="2CAD3D46" w14:textId="77777777" w:rsidR="001E4466" w:rsidRDefault="00F35434" w:rsidP="00F35434">
            <w:pPr>
              <w:pStyle w:val="NoSpacing"/>
              <w:spacing w:line="276" w:lineRule="auto"/>
              <w:ind w:left="0" w:right="75" w:firstLine="0"/>
              <w:rPr>
                <w:rFonts w:ascii="GHEA Grapalat" w:hAnsi="GHEA Grapalat"/>
                <w:color w:val="000000"/>
                <w:sz w:val="24"/>
                <w:szCs w:val="24"/>
                <w:lang w:val="hy-AM"/>
              </w:rPr>
            </w:pPr>
            <w:r>
              <w:rPr>
                <w:rFonts w:ascii="GHEA Grapalat" w:hAnsi="GHEA Grapalat"/>
                <w:color w:val="000000"/>
                <w:sz w:val="24"/>
                <w:szCs w:val="24"/>
                <w:lang w:val="hy-AM"/>
              </w:rPr>
              <w:t>«Վիճակներ» եզրույթը կիրառվում է առողջապահության ոլորտը կարգավորող իրավական ակտերում:</w:t>
            </w:r>
            <w:r w:rsidR="00CD717F">
              <w:rPr>
                <w:rFonts w:ascii="GHEA Grapalat" w:hAnsi="GHEA Grapalat"/>
                <w:color w:val="000000"/>
                <w:sz w:val="24"/>
                <w:szCs w:val="24"/>
                <w:lang w:val="hy-AM"/>
              </w:rPr>
              <w:t xml:space="preserve"> </w:t>
            </w:r>
          </w:p>
          <w:p w14:paraId="11904A79" w14:textId="74F228E7" w:rsidR="00F35434" w:rsidRPr="00A837A5" w:rsidRDefault="00A837A5" w:rsidP="00F35434">
            <w:pPr>
              <w:pStyle w:val="NoSpacing"/>
              <w:spacing w:line="276" w:lineRule="auto"/>
              <w:ind w:left="0" w:right="75" w:firstLine="0"/>
              <w:rPr>
                <w:rFonts w:ascii="GHEA Grapalat" w:hAnsi="GHEA Grapalat"/>
                <w:color w:val="000000"/>
                <w:sz w:val="24"/>
                <w:szCs w:val="24"/>
                <w:lang w:val="hy-AM"/>
              </w:rPr>
            </w:pPr>
            <w:r w:rsidRPr="001E4466">
              <w:rPr>
                <w:rFonts w:ascii="GHEA Grapalat" w:hAnsi="GHEA Grapalat"/>
                <w:color w:val="000000"/>
                <w:sz w:val="24"/>
                <w:szCs w:val="24"/>
                <w:lang w:val="hy-AM"/>
              </w:rPr>
              <w:t xml:space="preserve">Էկոնոմիկայի նախարարի 2013թ. սեպտեմբերի 19-ի </w:t>
            </w:r>
            <w:r w:rsidRPr="001E4466">
              <w:rPr>
                <w:rFonts w:ascii="GHEA Grapalat" w:hAnsi="GHEA Grapalat"/>
                <w:bCs/>
                <w:color w:val="000000"/>
                <w:sz w:val="24"/>
                <w:szCs w:val="24"/>
                <w:lang w:val="hy-AM"/>
              </w:rPr>
              <w:t xml:space="preserve">Հայաստանի Հանրապետության տեխնիկատնտեսական և սոցիալական տեղեկատվության «Հիվանդությունների և առողջության հետ կապված խնդիրների վիճակագրական դասակարգիչ» հաստատելու և Հայաստանի Հանրապետության առևտրի և տնտեսական </w:t>
            </w:r>
            <w:r w:rsidRPr="00460848">
              <w:rPr>
                <w:rFonts w:ascii="GHEA Grapalat" w:hAnsi="GHEA Grapalat"/>
                <w:bCs/>
                <w:color w:val="000000"/>
                <w:sz w:val="24"/>
                <w:szCs w:val="24"/>
                <w:lang w:val="hy-AM"/>
              </w:rPr>
              <w:t>զարգացման նախարարի 2005 թվականի մարտի 31-ի N 67-</w:t>
            </w:r>
            <w:r w:rsidR="00BA73DE" w:rsidRPr="00460848">
              <w:rPr>
                <w:rFonts w:ascii="GHEA Grapalat" w:hAnsi="GHEA Grapalat"/>
                <w:bCs/>
                <w:color w:val="000000"/>
                <w:sz w:val="24"/>
                <w:szCs w:val="24"/>
                <w:lang w:val="hy-AM"/>
              </w:rPr>
              <w:t>Ն</w:t>
            </w:r>
            <w:r w:rsidRPr="00460848">
              <w:rPr>
                <w:rFonts w:ascii="GHEA Grapalat" w:hAnsi="GHEA Grapalat"/>
                <w:bCs/>
                <w:color w:val="000000"/>
                <w:sz w:val="24"/>
                <w:szCs w:val="24"/>
                <w:lang w:val="hy-AM"/>
              </w:rPr>
              <w:t xml:space="preserve"> հրամանն ուժը կորցրած ճանաչելու մասին</w:t>
            </w:r>
            <w:r w:rsidR="001E4466" w:rsidRPr="00460848">
              <w:rPr>
                <w:rFonts w:ascii="GHEA Grapalat" w:hAnsi="GHEA Grapalat"/>
                <w:bCs/>
                <w:color w:val="000000"/>
                <w:sz w:val="24"/>
                <w:szCs w:val="24"/>
                <w:lang w:val="hy-AM"/>
              </w:rPr>
              <w:t>»</w:t>
            </w:r>
            <w:r w:rsidR="00BA73DE" w:rsidRPr="00460848">
              <w:rPr>
                <w:rFonts w:ascii="GHEA Grapalat" w:hAnsi="GHEA Grapalat"/>
                <w:bCs/>
                <w:color w:val="000000"/>
                <w:sz w:val="24"/>
                <w:szCs w:val="24"/>
                <w:lang w:val="hy-AM"/>
              </w:rPr>
              <w:t xml:space="preserve"> </w:t>
            </w:r>
            <w:r w:rsidR="00460848" w:rsidRPr="00460848">
              <w:rPr>
                <w:rFonts w:ascii="GHEA Grapalat" w:hAnsi="GHEA Grapalat"/>
                <w:color w:val="000000"/>
                <w:sz w:val="24"/>
                <w:szCs w:val="24"/>
                <w:lang w:val="hy-AM"/>
              </w:rPr>
              <w:t xml:space="preserve">թիվ 871-Ն </w:t>
            </w:r>
            <w:r w:rsidR="001E4466" w:rsidRPr="00460848">
              <w:rPr>
                <w:rFonts w:ascii="GHEA Grapalat" w:hAnsi="GHEA Grapalat"/>
                <w:bCs/>
                <w:color w:val="000000"/>
                <w:sz w:val="24"/>
                <w:szCs w:val="24"/>
                <w:lang w:val="hy-AM"/>
              </w:rPr>
              <w:t>հրամանում ևս կիրառվում է «վիճակներ» հասկացությունը:</w:t>
            </w:r>
          </w:p>
          <w:p w14:paraId="78A9739A" w14:textId="1EBBA18E" w:rsidR="00863B2D" w:rsidRDefault="00863B2D" w:rsidP="00C57711">
            <w:pPr>
              <w:pStyle w:val="NoSpacing"/>
              <w:spacing w:line="276" w:lineRule="auto"/>
              <w:ind w:left="105" w:right="75" w:firstLine="0"/>
              <w:rPr>
                <w:rFonts w:ascii="GHEA Grapalat" w:hAnsi="GHEA Grapalat"/>
                <w:color w:val="000000"/>
                <w:sz w:val="24"/>
                <w:szCs w:val="24"/>
                <w:lang w:val="hy-AM"/>
              </w:rPr>
            </w:pPr>
          </w:p>
        </w:tc>
        <w:tc>
          <w:tcPr>
            <w:tcW w:w="1723" w:type="dxa"/>
            <w:tcBorders>
              <w:top w:val="outset" w:sz="6" w:space="0" w:color="auto"/>
              <w:left w:val="nil"/>
              <w:bottom w:val="outset" w:sz="6" w:space="0" w:color="auto"/>
              <w:right w:val="outset" w:sz="6" w:space="0" w:color="auto"/>
            </w:tcBorders>
            <w:shd w:val="clear" w:color="auto" w:fill="FFFFFF"/>
          </w:tcPr>
          <w:p w14:paraId="17C4CDBD" w14:textId="77777777" w:rsidR="00863B2D" w:rsidRPr="00426F90" w:rsidRDefault="00863B2D" w:rsidP="00C57711">
            <w:pPr>
              <w:rPr>
                <w:rFonts w:ascii="Calibri" w:hAnsi="Calibri" w:cs="Calibri"/>
                <w:color w:val="000000"/>
                <w:sz w:val="21"/>
                <w:szCs w:val="21"/>
                <w:lang w:val="hy-AM" w:eastAsia="en-US"/>
              </w:rPr>
            </w:pPr>
          </w:p>
        </w:tc>
      </w:tr>
      <w:tr w:rsidR="00AB02DD" w:rsidRPr="002621C0" w14:paraId="30658A4F" w14:textId="77777777" w:rsidTr="00C57711">
        <w:trPr>
          <w:tblCellSpacing w:w="0" w:type="dxa"/>
          <w:jc w:val="center"/>
        </w:trPr>
        <w:tc>
          <w:tcPr>
            <w:tcW w:w="6009" w:type="dxa"/>
            <w:tcBorders>
              <w:top w:val="outset" w:sz="6" w:space="0" w:color="auto"/>
              <w:left w:val="outset" w:sz="6" w:space="0" w:color="auto"/>
              <w:bottom w:val="outset" w:sz="6" w:space="0" w:color="auto"/>
              <w:right w:val="outset" w:sz="6" w:space="0" w:color="auto"/>
            </w:tcBorders>
            <w:shd w:val="clear" w:color="auto" w:fill="FFFFFF"/>
          </w:tcPr>
          <w:p w14:paraId="2AE73155" w14:textId="13C639CB" w:rsidR="00AB02DD" w:rsidRPr="00AB02DD" w:rsidRDefault="00AB02DD" w:rsidP="00AB02DD">
            <w:pPr>
              <w:pStyle w:val="NoSpacing"/>
              <w:numPr>
                <w:ilvl w:val="0"/>
                <w:numId w:val="16"/>
              </w:numPr>
              <w:spacing w:line="276" w:lineRule="auto"/>
              <w:ind w:left="117" w:right="75" w:firstLine="348"/>
              <w:jc w:val="both"/>
              <w:rPr>
                <w:rFonts w:ascii="GHEA Grapalat" w:hAnsi="GHEA Grapalat"/>
                <w:color w:val="000000"/>
                <w:sz w:val="24"/>
                <w:szCs w:val="24"/>
                <w:lang w:val="hy-AM"/>
              </w:rPr>
            </w:pPr>
            <w:r w:rsidRPr="00AB02DD">
              <w:rPr>
                <w:rFonts w:ascii="GHEA Grapalat" w:hAnsi="GHEA Grapalat"/>
                <w:color w:val="000000"/>
                <w:sz w:val="24"/>
                <w:szCs w:val="24"/>
                <w:lang w:val="hy-AM"/>
              </w:rPr>
              <w:t>Նախագծի 4-րդ հոդվածով Օրենսգրքի 113-րդ հոդվածի 4-րդ մասի 1-ին նախադասությունը շարադրվում է նոր հետևյալ խմբագրությամբ.</w:t>
            </w:r>
          </w:p>
          <w:p w14:paraId="025C538A" w14:textId="77777777" w:rsidR="00AB02DD" w:rsidRPr="00AB02DD" w:rsidRDefault="00AB02DD" w:rsidP="00AB02DD">
            <w:pPr>
              <w:pStyle w:val="NoSpacing"/>
              <w:spacing w:line="276" w:lineRule="auto"/>
              <w:ind w:left="117" w:right="75" w:firstLine="0"/>
              <w:jc w:val="both"/>
              <w:rPr>
                <w:rFonts w:ascii="GHEA Grapalat" w:hAnsi="GHEA Grapalat"/>
                <w:color w:val="000000"/>
                <w:sz w:val="24"/>
                <w:szCs w:val="24"/>
                <w:lang w:val="hy-AM"/>
              </w:rPr>
            </w:pPr>
            <w:r w:rsidRPr="00AB02DD">
              <w:rPr>
                <w:rFonts w:ascii="GHEA Grapalat" w:hAnsi="GHEA Grapalat"/>
                <w:color w:val="000000"/>
                <w:sz w:val="24"/>
                <w:szCs w:val="24"/>
                <w:lang w:val="hy-AM"/>
              </w:rPr>
              <w:t xml:space="preserve">«Եթե առերևույթ առկա է դատավորի պաշտոնում նշանակմանը խոչընդոտող հիվանդություն կամ վիճակ, Բարձրագույն դատական խորհրդի </w:t>
            </w:r>
            <w:r w:rsidRPr="00AB02DD">
              <w:rPr>
                <w:rFonts w:ascii="GHEA Grapalat" w:hAnsi="GHEA Grapalat"/>
                <w:color w:val="000000"/>
                <w:sz w:val="24"/>
                <w:szCs w:val="24"/>
                <w:lang w:val="hy-AM"/>
              </w:rPr>
              <w:lastRenderedPageBreak/>
              <w:t>նախագահը դիմում է ներկայացնում համապատասխան բժշկական կազմակերպությանը՝ դատավորի թեկնածուի հավակնորդի կամ դատավորի թեկնածուի բժշկական զննությունը իրականացնելու համար:»:</w:t>
            </w:r>
          </w:p>
          <w:p w14:paraId="2AFD7774" w14:textId="77777777" w:rsidR="00AB02DD" w:rsidRPr="00AB02DD" w:rsidRDefault="00AB02DD" w:rsidP="005039AD">
            <w:pPr>
              <w:pStyle w:val="NoSpacing"/>
              <w:spacing w:line="276" w:lineRule="auto"/>
              <w:ind w:left="117" w:right="75" w:firstLine="425"/>
              <w:jc w:val="both"/>
              <w:rPr>
                <w:rFonts w:ascii="GHEA Grapalat" w:hAnsi="GHEA Grapalat"/>
                <w:color w:val="000000"/>
                <w:sz w:val="24"/>
                <w:szCs w:val="24"/>
                <w:lang w:val="hy-AM"/>
              </w:rPr>
            </w:pPr>
            <w:r w:rsidRPr="00AB02DD">
              <w:rPr>
                <w:rFonts w:ascii="GHEA Grapalat" w:hAnsi="GHEA Grapalat"/>
                <w:color w:val="000000"/>
                <w:sz w:val="24"/>
                <w:szCs w:val="24"/>
                <w:lang w:val="hy-AM"/>
              </w:rPr>
              <w:t>Իսկ Նախագծի 5-րդ հոդվածի 2-րդ մասով Օրենսգրքի 159-րդ հոդվածի 3-րդ մասում «դիմում է Լիազոր մարմին` դատավորի բժշկական զննությունն իրավասու մարմնի միջոցով կազմակերպելու համար» բառերը փոխարինվում է «դիմում է Լիազոր մարմնին` դատավորի բժշկական զննությունը համապատասխան բժշկական կազմակերպության միջոցով իրականացնելու համար» բառերով:</w:t>
            </w:r>
          </w:p>
          <w:p w14:paraId="58DC57F6" w14:textId="77777777" w:rsidR="00AB02DD" w:rsidRPr="00AB02DD" w:rsidRDefault="00AB02DD" w:rsidP="00AB02DD">
            <w:pPr>
              <w:pStyle w:val="NoSpacing"/>
              <w:spacing w:line="276" w:lineRule="auto"/>
              <w:ind w:left="117" w:right="75" w:firstLine="0"/>
              <w:jc w:val="both"/>
              <w:rPr>
                <w:rFonts w:ascii="GHEA Grapalat" w:hAnsi="GHEA Grapalat"/>
                <w:color w:val="000000"/>
                <w:sz w:val="24"/>
                <w:szCs w:val="24"/>
                <w:lang w:val="hy-AM"/>
              </w:rPr>
            </w:pPr>
            <w:r w:rsidRPr="00AB02DD">
              <w:rPr>
                <w:rFonts w:ascii="GHEA Grapalat" w:hAnsi="GHEA Grapalat"/>
                <w:color w:val="000000"/>
                <w:sz w:val="24"/>
                <w:szCs w:val="24"/>
                <w:lang w:val="hy-AM"/>
              </w:rPr>
              <w:t>Օրենսգրքի 102-րդ հոդվածի 4-րդ մասի համաձայն՝ Օրենսգրքի իմաստով լիազոր մարմինը արդարադատության ոլորտում Կառավարության քաղաքականությունը մշակող և իրականացնող նախարարն է:</w:t>
            </w:r>
          </w:p>
          <w:p w14:paraId="18275967" w14:textId="77777777" w:rsidR="00AB02DD" w:rsidRPr="00AB02DD" w:rsidRDefault="00AB02DD" w:rsidP="005039AD">
            <w:pPr>
              <w:pStyle w:val="NoSpacing"/>
              <w:spacing w:line="276" w:lineRule="auto"/>
              <w:ind w:left="117" w:right="75" w:firstLine="425"/>
              <w:jc w:val="both"/>
              <w:rPr>
                <w:rFonts w:ascii="GHEA Grapalat" w:hAnsi="GHEA Grapalat"/>
                <w:color w:val="000000"/>
                <w:sz w:val="24"/>
                <w:szCs w:val="24"/>
                <w:lang w:val="hy-AM"/>
              </w:rPr>
            </w:pPr>
            <w:r w:rsidRPr="00AB02DD">
              <w:rPr>
                <w:rFonts w:ascii="GHEA Grapalat" w:hAnsi="GHEA Grapalat"/>
                <w:color w:val="000000"/>
                <w:sz w:val="24"/>
                <w:szCs w:val="24"/>
                <w:lang w:val="hy-AM"/>
              </w:rPr>
              <w:t xml:space="preserve">Գտնում ենք, որ վերոնշյալ իրավակարգավորումները խնդրահարույց են սույն պետական փորձագիտական եզրակացության 3-րդ կետում նշված իրավական որոշակիության սահմանադրական սկզբունքի համատեքստում, քանի որ Նախագծի 4-րդ հոդվածում նշված վերոնշյալ կարգավորումների պարագայում պարզ չի դառնում, թե դատավորի թեկնածուի հավակնորդի կամ դատավորի թեկնածուի բժշկական զննությունը </w:t>
            </w:r>
            <w:r w:rsidRPr="00AB02DD">
              <w:rPr>
                <w:rFonts w:ascii="GHEA Grapalat" w:hAnsi="GHEA Grapalat"/>
                <w:color w:val="000000"/>
                <w:sz w:val="24"/>
                <w:szCs w:val="24"/>
                <w:lang w:val="hy-AM"/>
              </w:rPr>
              <w:lastRenderedPageBreak/>
              <w:t xml:space="preserve">իրականացնելու համար Բարձրագույն դատական խորհրդի նախագահը </w:t>
            </w:r>
            <w:r w:rsidRPr="00B75358">
              <w:rPr>
                <w:rFonts w:ascii="GHEA Grapalat" w:hAnsi="GHEA Grapalat"/>
                <w:color w:val="000000"/>
                <w:sz w:val="24"/>
                <w:szCs w:val="24"/>
                <w:lang w:val="hy-AM"/>
              </w:rPr>
              <w:t>ինչպե՞ս և ին՞չ կարգով է դիմելու համապատասխան բժշկական կազմակերպությանը և ինչպե՞ս և ին՞չ սկզբունքով է տվյալ պարագայում ընտրելու, թե ո՞ր բժշկական կազմակերպությանն է անհրաժեշտ դիմել:</w:t>
            </w:r>
          </w:p>
          <w:p w14:paraId="389D8083" w14:textId="77777777" w:rsidR="00AB02DD" w:rsidRPr="00AB02DD" w:rsidRDefault="00AB02DD" w:rsidP="005039AD">
            <w:pPr>
              <w:pStyle w:val="NoSpacing"/>
              <w:spacing w:line="276" w:lineRule="auto"/>
              <w:ind w:left="117" w:right="75" w:firstLine="425"/>
              <w:jc w:val="both"/>
              <w:rPr>
                <w:rFonts w:ascii="GHEA Grapalat" w:hAnsi="GHEA Grapalat"/>
                <w:color w:val="000000"/>
                <w:sz w:val="24"/>
                <w:szCs w:val="24"/>
                <w:lang w:val="hy-AM"/>
              </w:rPr>
            </w:pPr>
            <w:r w:rsidRPr="00AB02DD">
              <w:rPr>
                <w:rFonts w:ascii="GHEA Grapalat" w:hAnsi="GHEA Grapalat"/>
                <w:color w:val="000000"/>
                <w:sz w:val="24"/>
                <w:szCs w:val="24"/>
                <w:lang w:val="hy-AM"/>
              </w:rPr>
              <w:t xml:space="preserve">Վերոնշյալի համատեքստում խնդրահարույց է նաև Նախագծի 5-րդ հոդվածում նշված վերոնշյալ իրավակարգավորումները, քանի որ այդ դեպքում նույնպես պարզ չի դառնում, </w:t>
            </w:r>
            <w:r w:rsidRPr="00B75358">
              <w:rPr>
                <w:rFonts w:ascii="GHEA Grapalat" w:hAnsi="GHEA Grapalat"/>
                <w:color w:val="000000"/>
                <w:sz w:val="24"/>
                <w:szCs w:val="24"/>
                <w:lang w:val="hy-AM"/>
              </w:rPr>
              <w:t>թե ինչպե՞ս և ին՞չ կարգով է Օրենսգրքի իմաստով լիազոր մարմինը՝ արդարադատության ոլորտում Կառավարության քաղաքականությունը մշակող և իրականացնող նախարարը, համապատասխան բժշկական կազմակերպության միջոցով իրականացնելու պաշտոնավարող դատավորի բժշկական զննությունը և ինչպե՞ս և ին՞չ սկզբունքով է տվյալ պարագայում ընտրելու, թե ո՞ր բժշկական կազմակերպությանն է անհրաժեշտ դիմել:</w:t>
            </w:r>
          </w:p>
          <w:p w14:paraId="375815B6" w14:textId="77777777" w:rsidR="00AB02DD" w:rsidRDefault="00AB02DD" w:rsidP="005039AD">
            <w:pPr>
              <w:pStyle w:val="NoSpacing"/>
              <w:spacing w:line="276" w:lineRule="auto"/>
              <w:ind w:left="117" w:right="75" w:firstLine="425"/>
              <w:jc w:val="both"/>
              <w:rPr>
                <w:rFonts w:ascii="GHEA Grapalat" w:hAnsi="GHEA Grapalat"/>
                <w:color w:val="000000"/>
                <w:sz w:val="24"/>
                <w:szCs w:val="24"/>
                <w:lang w:val="hy-AM"/>
              </w:rPr>
            </w:pPr>
            <w:r w:rsidRPr="00AB02DD">
              <w:rPr>
                <w:rFonts w:ascii="GHEA Grapalat" w:hAnsi="GHEA Grapalat"/>
                <w:color w:val="000000"/>
                <w:sz w:val="24"/>
                <w:szCs w:val="24"/>
                <w:lang w:val="hy-AM"/>
              </w:rPr>
              <w:t>Հիմք ընդունելով վերոգրյալը՝ անհրաժեշտ է վերանայել Նախագծի վերոնշյալ իրավակարգավորումները, ինչպես նաև դիտարկել վերոնշյալ  բժշկական զննությունները համապատասխան իրավասու մարմնի կողմից, այլ ոչ թե բարձրագույն դատական խորհրդի նախագահի և Օրենսգրքի իմաստով լիազոր մարմի կողմից իրականացնելու հարցը:</w:t>
            </w:r>
          </w:p>
          <w:p w14:paraId="4945BBB6" w14:textId="164B7869" w:rsidR="00AB02DD" w:rsidRPr="00AB02DD" w:rsidRDefault="00AB02DD" w:rsidP="005039AD">
            <w:pPr>
              <w:pStyle w:val="NoSpacing"/>
              <w:spacing w:line="276" w:lineRule="auto"/>
              <w:ind w:left="117" w:right="75" w:firstLine="425"/>
              <w:jc w:val="both"/>
              <w:rPr>
                <w:rFonts w:ascii="GHEA Grapalat" w:hAnsi="GHEA Grapalat"/>
                <w:color w:val="000000"/>
                <w:lang w:val="hy-AM"/>
              </w:rPr>
            </w:pPr>
            <w:r w:rsidRPr="00AB02DD">
              <w:rPr>
                <w:rFonts w:ascii="GHEA Grapalat" w:hAnsi="GHEA Grapalat"/>
                <w:color w:val="000000"/>
                <w:sz w:val="24"/>
                <w:szCs w:val="24"/>
                <w:lang w:val="hy-AM"/>
              </w:rPr>
              <w:lastRenderedPageBreak/>
              <w:t>Միաժամանակ անհրաժեշտ է Նախագծի 5-րդ</w:t>
            </w:r>
            <w:r>
              <w:rPr>
                <w:rFonts w:ascii="GHEA Grapalat" w:hAnsi="GHEA Grapalat"/>
                <w:color w:val="000000"/>
                <w:sz w:val="24"/>
                <w:szCs w:val="24"/>
                <w:lang w:val="hy-AM"/>
              </w:rPr>
              <w:t xml:space="preserve"> </w:t>
            </w:r>
            <w:r w:rsidRPr="00AB02DD">
              <w:rPr>
                <w:rFonts w:ascii="GHEA Grapalat" w:hAnsi="GHEA Grapalat"/>
                <w:color w:val="000000"/>
                <w:sz w:val="24"/>
                <w:szCs w:val="24"/>
                <w:lang w:val="hy-AM"/>
              </w:rPr>
              <w:t xml:space="preserve">հոդվածում </w:t>
            </w:r>
            <w:r w:rsidRPr="000A32CF">
              <w:rPr>
                <w:rFonts w:ascii="GHEA Grapalat" w:hAnsi="GHEA Grapalat"/>
                <w:color w:val="000000"/>
                <w:sz w:val="24"/>
                <w:szCs w:val="24"/>
                <w:lang w:val="hy-AM"/>
              </w:rPr>
              <w:t>«նշանակվելուց հետո պաշտոնավարմանը» բառերից առաջ նշված «,» կետադրական նշանը հանել</w:t>
            </w:r>
            <w:r w:rsidRPr="000A32CF">
              <w:rPr>
                <w:rFonts w:ascii="GHEA Grapalat" w:hAnsi="GHEA Grapalat"/>
                <w:color w:val="000000"/>
                <w:lang w:val="hy-AM"/>
              </w:rPr>
              <w:t>:</w:t>
            </w:r>
          </w:p>
          <w:p w14:paraId="6A99FBE5" w14:textId="4E1283D3" w:rsidR="00AB02DD" w:rsidRDefault="00AB02DD" w:rsidP="00AB02DD">
            <w:pPr>
              <w:pStyle w:val="NoSpacing"/>
              <w:spacing w:line="276" w:lineRule="auto"/>
              <w:ind w:left="117" w:right="75" w:hanging="117"/>
              <w:jc w:val="both"/>
              <w:rPr>
                <w:rFonts w:ascii="GHEA Grapalat" w:hAnsi="GHEA Grapalat"/>
                <w:color w:val="000000"/>
                <w:sz w:val="24"/>
                <w:szCs w:val="24"/>
                <w:lang w:val="hy-AM"/>
              </w:rPr>
            </w:pPr>
          </w:p>
        </w:tc>
        <w:tc>
          <w:tcPr>
            <w:tcW w:w="6041" w:type="dxa"/>
            <w:tcBorders>
              <w:top w:val="outset" w:sz="6" w:space="0" w:color="auto"/>
              <w:left w:val="outset" w:sz="6" w:space="0" w:color="auto"/>
              <w:bottom w:val="outset" w:sz="6" w:space="0" w:color="auto"/>
              <w:right w:val="nil"/>
            </w:tcBorders>
            <w:shd w:val="clear" w:color="auto" w:fill="FFFFFF"/>
          </w:tcPr>
          <w:p w14:paraId="63C04A2B" w14:textId="51F6468A" w:rsidR="00AB02DD" w:rsidRPr="00BA73DE" w:rsidRDefault="008335FD" w:rsidP="00C57711">
            <w:pPr>
              <w:pStyle w:val="NoSpacing"/>
              <w:spacing w:line="276" w:lineRule="auto"/>
              <w:ind w:left="105" w:right="75" w:firstLine="0"/>
              <w:rPr>
                <w:rFonts w:ascii="GHEA Grapalat" w:hAnsi="GHEA Grapalat"/>
                <w:color w:val="000000"/>
                <w:sz w:val="24"/>
                <w:szCs w:val="24"/>
                <w:lang w:val="hy-AM"/>
              </w:rPr>
            </w:pPr>
            <w:r w:rsidRPr="00BA73DE">
              <w:rPr>
                <w:rFonts w:ascii="GHEA Grapalat" w:hAnsi="GHEA Grapalat"/>
                <w:color w:val="000000"/>
                <w:sz w:val="24"/>
                <w:szCs w:val="24"/>
                <w:lang w:val="hy-AM"/>
              </w:rPr>
              <w:lastRenderedPageBreak/>
              <w:t>Չի ընդունվել</w:t>
            </w:r>
            <w:r w:rsidR="000A39C4" w:rsidRPr="00BA73DE">
              <w:rPr>
                <w:rFonts w:ascii="GHEA Grapalat" w:hAnsi="GHEA Grapalat"/>
                <w:color w:val="000000"/>
                <w:sz w:val="24"/>
                <w:szCs w:val="24"/>
                <w:lang w:val="hy-AM"/>
              </w:rPr>
              <w:t>:</w:t>
            </w:r>
          </w:p>
          <w:p w14:paraId="3B251C00" w14:textId="2A0E5B99" w:rsidR="00C85BC1" w:rsidRPr="00BA73DE" w:rsidRDefault="00C85BC1" w:rsidP="002D6768">
            <w:pPr>
              <w:pStyle w:val="NoSpacing"/>
              <w:spacing w:line="276" w:lineRule="auto"/>
              <w:ind w:left="105" w:right="75" w:firstLine="0"/>
              <w:rPr>
                <w:rFonts w:ascii="GHEA Grapalat" w:hAnsi="GHEA Grapalat"/>
                <w:color w:val="000000"/>
                <w:sz w:val="24"/>
                <w:szCs w:val="24"/>
                <w:lang w:val="hy-AM"/>
              </w:rPr>
            </w:pPr>
            <w:r w:rsidRPr="00BA73DE">
              <w:rPr>
                <w:rFonts w:ascii="GHEA Grapalat" w:hAnsi="GHEA Grapalat"/>
                <w:color w:val="000000"/>
                <w:sz w:val="24"/>
                <w:szCs w:val="24"/>
                <w:lang w:val="hy-AM"/>
              </w:rPr>
              <w:t xml:space="preserve">Կառավարության 2019 թվականի մայիսի 30-ի թիվ 685-Ն որոշման մեջ կատարվելիք փոփոխություններում և լրացումներում կհստակեցվի այն բժշկական հաստատությունը, որին պետք է համապատասխանաբար դիմեն Բարձրագույն </w:t>
            </w:r>
            <w:r w:rsidRPr="00BA73DE">
              <w:rPr>
                <w:rFonts w:ascii="GHEA Grapalat" w:hAnsi="GHEA Grapalat"/>
                <w:color w:val="000000"/>
                <w:sz w:val="24"/>
                <w:szCs w:val="24"/>
                <w:lang w:val="hy-AM"/>
              </w:rPr>
              <w:lastRenderedPageBreak/>
              <w:t>դատական խորհրդի նախագահը և Լիազոր մարմինը:</w:t>
            </w:r>
          </w:p>
          <w:p w14:paraId="7ACBE3C5" w14:textId="7ECD3F6A" w:rsidR="00360D45" w:rsidRDefault="003A0221" w:rsidP="002D6768">
            <w:pPr>
              <w:pStyle w:val="NoSpacing"/>
              <w:spacing w:line="276" w:lineRule="auto"/>
              <w:ind w:left="105" w:right="75" w:firstLine="0"/>
              <w:rPr>
                <w:rFonts w:ascii="GHEA Grapalat" w:hAnsi="GHEA Grapalat"/>
                <w:color w:val="000000"/>
                <w:sz w:val="24"/>
                <w:szCs w:val="24"/>
                <w:lang w:val="hy-AM"/>
              </w:rPr>
            </w:pPr>
            <w:r w:rsidRPr="00BA73DE">
              <w:rPr>
                <w:rFonts w:ascii="GHEA Grapalat" w:hAnsi="GHEA Grapalat"/>
                <w:color w:val="000000"/>
                <w:sz w:val="24"/>
                <w:szCs w:val="24"/>
                <w:lang w:val="hy-AM"/>
              </w:rPr>
              <w:t xml:space="preserve">Ներկայում </w:t>
            </w:r>
            <w:r w:rsidR="00360D45" w:rsidRPr="00BA73DE">
              <w:rPr>
                <w:rFonts w:ascii="GHEA Grapalat" w:hAnsi="GHEA Grapalat"/>
                <w:color w:val="000000"/>
                <w:sz w:val="24"/>
                <w:szCs w:val="24"/>
                <w:lang w:val="hy-AM"/>
              </w:rPr>
              <w:t xml:space="preserve">Կառավարության 2019 թվականի մայիսի 30-ի թիվ 685-Ն </w:t>
            </w:r>
            <w:r w:rsidR="005431B9" w:rsidRPr="00BA73DE">
              <w:rPr>
                <w:rFonts w:ascii="GHEA Grapalat" w:hAnsi="GHEA Grapalat"/>
                <w:color w:val="000000"/>
                <w:sz w:val="24"/>
                <w:szCs w:val="24"/>
                <w:lang w:val="hy-AM"/>
              </w:rPr>
              <w:t xml:space="preserve">որոշման </w:t>
            </w:r>
            <w:r w:rsidR="00360D45" w:rsidRPr="00BA73DE">
              <w:rPr>
                <w:rFonts w:ascii="GHEA Grapalat" w:hAnsi="GHEA Grapalat"/>
                <w:color w:val="000000"/>
                <w:sz w:val="24"/>
                <w:szCs w:val="24"/>
                <w:lang w:val="hy-AM"/>
              </w:rPr>
              <w:t>շրջանակներում հաստատված կարգով տեղեկանքի տրամադրումն իրականացվում է</w:t>
            </w:r>
            <w:r w:rsidR="002D6768" w:rsidRPr="00BA73DE">
              <w:rPr>
                <w:rFonts w:ascii="Arial Unicode" w:eastAsia="Times New Roman" w:hAnsi="Arial Unicode"/>
                <w:color w:val="000000"/>
                <w:sz w:val="21"/>
                <w:szCs w:val="21"/>
                <w:shd w:val="clear" w:color="auto" w:fill="FFFFFF"/>
                <w:lang w:val="hy-AM" w:eastAsia="ru-RU"/>
              </w:rPr>
              <w:t xml:space="preserve"> </w:t>
            </w:r>
            <w:r w:rsidR="002D6768" w:rsidRPr="00BA73DE">
              <w:rPr>
                <w:rFonts w:ascii="GHEA Grapalat" w:hAnsi="GHEA Grapalat"/>
                <w:color w:val="000000"/>
                <w:sz w:val="24"/>
                <w:szCs w:val="24"/>
                <w:lang w:val="hy-AM"/>
              </w:rPr>
              <w:t>արտահիվանդանոցային բժշկական օգնություն և սպասարկում իրականացնող կազմակերպությունների կողմից: Հետագայում կատարվելիք փոփոխություններում</w:t>
            </w:r>
            <w:r w:rsidR="006B0963" w:rsidRPr="00BA73DE">
              <w:rPr>
                <w:rFonts w:ascii="GHEA Grapalat" w:hAnsi="GHEA Grapalat"/>
                <w:color w:val="000000"/>
                <w:sz w:val="24"/>
                <w:szCs w:val="24"/>
                <w:lang w:val="hy-AM"/>
              </w:rPr>
              <w:t xml:space="preserve"> ևս ամրագրվելու է միևնույն պահանջը</w:t>
            </w:r>
            <w:r w:rsidR="00455E85" w:rsidRPr="00BA73DE">
              <w:rPr>
                <w:rFonts w:ascii="GHEA Grapalat" w:hAnsi="GHEA Grapalat"/>
                <w:color w:val="000000"/>
                <w:sz w:val="24"/>
                <w:szCs w:val="24"/>
                <w:lang w:val="hy-AM"/>
              </w:rPr>
              <w:t xml:space="preserve"> պաշտոնավարող դատավորների համար</w:t>
            </w:r>
            <w:r w:rsidR="006B0963" w:rsidRPr="00BA73DE">
              <w:rPr>
                <w:rFonts w:ascii="GHEA Grapalat" w:hAnsi="GHEA Grapalat"/>
                <w:color w:val="000000"/>
                <w:sz w:val="24"/>
                <w:szCs w:val="24"/>
                <w:lang w:val="hy-AM"/>
              </w:rPr>
              <w:t>:</w:t>
            </w:r>
          </w:p>
          <w:p w14:paraId="136F0CB3" w14:textId="77777777" w:rsidR="006B0963" w:rsidRDefault="006B0963" w:rsidP="002D6768">
            <w:pPr>
              <w:pStyle w:val="NoSpacing"/>
              <w:spacing w:line="276" w:lineRule="auto"/>
              <w:ind w:left="105" w:right="75" w:firstLine="0"/>
              <w:rPr>
                <w:rFonts w:ascii="GHEA Grapalat" w:hAnsi="GHEA Grapalat"/>
                <w:color w:val="000000"/>
                <w:sz w:val="24"/>
                <w:szCs w:val="24"/>
                <w:lang w:val="hy-AM"/>
              </w:rPr>
            </w:pPr>
          </w:p>
          <w:p w14:paraId="3E42347F" w14:textId="77777777" w:rsidR="006B0963" w:rsidRDefault="00F74E4E" w:rsidP="00BE239E">
            <w:pPr>
              <w:pStyle w:val="NoSpacing"/>
              <w:spacing w:line="276" w:lineRule="auto"/>
              <w:ind w:left="105" w:right="75" w:firstLine="0"/>
              <w:rPr>
                <w:rFonts w:ascii="GHEA Grapalat" w:hAnsi="GHEA Grapalat"/>
                <w:color w:val="000000"/>
                <w:sz w:val="24"/>
                <w:szCs w:val="24"/>
                <w:lang w:val="hy-AM"/>
              </w:rPr>
            </w:pPr>
            <w:r w:rsidRPr="00F84E20">
              <w:rPr>
                <w:rFonts w:ascii="GHEA Grapalat" w:hAnsi="GHEA Grapalat"/>
                <w:color w:val="000000"/>
                <w:sz w:val="24"/>
                <w:szCs w:val="24"/>
                <w:lang w:val="hy-AM"/>
              </w:rPr>
              <w:t xml:space="preserve">Ինչ վերաբերում է </w:t>
            </w:r>
            <w:r w:rsidR="00C57711" w:rsidRPr="00F84E20">
              <w:rPr>
                <w:rFonts w:ascii="GHEA Grapalat" w:hAnsi="GHEA Grapalat"/>
                <w:color w:val="000000"/>
                <w:sz w:val="24"/>
                <w:szCs w:val="24"/>
                <w:lang w:val="hy-AM"/>
              </w:rPr>
              <w:t>Բարձրագույն դատական խորհրդի նախագահի և Լիազոր մարմնի</w:t>
            </w:r>
            <w:r w:rsidR="00F84E20">
              <w:rPr>
                <w:rFonts w:ascii="GHEA Grapalat" w:hAnsi="GHEA Grapalat"/>
                <w:color w:val="000000"/>
                <w:sz w:val="24"/>
                <w:szCs w:val="24"/>
                <w:lang w:val="hy-AM"/>
              </w:rPr>
              <w:t xml:space="preserve"> կողմից անմիջապես արտահիվանդանոցային բժշկական  կազմակերություն դիմելու հարցին, ապա հայտնում եմ, որ առաջարկվող փոփոխությունները նպատակ </w:t>
            </w:r>
            <w:r w:rsidR="00BE239E">
              <w:rPr>
                <w:rFonts w:ascii="GHEA Grapalat" w:hAnsi="GHEA Grapalat"/>
                <w:color w:val="000000"/>
                <w:sz w:val="24"/>
                <w:szCs w:val="24"/>
                <w:lang w:val="hy-AM"/>
              </w:rPr>
              <w:t>են</w:t>
            </w:r>
            <w:r w:rsidR="00F84E20">
              <w:rPr>
                <w:rFonts w:ascii="GHEA Grapalat" w:hAnsi="GHEA Grapalat"/>
                <w:color w:val="000000"/>
                <w:sz w:val="24"/>
                <w:szCs w:val="24"/>
                <w:lang w:val="hy-AM"/>
              </w:rPr>
              <w:t xml:space="preserve"> հետապնդում</w:t>
            </w:r>
            <w:r w:rsidR="00BE239E">
              <w:rPr>
                <w:rFonts w:ascii="GHEA Grapalat" w:hAnsi="GHEA Grapalat"/>
                <w:color w:val="000000"/>
                <w:sz w:val="24"/>
                <w:szCs w:val="24"/>
                <w:lang w:val="hy-AM"/>
              </w:rPr>
              <w:t xml:space="preserve"> առավել պարզեցնել գործընթացը: </w:t>
            </w:r>
          </w:p>
          <w:p w14:paraId="4DECBB7B" w14:textId="77777777" w:rsidR="00BE239E" w:rsidRDefault="00BE239E" w:rsidP="00110631">
            <w:pPr>
              <w:pStyle w:val="NoSpacing"/>
              <w:spacing w:line="276" w:lineRule="auto"/>
              <w:ind w:left="105" w:right="75" w:firstLine="0"/>
              <w:rPr>
                <w:rFonts w:ascii="GHEA Grapalat" w:hAnsi="GHEA Grapalat"/>
                <w:color w:val="000000"/>
                <w:sz w:val="24"/>
                <w:szCs w:val="24"/>
                <w:lang w:val="hy-AM"/>
              </w:rPr>
            </w:pPr>
            <w:r>
              <w:rPr>
                <w:rFonts w:ascii="GHEA Grapalat" w:hAnsi="GHEA Grapalat"/>
                <w:color w:val="000000"/>
                <w:sz w:val="24"/>
                <w:szCs w:val="24"/>
                <w:lang w:val="hy-AM"/>
              </w:rPr>
              <w:t xml:space="preserve">Ներկայում </w:t>
            </w:r>
            <w:r w:rsidRPr="00BE239E">
              <w:rPr>
                <w:rFonts w:ascii="GHEA Grapalat" w:hAnsi="GHEA Grapalat"/>
                <w:color w:val="000000"/>
                <w:sz w:val="24"/>
                <w:szCs w:val="24"/>
                <w:lang w:val="hy-AM"/>
              </w:rPr>
              <w:t>դատավորի բժշկական զնն</w:t>
            </w:r>
            <w:r>
              <w:rPr>
                <w:rFonts w:ascii="GHEA Grapalat" w:hAnsi="GHEA Grapalat"/>
                <w:color w:val="000000"/>
                <w:sz w:val="24"/>
                <w:szCs w:val="24"/>
                <w:lang w:val="hy-AM"/>
              </w:rPr>
              <w:t>ությունն իրականացվում է Առողջապահության նախարարության մասնա</w:t>
            </w:r>
            <w:r w:rsidR="00F17BE6">
              <w:rPr>
                <w:rFonts w:ascii="GHEA Grapalat" w:hAnsi="GHEA Grapalat"/>
                <w:color w:val="000000"/>
                <w:sz w:val="24"/>
                <w:szCs w:val="24"/>
                <w:lang w:val="hy-AM"/>
              </w:rPr>
              <w:t>կ</w:t>
            </w:r>
            <w:r>
              <w:rPr>
                <w:rFonts w:ascii="GHEA Grapalat" w:hAnsi="GHEA Grapalat"/>
                <w:color w:val="000000"/>
                <w:sz w:val="24"/>
                <w:szCs w:val="24"/>
                <w:lang w:val="hy-AM"/>
              </w:rPr>
              <w:t>ցությամբ</w:t>
            </w:r>
            <w:r w:rsidRPr="00110631">
              <w:rPr>
                <w:rFonts w:ascii="GHEA Grapalat" w:hAnsi="GHEA Grapalat"/>
                <w:color w:val="000000"/>
                <w:sz w:val="24"/>
                <w:szCs w:val="24"/>
                <w:lang w:val="hy-AM"/>
              </w:rPr>
              <w:t xml:space="preserve">, </w:t>
            </w:r>
            <w:r w:rsidR="00110631">
              <w:rPr>
                <w:rFonts w:ascii="GHEA Grapalat" w:hAnsi="GHEA Grapalat"/>
                <w:color w:val="000000"/>
                <w:sz w:val="24"/>
                <w:szCs w:val="24"/>
                <w:lang w:val="hy-AM"/>
              </w:rPr>
              <w:t xml:space="preserve">ում գործառույթը սահմանափակվում է </w:t>
            </w:r>
            <w:r w:rsidR="00794549">
              <w:rPr>
                <w:rFonts w:ascii="GHEA Grapalat" w:hAnsi="GHEA Grapalat"/>
                <w:color w:val="000000"/>
                <w:sz w:val="24"/>
                <w:szCs w:val="24"/>
                <w:lang w:val="hy-AM"/>
              </w:rPr>
              <w:t>միայն համապատասխան դիմումը արտահիվանդանոցային բժշկական կազմակերպությանը,</w:t>
            </w:r>
            <w:r w:rsidR="005431B9">
              <w:rPr>
                <w:rFonts w:ascii="GHEA Grapalat" w:hAnsi="GHEA Grapalat"/>
                <w:color w:val="000000"/>
                <w:sz w:val="24"/>
                <w:szCs w:val="24"/>
                <w:lang w:val="hy-AM"/>
              </w:rPr>
              <w:t xml:space="preserve"> հոգեբուժական օգնություն և սպասարկում իրականացնող կազմակերպությանը, թմրաբանական  բժշկական օգնություն և </w:t>
            </w:r>
            <w:r w:rsidR="005431B9">
              <w:rPr>
                <w:rFonts w:ascii="GHEA Grapalat" w:hAnsi="GHEA Grapalat"/>
                <w:color w:val="000000"/>
                <w:sz w:val="24"/>
                <w:szCs w:val="24"/>
                <w:lang w:val="hy-AM"/>
              </w:rPr>
              <w:lastRenderedPageBreak/>
              <w:t>սպասարկում իրականացնող կազմակերպությանը ներկայացնելով:</w:t>
            </w:r>
            <w:r w:rsidR="00794549">
              <w:rPr>
                <w:rFonts w:ascii="GHEA Grapalat" w:hAnsi="GHEA Grapalat"/>
                <w:color w:val="000000"/>
                <w:sz w:val="24"/>
                <w:szCs w:val="24"/>
                <w:lang w:val="hy-AM"/>
              </w:rPr>
              <w:t xml:space="preserve"> </w:t>
            </w:r>
            <w:r>
              <w:rPr>
                <w:rFonts w:ascii="GHEA Grapalat" w:hAnsi="GHEA Grapalat"/>
                <w:color w:val="000000"/>
                <w:sz w:val="24"/>
                <w:szCs w:val="24"/>
                <w:lang w:val="hy-AM"/>
              </w:rPr>
              <w:t xml:space="preserve"> </w:t>
            </w:r>
          </w:p>
          <w:p w14:paraId="30617348" w14:textId="51B1701E" w:rsidR="005431B9" w:rsidRPr="00F84E20" w:rsidRDefault="005431B9" w:rsidP="00BA73DE">
            <w:pPr>
              <w:pStyle w:val="NoSpacing"/>
              <w:spacing w:line="276" w:lineRule="auto"/>
              <w:ind w:left="105" w:right="75" w:firstLine="0"/>
              <w:rPr>
                <w:rFonts w:ascii="GHEA Grapalat" w:hAnsi="GHEA Grapalat"/>
                <w:color w:val="000000"/>
                <w:sz w:val="24"/>
                <w:szCs w:val="24"/>
                <w:lang w:val="hy-AM"/>
              </w:rPr>
            </w:pPr>
            <w:r w:rsidRPr="00BA73DE">
              <w:rPr>
                <w:rFonts w:ascii="GHEA Grapalat" w:hAnsi="GHEA Grapalat"/>
                <w:color w:val="000000"/>
                <w:sz w:val="24"/>
                <w:szCs w:val="24"/>
                <w:lang w:val="hy-AM"/>
              </w:rPr>
              <w:t>Նախատեսվում է Կառավարության 2019 թվականի մայիսի 30-ի թիվ 685-Ն որոշման մեջ կատարել անհրաժեշտ փոփոխություններ և լրացումներ, այդ թվում` սահման</w:t>
            </w:r>
            <w:r w:rsidR="001E4466" w:rsidRPr="00BA73DE">
              <w:rPr>
                <w:rFonts w:ascii="GHEA Grapalat" w:hAnsi="GHEA Grapalat"/>
                <w:color w:val="000000"/>
                <w:sz w:val="24"/>
                <w:szCs w:val="24"/>
                <w:lang w:val="hy-AM"/>
              </w:rPr>
              <w:t>ելո</w:t>
            </w:r>
            <w:r w:rsidRPr="00BA73DE">
              <w:rPr>
                <w:rFonts w:ascii="GHEA Grapalat" w:hAnsi="GHEA Grapalat"/>
                <w:color w:val="000000"/>
                <w:sz w:val="24"/>
                <w:szCs w:val="24"/>
                <w:lang w:val="hy-AM"/>
              </w:rPr>
              <w:t>վ արտահիվանդանոցային բժշկական կազմակերպություններին դիմելու</w:t>
            </w:r>
            <w:r w:rsidR="00BA73DE" w:rsidRPr="00BA73DE">
              <w:rPr>
                <w:rFonts w:ascii="GHEA Grapalat" w:hAnsi="GHEA Grapalat"/>
                <w:color w:val="000000"/>
                <w:sz w:val="24"/>
                <w:szCs w:val="24"/>
                <w:lang w:val="hy-AM"/>
              </w:rPr>
              <w:t xml:space="preserve"> կարգը:</w:t>
            </w:r>
          </w:p>
        </w:tc>
        <w:tc>
          <w:tcPr>
            <w:tcW w:w="1723" w:type="dxa"/>
            <w:tcBorders>
              <w:top w:val="outset" w:sz="6" w:space="0" w:color="auto"/>
              <w:left w:val="nil"/>
              <w:bottom w:val="outset" w:sz="6" w:space="0" w:color="auto"/>
              <w:right w:val="outset" w:sz="6" w:space="0" w:color="auto"/>
            </w:tcBorders>
            <w:shd w:val="clear" w:color="auto" w:fill="FFFFFF"/>
          </w:tcPr>
          <w:p w14:paraId="25906AFF" w14:textId="77777777" w:rsidR="00AB02DD" w:rsidRPr="00426F90" w:rsidRDefault="00AB02DD" w:rsidP="00C57711">
            <w:pPr>
              <w:rPr>
                <w:rFonts w:ascii="Calibri" w:hAnsi="Calibri" w:cs="Calibri"/>
                <w:color w:val="000000"/>
                <w:sz w:val="21"/>
                <w:szCs w:val="21"/>
                <w:lang w:val="hy-AM" w:eastAsia="en-US"/>
              </w:rPr>
            </w:pPr>
          </w:p>
        </w:tc>
      </w:tr>
      <w:tr w:rsidR="00423EC3" w:rsidRPr="00426F90" w14:paraId="63200818" w14:textId="77777777" w:rsidTr="00E502CE">
        <w:trPr>
          <w:tblCellSpacing w:w="0" w:type="dxa"/>
          <w:jc w:val="center"/>
        </w:trPr>
        <w:tc>
          <w:tcPr>
            <w:tcW w:w="12050" w:type="dxa"/>
            <w:gridSpan w:val="2"/>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7A678DA8" w14:textId="585EB0A6" w:rsidR="00423EC3" w:rsidRPr="00426F90" w:rsidRDefault="00423EC3" w:rsidP="00E502CE">
            <w:pPr>
              <w:spacing w:before="100" w:beforeAutospacing="1" w:after="100" w:afterAutospacing="1"/>
              <w:jc w:val="center"/>
              <w:rPr>
                <w:rFonts w:ascii="GHEA Grapalat" w:hAnsi="GHEA Grapalat"/>
                <w:color w:val="000000"/>
                <w:lang w:val="hy-AM" w:eastAsia="en-US"/>
              </w:rPr>
            </w:pPr>
            <w:r>
              <w:rPr>
                <w:rFonts w:ascii="GHEA Grapalat" w:hAnsi="GHEA Grapalat"/>
                <w:color w:val="000000"/>
                <w:lang w:val="hy-AM" w:eastAsia="en-US"/>
              </w:rPr>
              <w:lastRenderedPageBreak/>
              <w:t>4</w:t>
            </w:r>
            <w:r w:rsidRPr="002B562E">
              <w:rPr>
                <w:rFonts w:ascii="GHEA Grapalat" w:hAnsi="GHEA Grapalat"/>
                <w:color w:val="000000"/>
                <w:lang w:val="hy-AM" w:eastAsia="en-US"/>
              </w:rPr>
              <w:t xml:space="preserve">. </w:t>
            </w:r>
            <w:r>
              <w:rPr>
                <w:rFonts w:ascii="GHEA Grapalat" w:hAnsi="GHEA Grapalat"/>
                <w:color w:val="000000"/>
                <w:lang w:val="hy-AM" w:eastAsia="en-US"/>
              </w:rPr>
              <w:t>Արդարադատության նախարարություն</w:t>
            </w:r>
          </w:p>
        </w:tc>
        <w:tc>
          <w:tcPr>
            <w:tcW w:w="1723" w:type="dxa"/>
            <w:tcBorders>
              <w:top w:val="outset" w:sz="6" w:space="0" w:color="auto"/>
              <w:left w:val="outset" w:sz="6" w:space="0" w:color="auto"/>
              <w:bottom w:val="outset" w:sz="6" w:space="0" w:color="auto"/>
              <w:right w:val="outset" w:sz="6" w:space="0" w:color="auto"/>
            </w:tcBorders>
            <w:shd w:val="clear" w:color="auto" w:fill="D0D0D0"/>
            <w:hideMark/>
          </w:tcPr>
          <w:p w14:paraId="71B26029" w14:textId="61AB38DD" w:rsidR="00423EC3" w:rsidRPr="00426F90" w:rsidRDefault="00423EC3" w:rsidP="00423EC3">
            <w:pPr>
              <w:jc w:val="center"/>
              <w:rPr>
                <w:rFonts w:ascii="GHEA Grapalat" w:hAnsi="GHEA Grapalat"/>
                <w:color w:val="000000"/>
                <w:lang w:val="hy-AM" w:eastAsia="en-US"/>
              </w:rPr>
            </w:pPr>
            <w:r>
              <w:rPr>
                <w:rFonts w:ascii="GHEA Grapalat" w:hAnsi="GHEA Grapalat"/>
                <w:color w:val="000000"/>
                <w:lang w:val="hy-AM" w:eastAsia="en-US"/>
              </w:rPr>
              <w:t>19.01</w:t>
            </w:r>
            <w:r w:rsidRPr="00DA487D">
              <w:rPr>
                <w:rFonts w:ascii="GHEA Grapalat" w:hAnsi="GHEA Grapalat"/>
                <w:color w:val="000000"/>
                <w:lang w:val="hy-AM" w:eastAsia="en-US"/>
              </w:rPr>
              <w:t>.202</w:t>
            </w:r>
            <w:r>
              <w:rPr>
                <w:rFonts w:ascii="GHEA Grapalat" w:hAnsi="GHEA Grapalat"/>
                <w:color w:val="000000"/>
                <w:lang w:val="hy-AM" w:eastAsia="en-US"/>
              </w:rPr>
              <w:t>3</w:t>
            </w:r>
            <w:r w:rsidRPr="00DA487D">
              <w:rPr>
                <w:rFonts w:ascii="GHEA Grapalat" w:hAnsi="GHEA Grapalat"/>
                <w:color w:val="000000"/>
                <w:lang w:val="hy-AM" w:eastAsia="en-US"/>
              </w:rPr>
              <w:t>թ</w:t>
            </w:r>
            <w:r w:rsidRPr="00DA487D">
              <w:rPr>
                <w:rFonts w:ascii="Cambria Math" w:hAnsi="Cambria Math" w:cs="Cambria Math"/>
                <w:color w:val="000000"/>
                <w:lang w:val="hy-AM" w:eastAsia="en-US"/>
              </w:rPr>
              <w:t>․</w:t>
            </w:r>
          </w:p>
        </w:tc>
      </w:tr>
      <w:tr w:rsidR="00423EC3" w:rsidRPr="006E0E97" w14:paraId="1B96CF18" w14:textId="77777777" w:rsidTr="00E502CE">
        <w:trPr>
          <w:tblCellSpacing w:w="0" w:type="dxa"/>
          <w:jc w:val="center"/>
        </w:trPr>
        <w:tc>
          <w:tcPr>
            <w:tcW w:w="1205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E35CA7" w14:textId="77777777" w:rsidR="00423EC3" w:rsidRPr="00426F90" w:rsidRDefault="00423EC3" w:rsidP="00E502CE">
            <w:pPr>
              <w:rPr>
                <w:rFonts w:ascii="GHEA Grapalat" w:hAnsi="GHEA Grapalat"/>
                <w:color w:val="000000"/>
                <w:lang w:val="hy-AM" w:eastAsia="en-US"/>
              </w:rPr>
            </w:pPr>
          </w:p>
        </w:tc>
        <w:tc>
          <w:tcPr>
            <w:tcW w:w="1723" w:type="dxa"/>
            <w:tcBorders>
              <w:top w:val="outset" w:sz="6" w:space="0" w:color="auto"/>
              <w:left w:val="outset" w:sz="6" w:space="0" w:color="auto"/>
              <w:bottom w:val="outset" w:sz="6" w:space="0" w:color="auto"/>
              <w:right w:val="outset" w:sz="6" w:space="0" w:color="auto"/>
            </w:tcBorders>
            <w:shd w:val="clear" w:color="auto" w:fill="D0D0D0"/>
            <w:hideMark/>
          </w:tcPr>
          <w:p w14:paraId="53666E00" w14:textId="56C8AA9D" w:rsidR="00423EC3" w:rsidRPr="006E0E97" w:rsidRDefault="00423EC3" w:rsidP="00E502CE">
            <w:pPr>
              <w:jc w:val="center"/>
              <w:rPr>
                <w:rFonts w:ascii="GHEA Grapalat" w:hAnsi="GHEA Grapalat"/>
                <w:color w:val="000000"/>
                <w:lang w:val="en-US" w:eastAsia="en-US"/>
              </w:rPr>
            </w:pPr>
            <w:r w:rsidRPr="00DA487D">
              <w:rPr>
                <w:rFonts w:ascii="GHEA Grapalat" w:hAnsi="GHEA Grapalat"/>
                <w:color w:val="000000"/>
                <w:lang w:val="hy-AM" w:eastAsia="en-US"/>
              </w:rPr>
              <w:t xml:space="preserve">№ </w:t>
            </w:r>
            <w:r w:rsidRPr="00423EC3">
              <w:rPr>
                <w:rFonts w:ascii="GHEA Grapalat" w:hAnsi="GHEA Grapalat"/>
                <w:color w:val="000000"/>
                <w:lang w:eastAsia="en-US"/>
              </w:rPr>
              <w:t>//2464-2023</w:t>
            </w:r>
          </w:p>
        </w:tc>
      </w:tr>
      <w:tr w:rsidR="00423EC3" w:rsidRPr="002621C0" w14:paraId="041FAF23" w14:textId="77777777" w:rsidTr="00E502CE">
        <w:trPr>
          <w:tblCellSpacing w:w="0" w:type="dxa"/>
          <w:jc w:val="center"/>
        </w:trPr>
        <w:tc>
          <w:tcPr>
            <w:tcW w:w="6009" w:type="dxa"/>
            <w:tcBorders>
              <w:top w:val="outset" w:sz="6" w:space="0" w:color="auto"/>
              <w:left w:val="outset" w:sz="6" w:space="0" w:color="auto"/>
              <w:bottom w:val="outset" w:sz="6" w:space="0" w:color="auto"/>
              <w:right w:val="outset" w:sz="6" w:space="0" w:color="auto"/>
            </w:tcBorders>
            <w:shd w:val="clear" w:color="auto" w:fill="FFFFFF"/>
          </w:tcPr>
          <w:p w14:paraId="2719D6F0" w14:textId="2E5971B8" w:rsidR="00423EC3" w:rsidRPr="00423EC3" w:rsidRDefault="00423EC3" w:rsidP="00340548">
            <w:pPr>
              <w:numPr>
                <w:ilvl w:val="0"/>
                <w:numId w:val="19"/>
              </w:numPr>
              <w:spacing w:after="160" w:line="259" w:lineRule="auto"/>
              <w:ind w:left="117" w:firstLine="65"/>
              <w:rPr>
                <w:rFonts w:ascii="GHEA Grapalat" w:eastAsiaTheme="minorHAnsi" w:hAnsi="GHEA Grapalat" w:cstheme="minorBidi"/>
                <w:bCs/>
                <w:lang w:val="hy-AM" w:eastAsia="en-US"/>
              </w:rPr>
            </w:pPr>
            <w:r w:rsidRPr="00423EC3">
              <w:rPr>
                <w:rFonts w:ascii="GHEA Grapalat" w:eastAsiaTheme="minorHAnsi" w:hAnsi="GHEA Grapalat" w:cstheme="minorBidi"/>
                <w:bCs/>
                <w:lang w:val="hy-AM" w:eastAsia="en-US"/>
              </w:rPr>
              <w:t>Նախագծի 5-րդ հոդվածի 1-ին մասի 2-րդ</w:t>
            </w:r>
            <w:r>
              <w:rPr>
                <w:rFonts w:ascii="GHEA Grapalat" w:eastAsiaTheme="minorHAnsi" w:hAnsi="GHEA Grapalat" w:cstheme="minorBidi"/>
                <w:bCs/>
                <w:lang w:val="hy-AM" w:eastAsia="en-US"/>
              </w:rPr>
              <w:t xml:space="preserve"> </w:t>
            </w:r>
            <w:r w:rsidRPr="00423EC3">
              <w:rPr>
                <w:rFonts w:ascii="GHEA Grapalat" w:eastAsiaTheme="minorHAnsi" w:hAnsi="GHEA Grapalat" w:cstheme="minorBidi"/>
                <w:bCs/>
                <w:lang w:val="hy-AM" w:eastAsia="en-US"/>
              </w:rPr>
              <w:t xml:space="preserve">կետով նախատեսվում է </w:t>
            </w:r>
            <w:r>
              <w:rPr>
                <w:rFonts w:ascii="GHEA Grapalat" w:eastAsiaTheme="minorHAnsi" w:hAnsi="GHEA Grapalat" w:cstheme="minorBidi"/>
                <w:lang w:val="hy-AM" w:eastAsia="en-US"/>
              </w:rPr>
              <w:t>Օ</w:t>
            </w:r>
            <w:r w:rsidRPr="00423EC3">
              <w:rPr>
                <w:rFonts w:ascii="GHEA Grapalat" w:eastAsiaTheme="minorHAnsi" w:hAnsi="GHEA Grapalat" w:cstheme="minorBidi"/>
                <w:lang w:val="hy-AM" w:eastAsia="en-US"/>
              </w:rPr>
              <w:t>րենսգրքի 159-րդ հոդվածի 3-րդ մասում «դիմում է Լիազոր մարմնին` դատավորի բժշկական զննությունն իրավասու մարմնի միջոցով կազմակերպելու համար» բառերը փոխարինել «դիմում է Լիազոր մարմնին` դատավորի բժշկական զննությունը համապատասխան բժշկական կազմակերպության միջոցով իրականացնելու համար» բառերով:</w:t>
            </w:r>
          </w:p>
          <w:p w14:paraId="25577BD9" w14:textId="77777777" w:rsidR="00423EC3" w:rsidRPr="00423EC3" w:rsidRDefault="00423EC3" w:rsidP="00340548">
            <w:pPr>
              <w:spacing w:after="160" w:line="259" w:lineRule="auto"/>
              <w:ind w:left="117" w:firstLine="142"/>
              <w:rPr>
                <w:rFonts w:ascii="GHEA Grapalat" w:eastAsiaTheme="minorHAnsi" w:hAnsi="GHEA Grapalat" w:cstheme="minorBidi"/>
                <w:lang w:val="hy-AM" w:eastAsia="en-US"/>
              </w:rPr>
            </w:pPr>
            <w:r w:rsidRPr="00423EC3">
              <w:rPr>
                <w:rFonts w:ascii="GHEA Grapalat" w:eastAsiaTheme="minorHAnsi" w:hAnsi="GHEA Grapalat" w:cstheme="minorBidi"/>
                <w:lang w:val="hy-AM" w:eastAsia="en-US"/>
              </w:rPr>
              <w:t>Նախ ցանկանում ենք նշել, որ Օրենսգրքի 102-րդ հոդվածի 4-րդ մասի համաձայն՝ Օրենսգրքի իմաստով լիազոր մարմինը արդարադատության ոլորտում Կառավարության քաղաքականությունը մշակող և իրականացնող նախարարն է:</w:t>
            </w:r>
          </w:p>
          <w:p w14:paraId="2836F253" w14:textId="77777777" w:rsidR="00423EC3" w:rsidRPr="00423EC3" w:rsidRDefault="00423EC3" w:rsidP="00340548">
            <w:pPr>
              <w:spacing w:after="160" w:line="259" w:lineRule="auto"/>
              <w:ind w:left="117" w:firstLine="284"/>
              <w:rPr>
                <w:rFonts w:ascii="GHEA Grapalat" w:eastAsiaTheme="minorHAnsi" w:hAnsi="GHEA Grapalat" w:cstheme="minorBidi"/>
                <w:bCs/>
                <w:lang w:val="hy-AM" w:eastAsia="en-US"/>
              </w:rPr>
            </w:pPr>
            <w:r w:rsidRPr="00423EC3">
              <w:rPr>
                <w:rFonts w:ascii="GHEA Grapalat" w:eastAsiaTheme="minorHAnsi" w:hAnsi="GHEA Grapalat" w:cstheme="minorBidi"/>
                <w:lang w:val="hy-AM" w:eastAsia="en-US"/>
              </w:rPr>
              <w:t xml:space="preserve">Ուստի հիմք ընդունելով վերոգրյալը՝ </w:t>
            </w:r>
            <w:r w:rsidRPr="00423EC3">
              <w:rPr>
                <w:rFonts w:ascii="GHEA Grapalat" w:eastAsiaTheme="minorHAnsi" w:hAnsi="GHEA Grapalat" w:cstheme="minorBidi"/>
                <w:bCs/>
                <w:lang w:val="hy-AM" w:eastAsia="en-US"/>
              </w:rPr>
              <w:t xml:space="preserve">առաջարկում ենք Նախագծից հանել Լիազոր մարմնի (Արդարադատության նախարարության) կողմից դատավորի բժշկական զննության կազմակերպմանն ուղղված գործողությունների կատարումը, քանի որ դատական իշխանության մասով ՀՀ Արդարադատության նախարարության </w:t>
            </w:r>
            <w:r w:rsidRPr="00423EC3">
              <w:rPr>
                <w:rFonts w:ascii="GHEA Grapalat" w:eastAsiaTheme="minorHAnsi" w:hAnsi="GHEA Grapalat" w:cstheme="minorBidi"/>
                <w:bCs/>
                <w:lang w:val="hy-AM" w:eastAsia="en-US"/>
              </w:rPr>
              <w:lastRenderedPageBreak/>
              <w:t>դերակատարությունն ընդհանուր առմամբ սահմանափակվում է տվյալ ոլորտի շուրջ քաղաքականության մշակմամբ, իրավական ակտերի նախագծերի կազմմամբ, ինչպես նաև, ի դեմս նախարարի, դատավորների նկատմամբ կարգապահական վարույթներ հարուցելով, որպիսի պարագայում ավելորդ է դառնում դատավորների բժշկական զննության կազմակերպման հետ կապված գործողություններում Բարձրագույն դատական խորհրդի և համապատասխան բուժհաստատության միջև հարաբերություններում Արդարադատության նախարարության՝ որպես միջանկյալ դեր կատարող մարմնի մասնակցությունը:</w:t>
            </w:r>
          </w:p>
          <w:p w14:paraId="5EFB205C" w14:textId="77777777" w:rsidR="00423EC3" w:rsidRPr="00423EC3" w:rsidRDefault="00423EC3" w:rsidP="00340548">
            <w:pPr>
              <w:spacing w:after="160" w:line="259" w:lineRule="auto"/>
              <w:ind w:left="117" w:firstLine="142"/>
              <w:rPr>
                <w:rFonts w:asciiTheme="minorHAnsi" w:eastAsiaTheme="minorHAnsi" w:hAnsiTheme="minorHAnsi" w:cstheme="minorBidi"/>
                <w:sz w:val="22"/>
                <w:szCs w:val="22"/>
                <w:lang w:val="hy-AM" w:eastAsia="en-US"/>
              </w:rPr>
            </w:pPr>
            <w:r w:rsidRPr="00423EC3">
              <w:rPr>
                <w:rFonts w:ascii="GHEA Grapalat" w:eastAsiaTheme="minorHAnsi" w:hAnsi="GHEA Grapalat" w:cstheme="minorBidi"/>
                <w:bCs/>
                <w:lang w:val="hy-AM" w:eastAsia="en-US"/>
              </w:rPr>
              <w:t xml:space="preserve">Միաժամանակ առաջարկում ենք վերոնշյալ գործառույթների իրականացումը վերապահել Բարձրագույն դատական խորհրդի նախագահին, ինչպես նախատեսված է Նախագծի 4-րդ հոդվածում՝ ևս մեկ անգամ դիտարկելով նաև </w:t>
            </w:r>
            <w:r w:rsidRPr="00423EC3">
              <w:rPr>
                <w:rFonts w:ascii="GHEA Grapalat" w:eastAsiaTheme="minorHAnsi" w:hAnsi="GHEA Grapalat" w:cstheme="minorBidi"/>
                <w:lang w:val="hy-AM" w:eastAsia="en-US"/>
              </w:rPr>
              <w:t>վերոնշյալ  բժշկական զննությունները համապատասխան իրավասու մարմնի կողմից, այլ ոչ թե բարձրագույն դատական խորհրդի նախագահի կողմից՝ անմիջականորեն համապատասխան բժշկական կազմակերպության միջոցով իրականացնելու հարցը:</w:t>
            </w:r>
          </w:p>
        </w:tc>
        <w:tc>
          <w:tcPr>
            <w:tcW w:w="6041" w:type="dxa"/>
            <w:tcBorders>
              <w:top w:val="outset" w:sz="6" w:space="0" w:color="auto"/>
              <w:left w:val="outset" w:sz="6" w:space="0" w:color="auto"/>
              <w:bottom w:val="outset" w:sz="6" w:space="0" w:color="auto"/>
              <w:right w:val="nil"/>
            </w:tcBorders>
            <w:shd w:val="clear" w:color="auto" w:fill="FFFFFF"/>
          </w:tcPr>
          <w:p w14:paraId="63154AD4" w14:textId="77777777" w:rsidR="00423EC3" w:rsidRPr="00423EC3" w:rsidRDefault="00423EC3" w:rsidP="00423EC3">
            <w:pPr>
              <w:spacing w:after="160" w:line="259" w:lineRule="auto"/>
              <w:rPr>
                <w:rFonts w:ascii="GHEA Grapalat" w:eastAsiaTheme="minorHAnsi" w:hAnsi="GHEA Grapalat" w:cstheme="minorBidi"/>
                <w:lang w:val="hy-AM" w:eastAsia="en-US"/>
              </w:rPr>
            </w:pPr>
            <w:r w:rsidRPr="00423EC3">
              <w:rPr>
                <w:rFonts w:ascii="GHEA Grapalat" w:eastAsiaTheme="minorHAnsi" w:hAnsi="GHEA Grapalat" w:cstheme="minorBidi"/>
                <w:lang w:val="hy-AM" w:eastAsia="en-US"/>
              </w:rPr>
              <w:lastRenderedPageBreak/>
              <w:t>Ընդունվել է մասամբ:</w:t>
            </w:r>
          </w:p>
          <w:p w14:paraId="42E485F3" w14:textId="77777777" w:rsidR="00423EC3" w:rsidRPr="00423EC3" w:rsidRDefault="00423EC3" w:rsidP="00423EC3">
            <w:pPr>
              <w:spacing w:after="160" w:line="259" w:lineRule="auto"/>
              <w:rPr>
                <w:rFonts w:ascii="GHEA Grapalat" w:eastAsiaTheme="minorHAnsi" w:hAnsi="GHEA Grapalat" w:cstheme="minorBidi"/>
                <w:lang w:val="hy-AM" w:eastAsia="en-US"/>
              </w:rPr>
            </w:pPr>
          </w:p>
          <w:p w14:paraId="53F39A6F" w14:textId="326F98B5" w:rsidR="00423EC3" w:rsidRPr="00423EC3" w:rsidRDefault="00423EC3" w:rsidP="00423EC3">
            <w:pPr>
              <w:spacing w:after="160" w:line="259" w:lineRule="auto"/>
              <w:rPr>
                <w:rFonts w:ascii="GHEA Grapalat" w:eastAsiaTheme="minorHAnsi" w:hAnsi="GHEA Grapalat" w:cstheme="minorBidi"/>
                <w:lang w:val="hy-AM" w:eastAsia="en-US"/>
              </w:rPr>
            </w:pPr>
            <w:r w:rsidRPr="00423EC3">
              <w:rPr>
                <w:rFonts w:ascii="GHEA Grapalat" w:eastAsiaTheme="minorHAnsi" w:hAnsi="GHEA Grapalat" w:cstheme="minorBidi"/>
                <w:lang w:val="hy-AM" w:eastAsia="en-US"/>
              </w:rPr>
              <w:t xml:space="preserve">Նախագծի 5-րդ հոդվածի 2-րդ մասով փոփոխվող </w:t>
            </w:r>
            <w:r>
              <w:rPr>
                <w:rFonts w:ascii="GHEA Grapalat" w:eastAsiaTheme="minorHAnsi" w:hAnsi="GHEA Grapalat" w:cstheme="minorBidi"/>
                <w:lang w:val="hy-AM" w:eastAsia="en-US"/>
              </w:rPr>
              <w:t xml:space="preserve">Օրենսգրքի </w:t>
            </w:r>
            <w:r w:rsidRPr="00423EC3">
              <w:rPr>
                <w:rFonts w:ascii="GHEA Grapalat" w:eastAsiaTheme="minorHAnsi" w:hAnsi="GHEA Grapalat" w:cstheme="minorBidi"/>
                <w:lang w:val="hy-AM" w:eastAsia="en-US"/>
              </w:rPr>
              <w:t>159-րդ հոդվածի 3-րդ մասի համապատասխան հատվածը վերաշարադրվել է հետևյալ խմբագրությամբ.</w:t>
            </w:r>
          </w:p>
          <w:p w14:paraId="43788863" w14:textId="77777777" w:rsidR="00423EC3" w:rsidRPr="00423EC3" w:rsidRDefault="00423EC3" w:rsidP="00423EC3">
            <w:pPr>
              <w:spacing w:after="160" w:line="259" w:lineRule="auto"/>
              <w:rPr>
                <w:rFonts w:ascii="GHEA Grapalat" w:eastAsiaTheme="minorHAnsi" w:hAnsi="GHEA Grapalat" w:cstheme="minorBidi"/>
                <w:lang w:val="hy-AM" w:eastAsia="en-US"/>
              </w:rPr>
            </w:pPr>
            <w:r w:rsidRPr="00423EC3">
              <w:rPr>
                <w:rFonts w:ascii="GHEA Grapalat" w:eastAsiaTheme="minorHAnsi" w:hAnsi="GHEA Grapalat" w:cstheme="minorBidi"/>
                <w:lang w:val="hy-AM" w:eastAsia="en-US"/>
              </w:rPr>
              <w:t>«դիմում է Բարձրագույն դատական խորհրդին` դատավորի բժշկական զննությունը համապատասխան բժշկական կազմակերպության միջոցով իրականացնելու համար»:</w:t>
            </w:r>
          </w:p>
          <w:p w14:paraId="021525AB" w14:textId="77777777" w:rsidR="00423EC3" w:rsidRPr="00423EC3" w:rsidRDefault="00423EC3" w:rsidP="00423EC3">
            <w:pPr>
              <w:spacing w:after="160" w:line="259" w:lineRule="auto"/>
              <w:rPr>
                <w:rFonts w:ascii="GHEA Grapalat" w:eastAsiaTheme="minorHAnsi" w:hAnsi="GHEA Grapalat" w:cstheme="minorBidi"/>
                <w:lang w:val="hy-AM" w:eastAsia="en-US"/>
              </w:rPr>
            </w:pPr>
          </w:p>
          <w:p w14:paraId="0052D396" w14:textId="2A6328FD" w:rsidR="00423EC3" w:rsidRPr="00423EC3" w:rsidRDefault="00423EC3" w:rsidP="007504AA">
            <w:pPr>
              <w:spacing w:after="160" w:line="259" w:lineRule="auto"/>
              <w:rPr>
                <w:rFonts w:asciiTheme="minorHAnsi" w:eastAsiaTheme="minorHAnsi" w:hAnsiTheme="minorHAnsi" w:cstheme="minorBidi"/>
                <w:sz w:val="22"/>
                <w:szCs w:val="22"/>
                <w:lang w:val="hy-AM" w:eastAsia="en-US"/>
              </w:rPr>
            </w:pPr>
            <w:r w:rsidRPr="00423EC3">
              <w:rPr>
                <w:rFonts w:ascii="GHEA Grapalat" w:eastAsiaTheme="minorHAnsi" w:hAnsi="GHEA Grapalat" w:cstheme="minorBidi"/>
                <w:lang w:val="hy-AM" w:eastAsia="en-US"/>
              </w:rPr>
              <w:t>Ինչ վերաբերում է բժշկական զննությունները իրավասու մարմնի միջոցով իրականացնելու հարցին, ապա հայտնում</w:t>
            </w:r>
            <w:r w:rsidR="002621C0" w:rsidRPr="002621C0">
              <w:rPr>
                <w:rFonts w:ascii="GHEA Grapalat" w:eastAsiaTheme="minorHAnsi" w:hAnsi="GHEA Grapalat" w:cstheme="minorBidi"/>
                <w:lang w:val="hy-AM" w:eastAsia="en-US"/>
              </w:rPr>
              <w:t xml:space="preserve"> </w:t>
            </w:r>
            <w:r w:rsidR="002621C0">
              <w:rPr>
                <w:rFonts w:ascii="GHEA Grapalat" w:eastAsiaTheme="minorHAnsi" w:hAnsi="GHEA Grapalat" w:cstheme="minorBidi"/>
                <w:lang w:val="hy-AM" w:eastAsia="en-US"/>
              </w:rPr>
              <w:t>եմ</w:t>
            </w:r>
            <w:r w:rsidRPr="00423EC3">
              <w:rPr>
                <w:rFonts w:ascii="GHEA Grapalat" w:eastAsiaTheme="minorHAnsi" w:hAnsi="GHEA Grapalat" w:cstheme="minorBidi"/>
                <w:lang w:val="hy-AM" w:eastAsia="en-US"/>
              </w:rPr>
              <w:t>, որ դրա ոչ նպատակահարմար լինելու հանգամանքը նշվել է Նախագծի հիմնավորման մեջ:</w:t>
            </w:r>
          </w:p>
        </w:tc>
        <w:tc>
          <w:tcPr>
            <w:tcW w:w="1723" w:type="dxa"/>
            <w:tcBorders>
              <w:top w:val="outset" w:sz="6" w:space="0" w:color="auto"/>
              <w:left w:val="nil"/>
              <w:bottom w:val="outset" w:sz="6" w:space="0" w:color="auto"/>
              <w:right w:val="outset" w:sz="6" w:space="0" w:color="auto"/>
            </w:tcBorders>
            <w:shd w:val="clear" w:color="auto" w:fill="FFFFFF"/>
          </w:tcPr>
          <w:p w14:paraId="048BD965" w14:textId="77777777" w:rsidR="00423EC3" w:rsidRPr="00423EC3" w:rsidRDefault="00423EC3" w:rsidP="00423EC3">
            <w:pPr>
              <w:spacing w:after="160" w:line="259" w:lineRule="auto"/>
              <w:rPr>
                <w:rFonts w:asciiTheme="minorHAnsi" w:eastAsiaTheme="minorHAnsi" w:hAnsiTheme="minorHAnsi" w:cstheme="minorBidi"/>
                <w:sz w:val="22"/>
                <w:szCs w:val="22"/>
                <w:lang w:val="hy-AM" w:eastAsia="en-US"/>
              </w:rPr>
            </w:pPr>
          </w:p>
        </w:tc>
      </w:tr>
    </w:tbl>
    <w:p w14:paraId="24F34225" w14:textId="77777777" w:rsidR="00EA400F" w:rsidRPr="00426F90" w:rsidRDefault="00EA400F" w:rsidP="00EA400F">
      <w:pPr>
        <w:shd w:val="clear" w:color="auto" w:fill="FFFFFF"/>
        <w:ind w:firstLine="375"/>
        <w:rPr>
          <w:rFonts w:ascii="GHEA Grapalat" w:hAnsi="GHEA Grapalat"/>
          <w:sz w:val="20"/>
          <w:szCs w:val="20"/>
          <w:lang w:val="hy-AM"/>
        </w:rPr>
      </w:pPr>
    </w:p>
    <w:sectPr w:rsidR="00EA400F" w:rsidRPr="00426F90" w:rsidSect="00067AD4">
      <w:pgSz w:w="16838" w:h="11906" w:orient="landscape"/>
      <w:pgMar w:top="705" w:right="167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192"/>
    <w:multiLevelType w:val="hybridMultilevel"/>
    <w:tmpl w:val="B40E1D9E"/>
    <w:lvl w:ilvl="0" w:tplc="4C641C1E">
      <w:start w:val="1"/>
      <w:numFmt w:val="decimal"/>
      <w:lvlText w:val="%1."/>
      <w:lvlJc w:val="lef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33CD4"/>
    <w:multiLevelType w:val="hybridMultilevel"/>
    <w:tmpl w:val="22E055BE"/>
    <w:lvl w:ilvl="0" w:tplc="533CB9E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12EE5F16"/>
    <w:multiLevelType w:val="hybridMultilevel"/>
    <w:tmpl w:val="093E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70EC"/>
    <w:multiLevelType w:val="hybridMultilevel"/>
    <w:tmpl w:val="73B0BB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6614989"/>
    <w:multiLevelType w:val="hybridMultilevel"/>
    <w:tmpl w:val="9B942276"/>
    <w:lvl w:ilvl="0" w:tplc="0409000F">
      <w:start w:val="1"/>
      <w:numFmt w:val="decimal"/>
      <w:lvlText w:val="%1."/>
      <w:lvlJc w:val="left"/>
      <w:pPr>
        <w:ind w:left="135" w:hanging="360"/>
      </w:p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5" w15:restartNumberingAfterBreak="0">
    <w:nsid w:val="17426741"/>
    <w:multiLevelType w:val="hybridMultilevel"/>
    <w:tmpl w:val="C2BAE3B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194D66BD"/>
    <w:multiLevelType w:val="hybridMultilevel"/>
    <w:tmpl w:val="C2BAE3B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1BAB37DD"/>
    <w:multiLevelType w:val="hybridMultilevel"/>
    <w:tmpl w:val="4094F9F4"/>
    <w:lvl w:ilvl="0" w:tplc="5B40FF5E">
      <w:start w:val="1"/>
      <w:numFmt w:val="decimal"/>
      <w:lvlText w:val="%1."/>
      <w:lvlJc w:val="left"/>
      <w:pPr>
        <w:ind w:left="251" w:hanging="360"/>
      </w:pPr>
      <w:rPr>
        <w:rFonts w:hint="default"/>
        <w:color w:val="auto"/>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8" w15:restartNumberingAfterBreak="0">
    <w:nsid w:val="2186466D"/>
    <w:multiLevelType w:val="hybridMultilevel"/>
    <w:tmpl w:val="C2BAE3B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2D694094"/>
    <w:multiLevelType w:val="hybridMultilevel"/>
    <w:tmpl w:val="7FD2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E2899"/>
    <w:multiLevelType w:val="hybridMultilevel"/>
    <w:tmpl w:val="AEB85588"/>
    <w:lvl w:ilvl="0" w:tplc="F0CEC50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B95B0A"/>
    <w:multiLevelType w:val="hybridMultilevel"/>
    <w:tmpl w:val="C2BAE3B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15:restartNumberingAfterBreak="0">
    <w:nsid w:val="39BE6181"/>
    <w:multiLevelType w:val="hybridMultilevel"/>
    <w:tmpl w:val="B2D8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D4C89"/>
    <w:multiLevelType w:val="hybridMultilevel"/>
    <w:tmpl w:val="C2BAE3B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5FB1515E"/>
    <w:multiLevelType w:val="hybridMultilevel"/>
    <w:tmpl w:val="C2BAE3B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73B93F3D"/>
    <w:multiLevelType w:val="hybridMultilevel"/>
    <w:tmpl w:val="A69EA094"/>
    <w:lvl w:ilvl="0" w:tplc="481AA0E2">
      <w:start w:val="1"/>
      <w:numFmt w:val="decimal"/>
      <w:lvlText w:val="%1."/>
      <w:lvlJc w:val="left"/>
      <w:pPr>
        <w:ind w:left="99" w:hanging="510"/>
      </w:pPr>
      <w:rPr>
        <w:rFonts w:hint="default"/>
      </w:rPr>
    </w:lvl>
    <w:lvl w:ilvl="1" w:tplc="04090019" w:tentative="1">
      <w:start w:val="1"/>
      <w:numFmt w:val="lowerLetter"/>
      <w:lvlText w:val="%2."/>
      <w:lvlJc w:val="left"/>
      <w:pPr>
        <w:ind w:left="669" w:hanging="360"/>
      </w:pPr>
    </w:lvl>
    <w:lvl w:ilvl="2" w:tplc="0409001B" w:tentative="1">
      <w:start w:val="1"/>
      <w:numFmt w:val="lowerRoman"/>
      <w:lvlText w:val="%3."/>
      <w:lvlJc w:val="right"/>
      <w:pPr>
        <w:ind w:left="1389" w:hanging="180"/>
      </w:pPr>
    </w:lvl>
    <w:lvl w:ilvl="3" w:tplc="0409000F" w:tentative="1">
      <w:start w:val="1"/>
      <w:numFmt w:val="decimal"/>
      <w:lvlText w:val="%4."/>
      <w:lvlJc w:val="left"/>
      <w:pPr>
        <w:ind w:left="2109" w:hanging="360"/>
      </w:pPr>
    </w:lvl>
    <w:lvl w:ilvl="4" w:tplc="04090019" w:tentative="1">
      <w:start w:val="1"/>
      <w:numFmt w:val="lowerLetter"/>
      <w:lvlText w:val="%5."/>
      <w:lvlJc w:val="left"/>
      <w:pPr>
        <w:ind w:left="2829" w:hanging="360"/>
      </w:pPr>
    </w:lvl>
    <w:lvl w:ilvl="5" w:tplc="0409001B" w:tentative="1">
      <w:start w:val="1"/>
      <w:numFmt w:val="lowerRoman"/>
      <w:lvlText w:val="%6."/>
      <w:lvlJc w:val="right"/>
      <w:pPr>
        <w:ind w:left="3549" w:hanging="180"/>
      </w:pPr>
    </w:lvl>
    <w:lvl w:ilvl="6" w:tplc="0409000F" w:tentative="1">
      <w:start w:val="1"/>
      <w:numFmt w:val="decimal"/>
      <w:lvlText w:val="%7."/>
      <w:lvlJc w:val="left"/>
      <w:pPr>
        <w:ind w:left="4269" w:hanging="360"/>
      </w:pPr>
    </w:lvl>
    <w:lvl w:ilvl="7" w:tplc="04090019" w:tentative="1">
      <w:start w:val="1"/>
      <w:numFmt w:val="lowerLetter"/>
      <w:lvlText w:val="%8."/>
      <w:lvlJc w:val="left"/>
      <w:pPr>
        <w:ind w:left="4989" w:hanging="360"/>
      </w:pPr>
    </w:lvl>
    <w:lvl w:ilvl="8" w:tplc="0409001B" w:tentative="1">
      <w:start w:val="1"/>
      <w:numFmt w:val="lowerRoman"/>
      <w:lvlText w:val="%9."/>
      <w:lvlJc w:val="right"/>
      <w:pPr>
        <w:ind w:left="5709" w:hanging="180"/>
      </w:pPr>
    </w:lvl>
  </w:abstractNum>
  <w:abstractNum w:abstractNumId="16" w15:restartNumberingAfterBreak="0">
    <w:nsid w:val="742501FD"/>
    <w:multiLevelType w:val="hybridMultilevel"/>
    <w:tmpl w:val="C2BAE3B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7A9921CE"/>
    <w:multiLevelType w:val="hybridMultilevel"/>
    <w:tmpl w:val="33025A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7BBA53D6"/>
    <w:multiLevelType w:val="hybridMultilevel"/>
    <w:tmpl w:val="DCD2045C"/>
    <w:lvl w:ilvl="0" w:tplc="5ACA6F14">
      <w:start w:val="1"/>
      <w:numFmt w:val="decimal"/>
      <w:lvlText w:val="%1."/>
      <w:lvlJc w:val="left"/>
      <w:pPr>
        <w:ind w:left="60" w:hanging="645"/>
      </w:pPr>
      <w:rPr>
        <w:rFonts w:hint="default"/>
      </w:rPr>
    </w:lvl>
    <w:lvl w:ilvl="1" w:tplc="04090019" w:tentative="1">
      <w:start w:val="1"/>
      <w:numFmt w:val="lowerLetter"/>
      <w:lvlText w:val="%2."/>
      <w:lvlJc w:val="left"/>
      <w:pPr>
        <w:ind w:left="495" w:hanging="360"/>
      </w:pPr>
    </w:lvl>
    <w:lvl w:ilvl="2" w:tplc="0409001B" w:tentative="1">
      <w:start w:val="1"/>
      <w:numFmt w:val="lowerRoman"/>
      <w:lvlText w:val="%3."/>
      <w:lvlJc w:val="right"/>
      <w:pPr>
        <w:ind w:left="1215" w:hanging="180"/>
      </w:pPr>
    </w:lvl>
    <w:lvl w:ilvl="3" w:tplc="0409000F" w:tentative="1">
      <w:start w:val="1"/>
      <w:numFmt w:val="decimal"/>
      <w:lvlText w:val="%4."/>
      <w:lvlJc w:val="left"/>
      <w:pPr>
        <w:ind w:left="1935" w:hanging="360"/>
      </w:pPr>
    </w:lvl>
    <w:lvl w:ilvl="4" w:tplc="04090019" w:tentative="1">
      <w:start w:val="1"/>
      <w:numFmt w:val="lowerLetter"/>
      <w:lvlText w:val="%5."/>
      <w:lvlJc w:val="left"/>
      <w:pPr>
        <w:ind w:left="2655" w:hanging="360"/>
      </w:pPr>
    </w:lvl>
    <w:lvl w:ilvl="5" w:tplc="0409001B" w:tentative="1">
      <w:start w:val="1"/>
      <w:numFmt w:val="lowerRoman"/>
      <w:lvlText w:val="%6."/>
      <w:lvlJc w:val="right"/>
      <w:pPr>
        <w:ind w:left="3375" w:hanging="180"/>
      </w:pPr>
    </w:lvl>
    <w:lvl w:ilvl="6" w:tplc="0409000F" w:tentative="1">
      <w:start w:val="1"/>
      <w:numFmt w:val="decimal"/>
      <w:lvlText w:val="%7."/>
      <w:lvlJc w:val="left"/>
      <w:pPr>
        <w:ind w:left="4095" w:hanging="360"/>
      </w:pPr>
    </w:lvl>
    <w:lvl w:ilvl="7" w:tplc="04090019" w:tentative="1">
      <w:start w:val="1"/>
      <w:numFmt w:val="lowerLetter"/>
      <w:lvlText w:val="%8."/>
      <w:lvlJc w:val="left"/>
      <w:pPr>
        <w:ind w:left="4815" w:hanging="360"/>
      </w:pPr>
    </w:lvl>
    <w:lvl w:ilvl="8" w:tplc="0409001B" w:tentative="1">
      <w:start w:val="1"/>
      <w:numFmt w:val="lowerRoman"/>
      <w:lvlText w:val="%9."/>
      <w:lvlJc w:val="right"/>
      <w:pPr>
        <w:ind w:left="5535" w:hanging="180"/>
      </w:pPr>
    </w:lvl>
  </w:abstractNum>
  <w:abstractNum w:abstractNumId="19" w15:restartNumberingAfterBreak="0">
    <w:nsid w:val="7C4F4916"/>
    <w:multiLevelType w:val="hybridMultilevel"/>
    <w:tmpl w:val="16C4CF5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10"/>
  </w:num>
  <w:num w:numId="5">
    <w:abstractNumId w:val="7"/>
  </w:num>
  <w:num w:numId="6">
    <w:abstractNumId w:val="9"/>
  </w:num>
  <w:num w:numId="7">
    <w:abstractNumId w:val="2"/>
  </w:num>
  <w:num w:numId="8">
    <w:abstractNumId w:val="0"/>
  </w:num>
  <w:num w:numId="9">
    <w:abstractNumId w:val="12"/>
  </w:num>
  <w:num w:numId="10">
    <w:abstractNumId w:val="4"/>
  </w:num>
  <w:num w:numId="11">
    <w:abstractNumId w:val="18"/>
  </w:num>
  <w:num w:numId="12">
    <w:abstractNumId w:val="3"/>
  </w:num>
  <w:num w:numId="13">
    <w:abstractNumId w:val="15"/>
  </w:num>
  <w:num w:numId="14">
    <w:abstractNumId w:val="11"/>
  </w:num>
  <w:num w:numId="15">
    <w:abstractNumId w:val="5"/>
  </w:num>
  <w:num w:numId="16">
    <w:abstractNumId w:val="8"/>
  </w:num>
  <w:num w:numId="17">
    <w:abstractNumId w:val="6"/>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BB"/>
    <w:rsid w:val="000019B3"/>
    <w:rsid w:val="00002C09"/>
    <w:rsid w:val="00011B90"/>
    <w:rsid w:val="0001449B"/>
    <w:rsid w:val="00015949"/>
    <w:rsid w:val="00031B9A"/>
    <w:rsid w:val="000335EE"/>
    <w:rsid w:val="00041669"/>
    <w:rsid w:val="000443AE"/>
    <w:rsid w:val="00055BB0"/>
    <w:rsid w:val="00067AD4"/>
    <w:rsid w:val="00074030"/>
    <w:rsid w:val="00081671"/>
    <w:rsid w:val="000831E3"/>
    <w:rsid w:val="00083600"/>
    <w:rsid w:val="00087BD6"/>
    <w:rsid w:val="0009550C"/>
    <w:rsid w:val="000961BE"/>
    <w:rsid w:val="000A3034"/>
    <w:rsid w:val="000A32CF"/>
    <w:rsid w:val="000A39C4"/>
    <w:rsid w:val="000C222D"/>
    <w:rsid w:val="000C5F61"/>
    <w:rsid w:val="000D2763"/>
    <w:rsid w:val="000D331A"/>
    <w:rsid w:val="000D7A41"/>
    <w:rsid w:val="000F7A89"/>
    <w:rsid w:val="001013E1"/>
    <w:rsid w:val="00101EF2"/>
    <w:rsid w:val="00110631"/>
    <w:rsid w:val="00136090"/>
    <w:rsid w:val="00151220"/>
    <w:rsid w:val="00161088"/>
    <w:rsid w:val="00163EC5"/>
    <w:rsid w:val="0016756A"/>
    <w:rsid w:val="001703BF"/>
    <w:rsid w:val="00181341"/>
    <w:rsid w:val="00181C68"/>
    <w:rsid w:val="00186F88"/>
    <w:rsid w:val="00194423"/>
    <w:rsid w:val="001944EC"/>
    <w:rsid w:val="00194CF3"/>
    <w:rsid w:val="00195026"/>
    <w:rsid w:val="001A4176"/>
    <w:rsid w:val="001A546F"/>
    <w:rsid w:val="001E4466"/>
    <w:rsid w:val="001E4E8C"/>
    <w:rsid w:val="001F4205"/>
    <w:rsid w:val="00203A6F"/>
    <w:rsid w:val="00205004"/>
    <w:rsid w:val="00220C3A"/>
    <w:rsid w:val="0022234C"/>
    <w:rsid w:val="00230DB6"/>
    <w:rsid w:val="002363C7"/>
    <w:rsid w:val="00244712"/>
    <w:rsid w:val="002621C0"/>
    <w:rsid w:val="00264989"/>
    <w:rsid w:val="00267DC1"/>
    <w:rsid w:val="00281077"/>
    <w:rsid w:val="00284164"/>
    <w:rsid w:val="00284567"/>
    <w:rsid w:val="0028512C"/>
    <w:rsid w:val="002A5A67"/>
    <w:rsid w:val="002B562E"/>
    <w:rsid w:val="002B7F01"/>
    <w:rsid w:val="002C47E4"/>
    <w:rsid w:val="002C5292"/>
    <w:rsid w:val="002C5D14"/>
    <w:rsid w:val="002C74AB"/>
    <w:rsid w:val="002D0C19"/>
    <w:rsid w:val="002D2147"/>
    <w:rsid w:val="002D53E8"/>
    <w:rsid w:val="002D6768"/>
    <w:rsid w:val="002F2B4E"/>
    <w:rsid w:val="002F2FC5"/>
    <w:rsid w:val="0030566E"/>
    <w:rsid w:val="003244CC"/>
    <w:rsid w:val="003249BE"/>
    <w:rsid w:val="0033402D"/>
    <w:rsid w:val="00336727"/>
    <w:rsid w:val="00340548"/>
    <w:rsid w:val="00351AA7"/>
    <w:rsid w:val="00357F8A"/>
    <w:rsid w:val="00360D45"/>
    <w:rsid w:val="0037111C"/>
    <w:rsid w:val="00377F40"/>
    <w:rsid w:val="00385F17"/>
    <w:rsid w:val="00397EBF"/>
    <w:rsid w:val="003A0221"/>
    <w:rsid w:val="003A1A9B"/>
    <w:rsid w:val="003A21F9"/>
    <w:rsid w:val="003A2D7A"/>
    <w:rsid w:val="003B1A45"/>
    <w:rsid w:val="003B5E5D"/>
    <w:rsid w:val="003C0820"/>
    <w:rsid w:val="003C342C"/>
    <w:rsid w:val="003E0AB8"/>
    <w:rsid w:val="00411B94"/>
    <w:rsid w:val="004140FD"/>
    <w:rsid w:val="00417F6C"/>
    <w:rsid w:val="00423EC3"/>
    <w:rsid w:val="00424224"/>
    <w:rsid w:val="00426F90"/>
    <w:rsid w:val="00431F0A"/>
    <w:rsid w:val="0045400B"/>
    <w:rsid w:val="0045502D"/>
    <w:rsid w:val="00455BAC"/>
    <w:rsid w:val="00455E85"/>
    <w:rsid w:val="00460848"/>
    <w:rsid w:val="00460BBE"/>
    <w:rsid w:val="00461670"/>
    <w:rsid w:val="004865C8"/>
    <w:rsid w:val="00486864"/>
    <w:rsid w:val="00486D86"/>
    <w:rsid w:val="00494967"/>
    <w:rsid w:val="004B0835"/>
    <w:rsid w:val="004B094D"/>
    <w:rsid w:val="004B333A"/>
    <w:rsid w:val="004B3CFA"/>
    <w:rsid w:val="004B7076"/>
    <w:rsid w:val="004D3691"/>
    <w:rsid w:val="004F0C6D"/>
    <w:rsid w:val="004F3953"/>
    <w:rsid w:val="0050043F"/>
    <w:rsid w:val="005039AD"/>
    <w:rsid w:val="00507C62"/>
    <w:rsid w:val="005239C1"/>
    <w:rsid w:val="00526AC2"/>
    <w:rsid w:val="00527E8A"/>
    <w:rsid w:val="00541021"/>
    <w:rsid w:val="005431B9"/>
    <w:rsid w:val="00544D41"/>
    <w:rsid w:val="00590BB3"/>
    <w:rsid w:val="00593B5B"/>
    <w:rsid w:val="00596B65"/>
    <w:rsid w:val="005A6271"/>
    <w:rsid w:val="005A77FC"/>
    <w:rsid w:val="005B25B5"/>
    <w:rsid w:val="005C02A2"/>
    <w:rsid w:val="005C3899"/>
    <w:rsid w:val="005C4676"/>
    <w:rsid w:val="005C5295"/>
    <w:rsid w:val="005C5C60"/>
    <w:rsid w:val="005C5C87"/>
    <w:rsid w:val="005C6393"/>
    <w:rsid w:val="005D33B8"/>
    <w:rsid w:val="005D4620"/>
    <w:rsid w:val="005E0DCF"/>
    <w:rsid w:val="005E410F"/>
    <w:rsid w:val="005E7E4A"/>
    <w:rsid w:val="005F0151"/>
    <w:rsid w:val="006123E5"/>
    <w:rsid w:val="006165D2"/>
    <w:rsid w:val="00622C81"/>
    <w:rsid w:val="00633D34"/>
    <w:rsid w:val="00637507"/>
    <w:rsid w:val="00641818"/>
    <w:rsid w:val="00645130"/>
    <w:rsid w:val="00654F02"/>
    <w:rsid w:val="00660B5B"/>
    <w:rsid w:val="006618AF"/>
    <w:rsid w:val="006816D2"/>
    <w:rsid w:val="006943C8"/>
    <w:rsid w:val="006A5178"/>
    <w:rsid w:val="006B0963"/>
    <w:rsid w:val="006B5C5E"/>
    <w:rsid w:val="006B5EA9"/>
    <w:rsid w:val="006C4511"/>
    <w:rsid w:val="006C5795"/>
    <w:rsid w:val="006D1566"/>
    <w:rsid w:val="006E0E97"/>
    <w:rsid w:val="00700DCF"/>
    <w:rsid w:val="00706776"/>
    <w:rsid w:val="00730AF7"/>
    <w:rsid w:val="007345EB"/>
    <w:rsid w:val="007504AA"/>
    <w:rsid w:val="0075068A"/>
    <w:rsid w:val="00784EC3"/>
    <w:rsid w:val="00790930"/>
    <w:rsid w:val="00794549"/>
    <w:rsid w:val="00795C7A"/>
    <w:rsid w:val="00797262"/>
    <w:rsid w:val="007B14C3"/>
    <w:rsid w:val="007B1BD7"/>
    <w:rsid w:val="007C3B35"/>
    <w:rsid w:val="007C6731"/>
    <w:rsid w:val="007D5BE2"/>
    <w:rsid w:val="007E1F6F"/>
    <w:rsid w:val="007F3614"/>
    <w:rsid w:val="00805E5D"/>
    <w:rsid w:val="00811639"/>
    <w:rsid w:val="00812180"/>
    <w:rsid w:val="00812B4C"/>
    <w:rsid w:val="0081590F"/>
    <w:rsid w:val="00830929"/>
    <w:rsid w:val="00831613"/>
    <w:rsid w:val="008335FD"/>
    <w:rsid w:val="00851CDE"/>
    <w:rsid w:val="008629AD"/>
    <w:rsid w:val="00862C06"/>
    <w:rsid w:val="00863B2D"/>
    <w:rsid w:val="00873FB7"/>
    <w:rsid w:val="00875BD7"/>
    <w:rsid w:val="00881A76"/>
    <w:rsid w:val="008864EB"/>
    <w:rsid w:val="008927C2"/>
    <w:rsid w:val="008B3BD3"/>
    <w:rsid w:val="008B5DE4"/>
    <w:rsid w:val="008C732A"/>
    <w:rsid w:val="008D5900"/>
    <w:rsid w:val="008E4B74"/>
    <w:rsid w:val="008E6A41"/>
    <w:rsid w:val="008F6A26"/>
    <w:rsid w:val="0090340A"/>
    <w:rsid w:val="009064DA"/>
    <w:rsid w:val="00915FD0"/>
    <w:rsid w:val="0092269B"/>
    <w:rsid w:val="009472DE"/>
    <w:rsid w:val="00950841"/>
    <w:rsid w:val="00961957"/>
    <w:rsid w:val="00966131"/>
    <w:rsid w:val="009716EE"/>
    <w:rsid w:val="009742B3"/>
    <w:rsid w:val="00994E60"/>
    <w:rsid w:val="009B5766"/>
    <w:rsid w:val="009C1327"/>
    <w:rsid w:val="009D04B8"/>
    <w:rsid w:val="009D6609"/>
    <w:rsid w:val="009D76A6"/>
    <w:rsid w:val="009D7A4D"/>
    <w:rsid w:val="009E3E13"/>
    <w:rsid w:val="009E6054"/>
    <w:rsid w:val="00A05059"/>
    <w:rsid w:val="00A21994"/>
    <w:rsid w:val="00A26DCC"/>
    <w:rsid w:val="00A30EA0"/>
    <w:rsid w:val="00A36DF9"/>
    <w:rsid w:val="00A4270D"/>
    <w:rsid w:val="00A53CA7"/>
    <w:rsid w:val="00A54EA8"/>
    <w:rsid w:val="00A55259"/>
    <w:rsid w:val="00A778CA"/>
    <w:rsid w:val="00A80124"/>
    <w:rsid w:val="00A837A5"/>
    <w:rsid w:val="00A83916"/>
    <w:rsid w:val="00AA1880"/>
    <w:rsid w:val="00AA72F8"/>
    <w:rsid w:val="00AA7AD2"/>
    <w:rsid w:val="00AB02DD"/>
    <w:rsid w:val="00AB038E"/>
    <w:rsid w:val="00AB4AC8"/>
    <w:rsid w:val="00AD55AB"/>
    <w:rsid w:val="00AD7C12"/>
    <w:rsid w:val="00AE53A9"/>
    <w:rsid w:val="00AE6206"/>
    <w:rsid w:val="00B12729"/>
    <w:rsid w:val="00B24E0C"/>
    <w:rsid w:val="00B25E78"/>
    <w:rsid w:val="00B33EA2"/>
    <w:rsid w:val="00B34383"/>
    <w:rsid w:val="00B57F5B"/>
    <w:rsid w:val="00B60F25"/>
    <w:rsid w:val="00B641B5"/>
    <w:rsid w:val="00B75358"/>
    <w:rsid w:val="00B838CB"/>
    <w:rsid w:val="00B90C56"/>
    <w:rsid w:val="00B92C43"/>
    <w:rsid w:val="00BA0D71"/>
    <w:rsid w:val="00BA54C9"/>
    <w:rsid w:val="00BA73DE"/>
    <w:rsid w:val="00BB3CD7"/>
    <w:rsid w:val="00BB4753"/>
    <w:rsid w:val="00BC379D"/>
    <w:rsid w:val="00BC4611"/>
    <w:rsid w:val="00BC48EF"/>
    <w:rsid w:val="00BD3DB1"/>
    <w:rsid w:val="00BD7888"/>
    <w:rsid w:val="00BE239E"/>
    <w:rsid w:val="00BE6064"/>
    <w:rsid w:val="00BF0825"/>
    <w:rsid w:val="00BF15C3"/>
    <w:rsid w:val="00C06A18"/>
    <w:rsid w:val="00C144ED"/>
    <w:rsid w:val="00C15BBE"/>
    <w:rsid w:val="00C16C5E"/>
    <w:rsid w:val="00C22E3F"/>
    <w:rsid w:val="00C24ED8"/>
    <w:rsid w:val="00C3619C"/>
    <w:rsid w:val="00C4025F"/>
    <w:rsid w:val="00C4088F"/>
    <w:rsid w:val="00C41516"/>
    <w:rsid w:val="00C4328C"/>
    <w:rsid w:val="00C55B45"/>
    <w:rsid w:val="00C57711"/>
    <w:rsid w:val="00C728CE"/>
    <w:rsid w:val="00C729E9"/>
    <w:rsid w:val="00C85BC1"/>
    <w:rsid w:val="00C90A98"/>
    <w:rsid w:val="00C90ACF"/>
    <w:rsid w:val="00C95CEC"/>
    <w:rsid w:val="00CA184B"/>
    <w:rsid w:val="00CA322C"/>
    <w:rsid w:val="00CA5C6F"/>
    <w:rsid w:val="00CC38AF"/>
    <w:rsid w:val="00CC411C"/>
    <w:rsid w:val="00CC52A5"/>
    <w:rsid w:val="00CC74FC"/>
    <w:rsid w:val="00CD0917"/>
    <w:rsid w:val="00CD68C2"/>
    <w:rsid w:val="00CD717F"/>
    <w:rsid w:val="00CD79AA"/>
    <w:rsid w:val="00CE12A7"/>
    <w:rsid w:val="00CE17E0"/>
    <w:rsid w:val="00CE490D"/>
    <w:rsid w:val="00CF1C85"/>
    <w:rsid w:val="00CF7F77"/>
    <w:rsid w:val="00D00FAE"/>
    <w:rsid w:val="00D0138B"/>
    <w:rsid w:val="00D048C7"/>
    <w:rsid w:val="00D127F7"/>
    <w:rsid w:val="00D21993"/>
    <w:rsid w:val="00D23C9A"/>
    <w:rsid w:val="00D24756"/>
    <w:rsid w:val="00D34ABE"/>
    <w:rsid w:val="00D42B8D"/>
    <w:rsid w:val="00D45805"/>
    <w:rsid w:val="00D45965"/>
    <w:rsid w:val="00D45F13"/>
    <w:rsid w:val="00D54C54"/>
    <w:rsid w:val="00D56885"/>
    <w:rsid w:val="00D63EF9"/>
    <w:rsid w:val="00D77AFC"/>
    <w:rsid w:val="00D80890"/>
    <w:rsid w:val="00D93C61"/>
    <w:rsid w:val="00DA735C"/>
    <w:rsid w:val="00DB1CB3"/>
    <w:rsid w:val="00DB65BF"/>
    <w:rsid w:val="00DC23FC"/>
    <w:rsid w:val="00DC70FA"/>
    <w:rsid w:val="00DC77B9"/>
    <w:rsid w:val="00DD0B60"/>
    <w:rsid w:val="00DE0FA0"/>
    <w:rsid w:val="00DE12B2"/>
    <w:rsid w:val="00DE45F2"/>
    <w:rsid w:val="00DF0375"/>
    <w:rsid w:val="00DF0DE3"/>
    <w:rsid w:val="00DF1599"/>
    <w:rsid w:val="00E010E3"/>
    <w:rsid w:val="00E13899"/>
    <w:rsid w:val="00E14E5A"/>
    <w:rsid w:val="00E226F4"/>
    <w:rsid w:val="00E22A32"/>
    <w:rsid w:val="00E264B9"/>
    <w:rsid w:val="00E366FE"/>
    <w:rsid w:val="00E36C24"/>
    <w:rsid w:val="00E406B0"/>
    <w:rsid w:val="00E40BA4"/>
    <w:rsid w:val="00E46CD8"/>
    <w:rsid w:val="00E47794"/>
    <w:rsid w:val="00E50D97"/>
    <w:rsid w:val="00E50ECE"/>
    <w:rsid w:val="00E519BB"/>
    <w:rsid w:val="00E57ADD"/>
    <w:rsid w:val="00E62598"/>
    <w:rsid w:val="00E66F6E"/>
    <w:rsid w:val="00E66FED"/>
    <w:rsid w:val="00E82348"/>
    <w:rsid w:val="00E86A10"/>
    <w:rsid w:val="00E94C6E"/>
    <w:rsid w:val="00EA1FED"/>
    <w:rsid w:val="00EA367F"/>
    <w:rsid w:val="00EA400F"/>
    <w:rsid w:val="00EA4E06"/>
    <w:rsid w:val="00EB0ADB"/>
    <w:rsid w:val="00EC24C7"/>
    <w:rsid w:val="00ED0875"/>
    <w:rsid w:val="00ED4980"/>
    <w:rsid w:val="00EF3D7C"/>
    <w:rsid w:val="00F1612E"/>
    <w:rsid w:val="00F17BE6"/>
    <w:rsid w:val="00F30A95"/>
    <w:rsid w:val="00F35434"/>
    <w:rsid w:val="00F37CCC"/>
    <w:rsid w:val="00F40310"/>
    <w:rsid w:val="00F45F7D"/>
    <w:rsid w:val="00F551C7"/>
    <w:rsid w:val="00F57921"/>
    <w:rsid w:val="00F57E44"/>
    <w:rsid w:val="00F71926"/>
    <w:rsid w:val="00F74E4E"/>
    <w:rsid w:val="00F75018"/>
    <w:rsid w:val="00F84E20"/>
    <w:rsid w:val="00FB1540"/>
    <w:rsid w:val="00FB1BC0"/>
    <w:rsid w:val="00FC69E2"/>
    <w:rsid w:val="00FC7F02"/>
    <w:rsid w:val="00FE32DF"/>
    <w:rsid w:val="00FF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0C2E"/>
  <w15:docId w15:val="{E1AB78D3-4654-4C7A-AF0E-752DABB2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76"/>
    <w:pPr>
      <w:spacing w:after="0" w:line="240" w:lineRule="auto"/>
    </w:pPr>
    <w:rPr>
      <w:rFonts w:ascii="Times New Roman" w:eastAsia="Times New Roman" w:hAnsi="Times New Roman" w:cs="Times New Roman"/>
      <w:sz w:val="24"/>
      <w:szCs w:val="24"/>
      <w:lang w:val="ru-RU" w:eastAsia="ru-RU"/>
    </w:rPr>
  </w:style>
  <w:style w:type="paragraph" w:styleId="Heading3">
    <w:name w:val="heading 3"/>
    <w:basedOn w:val="Normal"/>
    <w:link w:val="Heading3Char"/>
    <w:uiPriority w:val="9"/>
    <w:qFormat/>
    <w:rsid w:val="008B5D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50C"/>
    <w:pPr>
      <w:spacing w:before="100" w:beforeAutospacing="1" w:after="100" w:afterAutospacing="1"/>
    </w:pPr>
    <w:rPr>
      <w:lang w:val="en-US" w:eastAsia="en-US"/>
    </w:rPr>
  </w:style>
  <w:style w:type="character" w:styleId="Strong">
    <w:name w:val="Strong"/>
    <w:uiPriority w:val="22"/>
    <w:qFormat/>
    <w:rsid w:val="0009550C"/>
    <w:rPr>
      <w:b/>
      <w:b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09550C"/>
    <w:pPr>
      <w:ind w:left="720"/>
      <w:contextualSpacing/>
    </w:pPr>
    <w:rPr>
      <w:rFonts w:eastAsia="SimSun"/>
      <w:sz w:val="20"/>
      <w:szCs w:val="20"/>
      <w:lang w:val="en-AU"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09550C"/>
    <w:rPr>
      <w:rFonts w:ascii="Times New Roman" w:eastAsia="SimSun" w:hAnsi="Times New Roman" w:cs="Times New Roman"/>
      <w:sz w:val="20"/>
      <w:szCs w:val="20"/>
      <w:lang w:val="en-AU"/>
    </w:rPr>
  </w:style>
  <w:style w:type="character" w:styleId="CommentReference">
    <w:name w:val="annotation reference"/>
    <w:basedOn w:val="DefaultParagraphFont"/>
    <w:uiPriority w:val="99"/>
    <w:semiHidden/>
    <w:unhideWhenUsed/>
    <w:rsid w:val="0009550C"/>
    <w:rPr>
      <w:sz w:val="16"/>
      <w:szCs w:val="16"/>
    </w:rPr>
  </w:style>
  <w:style w:type="paragraph" w:styleId="CommentText">
    <w:name w:val="annotation text"/>
    <w:basedOn w:val="Normal"/>
    <w:link w:val="CommentTextChar"/>
    <w:uiPriority w:val="99"/>
    <w:semiHidden/>
    <w:unhideWhenUsed/>
    <w:rsid w:val="0009550C"/>
    <w:rPr>
      <w:sz w:val="20"/>
      <w:szCs w:val="20"/>
    </w:rPr>
  </w:style>
  <w:style w:type="character" w:customStyle="1" w:styleId="CommentTextChar">
    <w:name w:val="Comment Text Char"/>
    <w:basedOn w:val="DefaultParagraphFont"/>
    <w:link w:val="CommentText"/>
    <w:uiPriority w:val="99"/>
    <w:semiHidden/>
    <w:rsid w:val="0009550C"/>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EA1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ED"/>
    <w:rPr>
      <w:rFonts w:ascii="Segoe UI" w:eastAsia="Times New Roman" w:hAnsi="Segoe UI" w:cs="Segoe UI"/>
      <w:sz w:val="18"/>
      <w:szCs w:val="18"/>
      <w:lang w:val="ru-RU" w:eastAsia="ru-RU"/>
    </w:rPr>
  </w:style>
  <w:style w:type="paragraph" w:styleId="CommentSubject">
    <w:name w:val="annotation subject"/>
    <w:basedOn w:val="CommentText"/>
    <w:next w:val="CommentText"/>
    <w:link w:val="CommentSubjectChar"/>
    <w:uiPriority w:val="99"/>
    <w:semiHidden/>
    <w:unhideWhenUsed/>
    <w:rsid w:val="009D76A6"/>
    <w:rPr>
      <w:b/>
      <w:bCs/>
    </w:rPr>
  </w:style>
  <w:style w:type="character" w:customStyle="1" w:styleId="CommentSubjectChar">
    <w:name w:val="Comment Subject Char"/>
    <w:basedOn w:val="CommentTextChar"/>
    <w:link w:val="CommentSubject"/>
    <w:uiPriority w:val="99"/>
    <w:semiHidden/>
    <w:rsid w:val="009D76A6"/>
    <w:rPr>
      <w:rFonts w:ascii="Times New Roman" w:eastAsia="Times New Roman" w:hAnsi="Times New Roman" w:cs="Times New Roman"/>
      <w:b/>
      <w:bCs/>
      <w:sz w:val="20"/>
      <w:szCs w:val="20"/>
      <w:lang w:val="ru-RU" w:eastAsia="ru-RU"/>
    </w:rPr>
  </w:style>
  <w:style w:type="paragraph" w:styleId="BodyText">
    <w:name w:val="Body Text"/>
    <w:basedOn w:val="Normal"/>
    <w:link w:val="BodyTextChar"/>
    <w:rsid w:val="00637507"/>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637507"/>
    <w:rPr>
      <w:rFonts w:ascii="Calibri" w:eastAsia="Calibri" w:hAnsi="Calibri"/>
      <w:color w:val="00000A"/>
    </w:rPr>
  </w:style>
  <w:style w:type="character" w:customStyle="1" w:styleId="Heading3Char">
    <w:name w:val="Heading 3 Char"/>
    <w:basedOn w:val="DefaultParagraphFont"/>
    <w:link w:val="Heading3"/>
    <w:uiPriority w:val="9"/>
    <w:rsid w:val="008B5DE4"/>
    <w:rPr>
      <w:rFonts w:ascii="Times New Roman" w:eastAsia="Times New Roman" w:hAnsi="Times New Roman" w:cs="Times New Roman"/>
      <w:b/>
      <w:bCs/>
      <w:sz w:val="27"/>
      <w:szCs w:val="27"/>
      <w:lang w:val="ru-RU" w:eastAsia="ru-RU"/>
    </w:rPr>
  </w:style>
  <w:style w:type="paragraph" w:customStyle="1" w:styleId="offer-date">
    <w:name w:val="offer-date"/>
    <w:basedOn w:val="Normal"/>
    <w:rsid w:val="008B5DE4"/>
    <w:pPr>
      <w:spacing w:before="100" w:beforeAutospacing="1" w:after="100" w:afterAutospacing="1"/>
    </w:pPr>
  </w:style>
  <w:style w:type="paragraph" w:customStyle="1" w:styleId="offer-txt">
    <w:name w:val="offer-txt"/>
    <w:basedOn w:val="Normal"/>
    <w:rsid w:val="008B5DE4"/>
    <w:pPr>
      <w:spacing w:before="100" w:beforeAutospacing="1" w:after="100" w:afterAutospacing="1"/>
    </w:pPr>
  </w:style>
  <w:style w:type="character" w:styleId="Emphasis">
    <w:name w:val="Emphasis"/>
    <w:basedOn w:val="DefaultParagraphFont"/>
    <w:qFormat/>
    <w:rsid w:val="00730AF7"/>
    <w:rPr>
      <w:i/>
      <w:iCs/>
    </w:rPr>
  </w:style>
  <w:style w:type="paragraph" w:styleId="NoSpacing">
    <w:name w:val="No Spacing"/>
    <w:link w:val="NoSpacingChar"/>
    <w:qFormat/>
    <w:rsid w:val="00C4025F"/>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C402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2381">
      <w:bodyDiv w:val="1"/>
      <w:marLeft w:val="0"/>
      <w:marRight w:val="0"/>
      <w:marTop w:val="0"/>
      <w:marBottom w:val="0"/>
      <w:divBdr>
        <w:top w:val="none" w:sz="0" w:space="0" w:color="auto"/>
        <w:left w:val="none" w:sz="0" w:space="0" w:color="auto"/>
        <w:bottom w:val="none" w:sz="0" w:space="0" w:color="auto"/>
        <w:right w:val="none" w:sz="0" w:space="0" w:color="auto"/>
      </w:divBdr>
      <w:divsChild>
        <w:div w:id="1496067775">
          <w:marLeft w:val="0"/>
          <w:marRight w:val="0"/>
          <w:marTop w:val="0"/>
          <w:marBottom w:val="225"/>
          <w:divBdr>
            <w:top w:val="none" w:sz="0" w:space="0" w:color="auto"/>
            <w:left w:val="none" w:sz="0" w:space="0" w:color="auto"/>
            <w:bottom w:val="none" w:sz="0" w:space="0" w:color="auto"/>
            <w:right w:val="none" w:sz="0" w:space="0" w:color="auto"/>
          </w:divBdr>
        </w:div>
        <w:div w:id="1755466374">
          <w:marLeft w:val="0"/>
          <w:marRight w:val="0"/>
          <w:marTop w:val="300"/>
          <w:marBottom w:val="0"/>
          <w:divBdr>
            <w:top w:val="single" w:sz="6" w:space="15" w:color="DBDBDB"/>
            <w:left w:val="none" w:sz="0" w:space="0" w:color="auto"/>
            <w:bottom w:val="none" w:sz="0" w:space="0" w:color="auto"/>
            <w:right w:val="none" w:sz="0" w:space="0" w:color="auto"/>
          </w:divBdr>
        </w:div>
      </w:divsChild>
    </w:div>
    <w:div w:id="249198487">
      <w:bodyDiv w:val="1"/>
      <w:marLeft w:val="0"/>
      <w:marRight w:val="0"/>
      <w:marTop w:val="0"/>
      <w:marBottom w:val="0"/>
      <w:divBdr>
        <w:top w:val="none" w:sz="0" w:space="0" w:color="auto"/>
        <w:left w:val="none" w:sz="0" w:space="0" w:color="auto"/>
        <w:bottom w:val="none" w:sz="0" w:space="0" w:color="auto"/>
        <w:right w:val="none" w:sz="0" w:space="0" w:color="auto"/>
      </w:divBdr>
      <w:divsChild>
        <w:div w:id="1836145937">
          <w:marLeft w:val="0"/>
          <w:marRight w:val="0"/>
          <w:marTop w:val="0"/>
          <w:marBottom w:val="0"/>
          <w:divBdr>
            <w:top w:val="none" w:sz="0" w:space="0" w:color="auto"/>
            <w:left w:val="none" w:sz="0" w:space="0" w:color="auto"/>
            <w:bottom w:val="none" w:sz="0" w:space="0" w:color="auto"/>
            <w:right w:val="none" w:sz="0" w:space="0" w:color="auto"/>
          </w:divBdr>
          <w:divsChild>
            <w:div w:id="15033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161">
      <w:bodyDiv w:val="1"/>
      <w:marLeft w:val="0"/>
      <w:marRight w:val="0"/>
      <w:marTop w:val="0"/>
      <w:marBottom w:val="0"/>
      <w:divBdr>
        <w:top w:val="none" w:sz="0" w:space="0" w:color="auto"/>
        <w:left w:val="none" w:sz="0" w:space="0" w:color="auto"/>
        <w:bottom w:val="none" w:sz="0" w:space="0" w:color="auto"/>
        <w:right w:val="none" w:sz="0" w:space="0" w:color="auto"/>
      </w:divBdr>
    </w:div>
    <w:div w:id="434131888">
      <w:bodyDiv w:val="1"/>
      <w:marLeft w:val="0"/>
      <w:marRight w:val="0"/>
      <w:marTop w:val="0"/>
      <w:marBottom w:val="0"/>
      <w:divBdr>
        <w:top w:val="none" w:sz="0" w:space="0" w:color="auto"/>
        <w:left w:val="none" w:sz="0" w:space="0" w:color="auto"/>
        <w:bottom w:val="none" w:sz="0" w:space="0" w:color="auto"/>
        <w:right w:val="none" w:sz="0" w:space="0" w:color="auto"/>
      </w:divBdr>
    </w:div>
    <w:div w:id="659502101">
      <w:bodyDiv w:val="1"/>
      <w:marLeft w:val="0"/>
      <w:marRight w:val="0"/>
      <w:marTop w:val="0"/>
      <w:marBottom w:val="0"/>
      <w:divBdr>
        <w:top w:val="none" w:sz="0" w:space="0" w:color="auto"/>
        <w:left w:val="none" w:sz="0" w:space="0" w:color="auto"/>
        <w:bottom w:val="none" w:sz="0" w:space="0" w:color="auto"/>
        <w:right w:val="none" w:sz="0" w:space="0" w:color="auto"/>
      </w:divBdr>
    </w:div>
    <w:div w:id="725950915">
      <w:bodyDiv w:val="1"/>
      <w:marLeft w:val="0"/>
      <w:marRight w:val="0"/>
      <w:marTop w:val="0"/>
      <w:marBottom w:val="0"/>
      <w:divBdr>
        <w:top w:val="none" w:sz="0" w:space="0" w:color="auto"/>
        <w:left w:val="none" w:sz="0" w:space="0" w:color="auto"/>
        <w:bottom w:val="none" w:sz="0" w:space="0" w:color="auto"/>
        <w:right w:val="none" w:sz="0" w:space="0" w:color="auto"/>
      </w:divBdr>
    </w:div>
    <w:div w:id="908223161">
      <w:bodyDiv w:val="1"/>
      <w:marLeft w:val="0"/>
      <w:marRight w:val="0"/>
      <w:marTop w:val="0"/>
      <w:marBottom w:val="0"/>
      <w:divBdr>
        <w:top w:val="none" w:sz="0" w:space="0" w:color="auto"/>
        <w:left w:val="none" w:sz="0" w:space="0" w:color="auto"/>
        <w:bottom w:val="none" w:sz="0" w:space="0" w:color="auto"/>
        <w:right w:val="none" w:sz="0" w:space="0" w:color="auto"/>
      </w:divBdr>
    </w:div>
    <w:div w:id="929508985">
      <w:bodyDiv w:val="1"/>
      <w:marLeft w:val="0"/>
      <w:marRight w:val="0"/>
      <w:marTop w:val="0"/>
      <w:marBottom w:val="0"/>
      <w:divBdr>
        <w:top w:val="none" w:sz="0" w:space="0" w:color="auto"/>
        <w:left w:val="none" w:sz="0" w:space="0" w:color="auto"/>
        <w:bottom w:val="none" w:sz="0" w:space="0" w:color="auto"/>
        <w:right w:val="none" w:sz="0" w:space="0" w:color="auto"/>
      </w:divBdr>
    </w:div>
    <w:div w:id="1035229768">
      <w:bodyDiv w:val="1"/>
      <w:marLeft w:val="0"/>
      <w:marRight w:val="0"/>
      <w:marTop w:val="0"/>
      <w:marBottom w:val="0"/>
      <w:divBdr>
        <w:top w:val="none" w:sz="0" w:space="0" w:color="auto"/>
        <w:left w:val="none" w:sz="0" w:space="0" w:color="auto"/>
        <w:bottom w:val="none" w:sz="0" w:space="0" w:color="auto"/>
        <w:right w:val="none" w:sz="0" w:space="0" w:color="auto"/>
      </w:divBdr>
    </w:div>
    <w:div w:id="1113129593">
      <w:bodyDiv w:val="1"/>
      <w:marLeft w:val="0"/>
      <w:marRight w:val="0"/>
      <w:marTop w:val="0"/>
      <w:marBottom w:val="0"/>
      <w:divBdr>
        <w:top w:val="none" w:sz="0" w:space="0" w:color="auto"/>
        <w:left w:val="none" w:sz="0" w:space="0" w:color="auto"/>
        <w:bottom w:val="none" w:sz="0" w:space="0" w:color="auto"/>
        <w:right w:val="none" w:sz="0" w:space="0" w:color="auto"/>
      </w:divBdr>
    </w:div>
    <w:div w:id="1129320271">
      <w:bodyDiv w:val="1"/>
      <w:marLeft w:val="0"/>
      <w:marRight w:val="0"/>
      <w:marTop w:val="0"/>
      <w:marBottom w:val="0"/>
      <w:divBdr>
        <w:top w:val="none" w:sz="0" w:space="0" w:color="auto"/>
        <w:left w:val="none" w:sz="0" w:space="0" w:color="auto"/>
        <w:bottom w:val="none" w:sz="0" w:space="0" w:color="auto"/>
        <w:right w:val="none" w:sz="0" w:space="0" w:color="auto"/>
      </w:divBdr>
    </w:div>
    <w:div w:id="1171337726">
      <w:bodyDiv w:val="1"/>
      <w:marLeft w:val="0"/>
      <w:marRight w:val="0"/>
      <w:marTop w:val="0"/>
      <w:marBottom w:val="0"/>
      <w:divBdr>
        <w:top w:val="none" w:sz="0" w:space="0" w:color="auto"/>
        <w:left w:val="none" w:sz="0" w:space="0" w:color="auto"/>
        <w:bottom w:val="none" w:sz="0" w:space="0" w:color="auto"/>
        <w:right w:val="none" w:sz="0" w:space="0" w:color="auto"/>
      </w:divBdr>
    </w:div>
    <w:div w:id="1251698369">
      <w:bodyDiv w:val="1"/>
      <w:marLeft w:val="0"/>
      <w:marRight w:val="0"/>
      <w:marTop w:val="0"/>
      <w:marBottom w:val="0"/>
      <w:divBdr>
        <w:top w:val="none" w:sz="0" w:space="0" w:color="auto"/>
        <w:left w:val="none" w:sz="0" w:space="0" w:color="auto"/>
        <w:bottom w:val="none" w:sz="0" w:space="0" w:color="auto"/>
        <w:right w:val="none" w:sz="0" w:space="0" w:color="auto"/>
      </w:divBdr>
      <w:divsChild>
        <w:div w:id="998996713">
          <w:marLeft w:val="0"/>
          <w:marRight w:val="0"/>
          <w:marTop w:val="0"/>
          <w:marBottom w:val="225"/>
          <w:divBdr>
            <w:top w:val="none" w:sz="0" w:space="0" w:color="auto"/>
            <w:left w:val="none" w:sz="0" w:space="0" w:color="auto"/>
            <w:bottom w:val="none" w:sz="0" w:space="0" w:color="auto"/>
            <w:right w:val="none" w:sz="0" w:space="0" w:color="auto"/>
          </w:divBdr>
        </w:div>
        <w:div w:id="1553301318">
          <w:marLeft w:val="0"/>
          <w:marRight w:val="0"/>
          <w:marTop w:val="300"/>
          <w:marBottom w:val="0"/>
          <w:divBdr>
            <w:top w:val="single" w:sz="6" w:space="15" w:color="DBDBDB"/>
            <w:left w:val="none" w:sz="0" w:space="0" w:color="auto"/>
            <w:bottom w:val="none" w:sz="0" w:space="0" w:color="auto"/>
            <w:right w:val="none" w:sz="0" w:space="0" w:color="auto"/>
          </w:divBdr>
        </w:div>
      </w:divsChild>
    </w:div>
    <w:div w:id="1571380988">
      <w:bodyDiv w:val="1"/>
      <w:marLeft w:val="0"/>
      <w:marRight w:val="0"/>
      <w:marTop w:val="0"/>
      <w:marBottom w:val="0"/>
      <w:divBdr>
        <w:top w:val="none" w:sz="0" w:space="0" w:color="auto"/>
        <w:left w:val="none" w:sz="0" w:space="0" w:color="auto"/>
        <w:bottom w:val="none" w:sz="0" w:space="0" w:color="auto"/>
        <w:right w:val="none" w:sz="0" w:space="0" w:color="auto"/>
      </w:divBdr>
    </w:div>
    <w:div w:id="1639913401">
      <w:bodyDiv w:val="1"/>
      <w:marLeft w:val="0"/>
      <w:marRight w:val="0"/>
      <w:marTop w:val="0"/>
      <w:marBottom w:val="0"/>
      <w:divBdr>
        <w:top w:val="none" w:sz="0" w:space="0" w:color="auto"/>
        <w:left w:val="none" w:sz="0" w:space="0" w:color="auto"/>
        <w:bottom w:val="none" w:sz="0" w:space="0" w:color="auto"/>
        <w:right w:val="none" w:sz="0" w:space="0" w:color="auto"/>
      </w:divBdr>
      <w:divsChild>
        <w:div w:id="214587946">
          <w:marLeft w:val="0"/>
          <w:marRight w:val="0"/>
          <w:marTop w:val="0"/>
          <w:marBottom w:val="0"/>
          <w:divBdr>
            <w:top w:val="none" w:sz="0" w:space="0" w:color="auto"/>
            <w:left w:val="none" w:sz="0" w:space="0" w:color="auto"/>
            <w:bottom w:val="none" w:sz="0" w:space="0" w:color="auto"/>
            <w:right w:val="none" w:sz="0" w:space="0" w:color="auto"/>
          </w:divBdr>
          <w:divsChild>
            <w:div w:id="5950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4435">
      <w:bodyDiv w:val="1"/>
      <w:marLeft w:val="0"/>
      <w:marRight w:val="0"/>
      <w:marTop w:val="0"/>
      <w:marBottom w:val="0"/>
      <w:divBdr>
        <w:top w:val="none" w:sz="0" w:space="0" w:color="auto"/>
        <w:left w:val="none" w:sz="0" w:space="0" w:color="auto"/>
        <w:bottom w:val="none" w:sz="0" w:space="0" w:color="auto"/>
        <w:right w:val="none" w:sz="0" w:space="0" w:color="auto"/>
      </w:divBdr>
    </w:div>
    <w:div w:id="1806779855">
      <w:bodyDiv w:val="1"/>
      <w:marLeft w:val="0"/>
      <w:marRight w:val="0"/>
      <w:marTop w:val="0"/>
      <w:marBottom w:val="0"/>
      <w:divBdr>
        <w:top w:val="none" w:sz="0" w:space="0" w:color="auto"/>
        <w:left w:val="none" w:sz="0" w:space="0" w:color="auto"/>
        <w:bottom w:val="none" w:sz="0" w:space="0" w:color="auto"/>
        <w:right w:val="none" w:sz="0" w:space="0" w:color="auto"/>
      </w:divBdr>
    </w:div>
    <w:div w:id="1813789670">
      <w:bodyDiv w:val="1"/>
      <w:marLeft w:val="0"/>
      <w:marRight w:val="0"/>
      <w:marTop w:val="0"/>
      <w:marBottom w:val="0"/>
      <w:divBdr>
        <w:top w:val="none" w:sz="0" w:space="0" w:color="auto"/>
        <w:left w:val="none" w:sz="0" w:space="0" w:color="auto"/>
        <w:bottom w:val="none" w:sz="0" w:space="0" w:color="auto"/>
        <w:right w:val="none" w:sz="0" w:space="0" w:color="auto"/>
      </w:divBdr>
      <w:divsChild>
        <w:div w:id="792675368">
          <w:marLeft w:val="0"/>
          <w:marRight w:val="0"/>
          <w:marTop w:val="0"/>
          <w:marBottom w:val="225"/>
          <w:divBdr>
            <w:top w:val="none" w:sz="0" w:space="0" w:color="auto"/>
            <w:left w:val="none" w:sz="0" w:space="0" w:color="auto"/>
            <w:bottom w:val="none" w:sz="0" w:space="0" w:color="auto"/>
            <w:right w:val="none" w:sz="0" w:space="0" w:color="auto"/>
          </w:divBdr>
        </w:div>
        <w:div w:id="1431850195">
          <w:marLeft w:val="0"/>
          <w:marRight w:val="0"/>
          <w:marTop w:val="300"/>
          <w:marBottom w:val="0"/>
          <w:divBdr>
            <w:top w:val="single" w:sz="6" w:space="15" w:color="DBDBDB"/>
            <w:left w:val="none" w:sz="0" w:space="0" w:color="auto"/>
            <w:bottom w:val="none" w:sz="0" w:space="0" w:color="auto"/>
            <w:right w:val="none" w:sz="0" w:space="0" w:color="auto"/>
          </w:divBdr>
        </w:div>
      </w:divsChild>
    </w:div>
    <w:div w:id="1929339275">
      <w:bodyDiv w:val="1"/>
      <w:marLeft w:val="0"/>
      <w:marRight w:val="0"/>
      <w:marTop w:val="0"/>
      <w:marBottom w:val="0"/>
      <w:divBdr>
        <w:top w:val="none" w:sz="0" w:space="0" w:color="auto"/>
        <w:left w:val="none" w:sz="0" w:space="0" w:color="auto"/>
        <w:bottom w:val="none" w:sz="0" w:space="0" w:color="auto"/>
        <w:right w:val="none" w:sz="0" w:space="0" w:color="auto"/>
      </w:divBdr>
    </w:div>
    <w:div w:id="19362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Abrahamyan</dc:creator>
  <cp:keywords>https:/mul-moh.gov.am/tasks/docs/attachment.php?id=449307&amp;fn=AMPOPATERT_NEW-27_06_2019.docx&amp;out=1&amp;token=ac0daa7c6e691a19911a</cp:keywords>
  <cp:lastModifiedBy>Nazeli Smbatyan</cp:lastModifiedBy>
  <cp:revision>14</cp:revision>
  <cp:lastPrinted>2022-12-22T06:02:00Z</cp:lastPrinted>
  <dcterms:created xsi:type="dcterms:W3CDTF">2022-12-28T05:16:00Z</dcterms:created>
  <dcterms:modified xsi:type="dcterms:W3CDTF">2023-01-20T12:43:00Z</dcterms:modified>
</cp:coreProperties>
</file>