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7F7B" w14:textId="77777777" w:rsidR="00394621" w:rsidRPr="00EC1F1C" w:rsidRDefault="00394621" w:rsidP="00394621">
      <w:pPr>
        <w:spacing w:after="200" w:line="276" w:lineRule="auto"/>
        <w:jc w:val="center"/>
        <w:rPr>
          <w:rFonts w:ascii="GHEA Grapalat" w:eastAsia="Calibri" w:hAnsi="GHEA Grapalat"/>
          <w:b/>
          <w:bCs/>
          <w:color w:val="000000"/>
          <w:bdr w:val="none" w:sz="0" w:space="0" w:color="auto" w:frame="1"/>
          <w:shd w:val="clear" w:color="auto" w:fill="FFFFFF"/>
        </w:rPr>
      </w:pPr>
      <w:r w:rsidRPr="00EC1F1C">
        <w:rPr>
          <w:rFonts w:ascii="GHEA Grapalat" w:eastAsia="Calibri" w:hAnsi="GHEA Grapalat" w:cs="Sylfaen"/>
          <w:b/>
          <w:bCs/>
          <w:color w:val="000000"/>
          <w:bdr w:val="none" w:sz="0" w:space="0" w:color="auto" w:frame="1"/>
          <w:shd w:val="clear" w:color="auto" w:fill="FFFFFF"/>
        </w:rPr>
        <w:t>ԱՄՓՈՓԱԹԵՐԹ</w:t>
      </w:r>
    </w:p>
    <w:p w14:paraId="47287171" w14:textId="2D8C10EE" w:rsidR="00B8307D" w:rsidRPr="00EC1F1C" w:rsidRDefault="00EC1F1C" w:rsidP="00394621">
      <w:pPr>
        <w:pStyle w:val="NormalWeb"/>
        <w:shd w:val="clear" w:color="auto" w:fill="FFFFFF"/>
        <w:tabs>
          <w:tab w:val="left" w:pos="3402"/>
        </w:tabs>
        <w:spacing w:after="0" w:line="360" w:lineRule="auto"/>
        <w:ind w:firstLine="375"/>
        <w:jc w:val="center"/>
        <w:rPr>
          <w:rFonts w:ascii="GHEA Grapalat" w:eastAsia="Calibri" w:hAnsi="GHEA Grapalat" w:cs="Sylfaen"/>
          <w:bCs/>
          <w:iCs/>
          <w:color w:val="000000"/>
          <w:bdr w:val="none" w:sz="0" w:space="0" w:color="auto" w:frame="1"/>
          <w:shd w:val="clear" w:color="auto" w:fill="FFFFFF"/>
          <w:lang w:val="hy-AM"/>
        </w:rPr>
      </w:pP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«</w:t>
      </w:r>
      <w:r w:rsidR="00F01366" w:rsidRP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ՀՀ ԿԱՌԱՎԱՐՈՒԹՅԱՆ 2016 ԹՎԱԿԱՆԻ ՄԱՐՏԻ 31-Ի «ՓՈԽՊԱՏՎԱՍՏՄԱՆ ՆՊԱՏԱԿՈՎ ՄԱՐԴՈՒ ԴՈՆՈՐԱԿԱՆ ՕՐԳԱՆՆԵՐԻ </w:t>
      </w:r>
      <w:r w:rsid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ԵՎ</w:t>
      </w:r>
      <w:r w:rsidR="00F01366" w:rsidRP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(ԿԱՄ) ՀՅՈՒՍՎԱԾՔՆԵՐԻ ՆԵՐՄՈՒԾՄԱՆ, ԱՐՅԱՆ </w:t>
      </w:r>
      <w:r w:rsid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ԵՎ</w:t>
      </w:r>
      <w:r w:rsidR="00F01366" w:rsidRP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ԴՐԱ ԲԱՂԱԴՐԱՄԱՍԵՐԻ, ԹՄՐԱՄԻՋՈՑՆԵՐԻ, ՀՈԳԵՄԵՏ (ՀՈԳԵՆԵՐԳՈՐԾՈՒՆ) ՆՅՈՒԹԵՐԻ ԿԱՄ ԴՐԱՆՑ ՊՐԵԿՈՒՐՍՈՐՆԵՐԻ ՆԵՐՄՈՒԾՄԱՆ </w:t>
      </w:r>
      <w:r w:rsid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ԵՎ</w:t>
      </w:r>
      <w:r w:rsidR="00F01366" w:rsidRP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ԱՐՏԱՀԱՆՄԱՆ ԿԱՐԳԸ ՈՒ ԴՐԱՆՑ ՑԱՆԿԵՐԸ ՀԱՍՏԱՏԵԼՈՒ </w:t>
      </w:r>
      <w:r w:rsid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ԵՎ</w:t>
      </w:r>
      <w:r w:rsidR="00F01366" w:rsidRP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ՀԱՅԱՍՏԱՆԻ ՀԱՆՐԱՊԵՏՈՒԹՅԱՆ ԿԱՌԱՎԱՐՈՒԹՅԱՆ 2007 ԹՎԱԿԱՆԻ ԱՊՐԻԼԻ 26-Ի N 551-Ն ՈՐՈՇՈՒՄՆ ՈՒԺԸ ԿՈՐՑՐԱԾ ՃԱՆԱՉԵԼՈՒ ՄԱՍԻՆ» N 335-Ն</w:t>
      </w:r>
      <w:r w:rsidR="0045383F" w:rsidRPr="0045383F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ՈՐՈՇՄԱՆ ՄԵՋ ԼՐԱՑՈՒՄՆԵՐ</w:t>
      </w:r>
      <w:r w:rsidR="0035185B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ԵՎ ՓՈՓՈԽՈՒԹՅՈՒՆՆԵՐ</w:t>
      </w:r>
      <w:r w:rsidR="0045383F" w:rsidRPr="0045383F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ԿԱՏԱՐԵԼՈՒ ՄԱUԻՆ</w:t>
      </w: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» ՀՀ ԿԱՌԱՎԱՐՈՒԹՅԱՆ ՈՐՈՇՄԱՆ </w:t>
      </w:r>
      <w:r w:rsidR="00F01366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>ՆԱԽԱԳԾ</w:t>
      </w: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</w:rPr>
        <w:t>Ի</w:t>
      </w:r>
      <w:r w:rsidRPr="00EC1F1C">
        <w:rPr>
          <w:rFonts w:ascii="GHEA Grapalat" w:eastAsia="Calibri" w:hAnsi="GHEA Grapalat" w:cs="Sylfaen"/>
          <w:bCs/>
          <w:iCs/>
          <w:color w:val="000000"/>
          <w:bdr w:val="none" w:sz="0" w:space="0" w:color="auto" w:frame="1"/>
          <w:shd w:val="clear" w:color="auto" w:fill="FFFFFF"/>
          <w:lang w:val="hy-AM"/>
        </w:rPr>
        <w:t xml:space="preserve"> ՎԵՐԱԲԵՐՅԱԼ</w:t>
      </w:r>
    </w:p>
    <w:tbl>
      <w:tblPr>
        <w:tblW w:w="13694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4910"/>
      </w:tblGrid>
      <w:tr w:rsidR="00DD15BC" w:rsidRPr="00EC1F1C" w14:paraId="39F6C53D" w14:textId="77777777" w:rsidTr="00795F5E">
        <w:trPr>
          <w:trHeight w:val="413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7594DB22" w14:textId="424C488C" w:rsidR="00DD15BC" w:rsidRPr="00EC1F1C" w:rsidRDefault="00DD15BC" w:rsidP="00DD15BC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  <w:r w:rsidRPr="00EC1F1C">
              <w:rPr>
                <w:rFonts w:ascii="GHEA Grapalat" w:hAnsi="GHEA Grapalat" w:cs="Sylfaen"/>
                <w:bCs/>
              </w:rPr>
              <w:t xml:space="preserve">1. </w:t>
            </w:r>
            <w:r w:rsidRPr="00EC1F1C">
              <w:rPr>
                <w:rFonts w:ascii="GHEA Grapalat" w:hAnsi="GHEA Grapalat" w:cs="Sylfaen"/>
                <w:bCs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Cs/>
                <w:lang w:val="hy-AM"/>
              </w:rPr>
              <w:t>Պետական եկամուտների կոմիտե</w:t>
            </w:r>
          </w:p>
        </w:tc>
        <w:tc>
          <w:tcPr>
            <w:tcW w:w="4877" w:type="dxa"/>
            <w:shd w:val="clear" w:color="auto" w:fill="D0D0D0"/>
          </w:tcPr>
          <w:p w14:paraId="6AA79472" w14:textId="10F687B9" w:rsidR="00DD15BC" w:rsidRPr="00316109" w:rsidRDefault="00DD15BC" w:rsidP="00DD15BC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 w:rsidRPr="00316109">
              <w:rPr>
                <w:rFonts w:ascii="GHEA Grapalat" w:hAnsi="GHEA Grapalat" w:cs="Sylfaen"/>
                <w:b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0</w:t>
            </w:r>
            <w:r w:rsidRPr="00EC1F1C"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hy-AM"/>
              </w:rPr>
              <w:t>11</w:t>
            </w:r>
            <w:r w:rsidRPr="00EC1F1C">
              <w:rPr>
                <w:rFonts w:ascii="GHEA Grapalat" w:hAnsi="GHEA Grapalat" w:cs="Sylfaen"/>
                <w:b/>
                <w:lang w:val="hy-AM"/>
              </w:rPr>
              <w:t>.202</w:t>
            </w:r>
            <w:r w:rsidRPr="00316109">
              <w:rPr>
                <w:rFonts w:ascii="GHEA Grapalat" w:hAnsi="GHEA Grapalat" w:cs="Sylfaen"/>
                <w:b/>
              </w:rPr>
              <w:t>2</w:t>
            </w:r>
          </w:p>
        </w:tc>
      </w:tr>
      <w:tr w:rsidR="00DD15BC" w:rsidRPr="00EC1F1C" w14:paraId="1627B489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4AF9773F" w14:textId="77777777" w:rsidR="00DD15BC" w:rsidRPr="00EC1F1C" w:rsidRDefault="00DD15BC" w:rsidP="00DD15BC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5F608DAB" w14:textId="05BA3F02" w:rsidR="00DD15BC" w:rsidRPr="00316109" w:rsidRDefault="00DD15BC" w:rsidP="00DD15BC">
            <w:pPr>
              <w:jc w:val="center"/>
              <w:rPr>
                <w:rFonts w:ascii="GHEA Grapalat" w:hAnsi="GHEA Grapalat" w:cs="Sylfaen"/>
                <w:bCs/>
              </w:rPr>
            </w:pPr>
            <w:r w:rsidRPr="00316109">
              <w:rPr>
                <w:rFonts w:ascii="GHEA Grapalat" w:hAnsi="GHEA Grapalat" w:cs="Sylfaen"/>
                <w:b/>
                <w:lang w:val="hy-AM"/>
              </w:rPr>
              <w:t>01/3-2/86977-2022</w:t>
            </w:r>
          </w:p>
        </w:tc>
      </w:tr>
      <w:tr w:rsidR="00F41A0E" w:rsidRPr="00DD0B39" w14:paraId="7BD400F0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4E5A6288" w14:textId="77777777" w:rsidR="0045383F" w:rsidRDefault="0045383F" w:rsidP="0045383F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E778DD">
              <w:rPr>
                <w:rFonts w:ascii="GHEA Grapalat" w:hAnsi="GHEA Grapalat" w:cs="Sylfaen"/>
                <w:lang w:val="hy-AM"/>
              </w:rPr>
              <w:t xml:space="preserve">«Հայաստանի Հանրապետության </w:t>
            </w:r>
            <w:r>
              <w:rPr>
                <w:rFonts w:ascii="GHEA Grapalat" w:hAnsi="GHEA Grapalat" w:cs="Sylfaen"/>
                <w:lang w:val="hy-AM"/>
              </w:rPr>
              <w:t>կառավարության 2016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 թվականի </w:t>
            </w:r>
            <w:r>
              <w:rPr>
                <w:rFonts w:ascii="GHEA Grapalat" w:hAnsi="GHEA Grapalat" w:cs="Sylfaen"/>
                <w:lang w:val="hy-AM"/>
              </w:rPr>
              <w:t>մարտի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31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-ի N </w:t>
            </w:r>
            <w:r>
              <w:rPr>
                <w:rFonts w:ascii="GHEA Grapalat" w:hAnsi="GHEA Grapalat" w:cs="Sylfaen"/>
                <w:lang w:val="hy-AM"/>
              </w:rPr>
              <w:t>335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-Ն </w:t>
            </w:r>
            <w:r>
              <w:rPr>
                <w:rFonts w:ascii="GHEA Grapalat" w:hAnsi="GHEA Grapalat" w:cs="Sylfaen"/>
                <w:lang w:val="hy-AM"/>
              </w:rPr>
              <w:t>որոշման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 մեջ </w:t>
            </w:r>
            <w:r>
              <w:rPr>
                <w:rFonts w:ascii="GHEA Grapalat" w:hAnsi="GHEA Grapalat" w:cs="Sylfaen"/>
                <w:lang w:val="hy-AM"/>
              </w:rPr>
              <w:t>լրացումներ</w:t>
            </w:r>
            <w:r w:rsidRPr="00E778DD">
              <w:rPr>
                <w:rFonts w:ascii="GHEA Grapalat" w:hAnsi="GHEA Grapalat" w:cs="Sylfaen"/>
                <w:lang w:val="hy-AM"/>
              </w:rPr>
              <w:t xml:space="preserve"> կ</w:t>
            </w:r>
            <w:r>
              <w:rPr>
                <w:rFonts w:ascii="GHEA Grapalat" w:hAnsi="GHEA Grapalat" w:cs="Sylfaen"/>
                <w:lang w:val="hy-AM"/>
              </w:rPr>
              <w:t>ատարելու մասին» Հայաստանի Հանրապետությա</w:t>
            </w:r>
            <w:r w:rsidRPr="00B21765">
              <w:rPr>
                <w:rFonts w:ascii="GHEA Grapalat" w:hAnsi="GHEA Grapalat" w:cs="Sylfaen"/>
                <w:lang w:val="hy-AM"/>
              </w:rPr>
              <w:t xml:space="preserve">ն </w:t>
            </w:r>
            <w:r w:rsidRPr="005324AD">
              <w:rPr>
                <w:rFonts w:ascii="GHEA Grapalat" w:hAnsi="GHEA Grapalat" w:cs="Sylfaen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lang w:val="hy-AM"/>
              </w:rPr>
              <w:t xml:space="preserve"> որոշման</w:t>
            </w:r>
            <w:r w:rsidRPr="005324AD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</w:t>
            </w:r>
            <w:r w:rsidRPr="00760077">
              <w:rPr>
                <w:rFonts w:ascii="GHEA Grapalat" w:hAnsi="GHEA Grapalat" w:cs="Sylfaen"/>
                <w:lang w:val="hy-AM"/>
              </w:rPr>
              <w:t>ագծի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4E66B9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այսուհետ` Նախագիծ</w:t>
            </w:r>
            <w:r w:rsidRPr="004E66B9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716086"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lang w:val="hy-AM"/>
              </w:rPr>
              <w:t xml:space="preserve"> հ</w:t>
            </w:r>
            <w:r w:rsidRPr="00397D26">
              <w:rPr>
                <w:rFonts w:ascii="GHEA Grapalat" w:hAnsi="GHEA Grapalat" w:cs="Sylfaen"/>
                <w:lang w:val="hy-AM"/>
              </w:rPr>
              <w:t>այտնում ենք</w:t>
            </w:r>
            <w:r>
              <w:rPr>
                <w:rFonts w:ascii="GHEA Grapalat" w:hAnsi="GHEA Grapalat" w:cs="Sylfaen"/>
                <w:lang w:val="hy-AM"/>
              </w:rPr>
              <w:t xml:space="preserve"> հետևյալը. </w:t>
            </w:r>
          </w:p>
          <w:p w14:paraId="7C82E62D" w14:textId="44ECA6FA" w:rsidR="0045383F" w:rsidRPr="008D6DAD" w:rsidRDefault="0045383F" w:rsidP="008D6DAD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2" w:firstLine="518"/>
              <w:jc w:val="both"/>
              <w:rPr>
                <w:rFonts w:ascii="GHEA Grapalat" w:hAnsi="GHEA Grapalat" w:cs="Sylfaen"/>
                <w:lang w:val="hy-AM"/>
              </w:rPr>
            </w:pPr>
            <w:r w:rsidRPr="008D6DAD">
              <w:rPr>
                <w:rFonts w:ascii="GHEA Grapalat" w:hAnsi="GHEA Grapalat" w:cs="Sylfaen"/>
                <w:lang w:val="hy-AM"/>
              </w:rPr>
              <w:t xml:space="preserve">Նախագծով առաջարկում ենք նախատեսել դրույթ համաձայն որի` լիցենզիա ստանալու նպատակով լիազոր մարմին տեղեկությունները և փաստաթղթերը ներկայացվում են, իսկ լիազոր մարմնի կողմից համապատասխան լիցենզիան կամ անհրաժեշտ փաստաթղթերի ամբողջական չլինելու վերաբերյալ տեղեկատվությունը տրամադրվում են էլեկտրոնային եղանակով` «Հայաստանի Հանրապետության արտաքին </w:t>
            </w:r>
            <w:r w:rsidRPr="008D6DAD">
              <w:rPr>
                <w:rFonts w:ascii="GHEA Grapalat" w:hAnsi="GHEA Grapalat" w:cs="Sylfaen"/>
                <w:lang w:val="hy-AM"/>
              </w:rPr>
              <w:lastRenderedPageBreak/>
              <w:t>առևտրի ազգային մեկ պատուհան էլեկտրոնային հարթակում (www.trade.gov.am) հասանելի «Թույլատվական փաստաթղթեր (sw.gov.am)» համակարգի միջոցով, բացառությամբ անհաղթահարելի ուժի առկայության դեպքերի, երբ դրանք կարող են ներկայացվել թղթային տեսքով: Միաժամանակ, Հայաստանի Հանրապետության կառավարության 2016 թվականի մարտի 31-ի N 335-Ն որոշման (այսուհետ` Որոշում) N 2 հավելվածի 20-րդ կետով սահմանված դրույթները առաջարկում ենք տարածել միայն վերոնշյալ դեպքերով սահմանված` թղթային տեսքով տրամադրված լիցենզիայի կորստի դեպքերի համար:</w:t>
            </w:r>
          </w:p>
          <w:p w14:paraId="7D085D35" w14:textId="77777777" w:rsidR="008D6DAD" w:rsidRPr="008D6DAD" w:rsidRDefault="008D6DAD" w:rsidP="008D6DAD">
            <w:pPr>
              <w:pStyle w:val="ListParagraph"/>
              <w:spacing w:line="360" w:lineRule="auto"/>
              <w:ind w:left="900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44C54655" w14:textId="77777777" w:rsidR="0045383F" w:rsidRDefault="0045383F" w:rsidP="0045383F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2. </w:t>
            </w:r>
            <w:r w:rsidRPr="00C66033">
              <w:rPr>
                <w:rFonts w:ascii="GHEA Grapalat" w:hAnsi="GHEA Grapalat" w:cs="Sylfaen"/>
                <w:lang w:val="hy-AM"/>
              </w:rPr>
              <w:t xml:space="preserve">Հաշվի առնելով այն հանգամանքը, որ Նախագծով նախատեսվում է </w:t>
            </w:r>
            <w:r>
              <w:rPr>
                <w:rFonts w:ascii="GHEA Grapalat" w:hAnsi="GHEA Grapalat" w:cs="Sylfaen"/>
                <w:lang w:val="hy-AM"/>
              </w:rPr>
              <w:t>լիցենզիաների</w:t>
            </w:r>
            <w:r w:rsidRPr="00C66033">
              <w:rPr>
                <w:rFonts w:ascii="GHEA Grapalat" w:hAnsi="GHEA Grapalat" w:cs="Sylfaen"/>
                <w:lang w:val="hy-AM"/>
              </w:rPr>
              <w:t xml:space="preserve"> տրամադրումը իրականացնել էլեկտրոնային եղանակով, ինչպես նաև այն, որ մաքսային և այլ  փաստաթղթերը մաքսային մարմիններին ներկայացնելու հետ կապված հարաբերությունները սահմանված են մաքսային օրենսդրությամբ` առաջարկում ենք </w:t>
            </w:r>
            <w:r>
              <w:rPr>
                <w:rFonts w:ascii="GHEA Grapalat" w:hAnsi="GHEA Grapalat" w:cs="Sylfaen"/>
                <w:lang w:val="hy-AM"/>
              </w:rPr>
              <w:t>Որոշման N 2 հավելվածի 22</w:t>
            </w:r>
            <w:r w:rsidRPr="00683D6A">
              <w:rPr>
                <w:rFonts w:ascii="GHEA Grapalat" w:hAnsi="GHEA Grapalat" w:cs="Sylfaen"/>
                <w:lang w:val="hy-AM"/>
              </w:rPr>
              <w:t>-րդ կետը ուժը կորցրած ճանաչել</w:t>
            </w:r>
            <w:r>
              <w:rPr>
                <w:rFonts w:ascii="GHEA Grapalat" w:hAnsi="GHEA Grapalat" w:cs="Sylfaen"/>
                <w:lang w:val="hy-AM"/>
              </w:rPr>
              <w:t>:</w:t>
            </w:r>
          </w:p>
          <w:p w14:paraId="5F27F9A1" w14:textId="77777777" w:rsidR="0045383F" w:rsidRDefault="0045383F" w:rsidP="0045383F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3. Միաժամանակ, առաջարկում ենք քննարկել Որոշման </w:t>
            </w:r>
            <w:r w:rsidRPr="00CA47E6">
              <w:rPr>
                <w:rFonts w:ascii="GHEA Grapalat" w:hAnsi="GHEA Grapalat" w:cs="Sylfaen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lang w:val="hy-AM"/>
              </w:rPr>
              <w:t xml:space="preserve">1 հավելվածով սահմանված դրույթներում ևս </w:t>
            </w:r>
            <w:r w:rsidRPr="006A1E06">
              <w:rPr>
                <w:rFonts w:ascii="GHEA Grapalat" w:hAnsi="GHEA Grapalat" w:cs="Sylfaen"/>
                <w:lang w:val="hy-AM"/>
              </w:rPr>
              <w:t>վերոնշյալ փոփոխությունները</w:t>
            </w:r>
            <w:r>
              <w:rPr>
                <w:rFonts w:ascii="GHEA Grapalat" w:hAnsi="GHEA Grapalat" w:cs="Sylfaen"/>
                <w:lang w:val="hy-AM"/>
              </w:rPr>
              <w:t xml:space="preserve"> կատարելու հարցը:</w:t>
            </w:r>
          </w:p>
          <w:p w14:paraId="1BA06BA9" w14:textId="77777777" w:rsidR="0045383F" w:rsidRPr="00CA47E6" w:rsidRDefault="0045383F" w:rsidP="0045383F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4. Նախագծի 2-րդ կետում «պաշտոնական հրապարակմանը հաջորդող» բառերը առաջարկում ենք փոխարինել «</w:t>
            </w:r>
            <w:r w:rsidRPr="00D62FFC">
              <w:rPr>
                <w:rFonts w:ascii="GHEA Grapalat" w:hAnsi="GHEA Grapalat" w:cs="Sylfaen"/>
                <w:lang w:val="hy-AM"/>
              </w:rPr>
              <w:t>Հայաստանի Հանրապետության արտաքին առևտրի ազգային մեկ պատուհան էլեկտրոնային հարթակում www.trade.gov.am) հասանելի «Թույլատվական փաստաթղթեր sw.gov.am) համակարգի գործարկման</w:t>
            </w:r>
            <w:r>
              <w:rPr>
                <w:rFonts w:ascii="GHEA Grapalat" w:hAnsi="GHEA Grapalat" w:cs="Sylfaen"/>
                <w:lang w:val="hy-AM"/>
              </w:rPr>
              <w:t>» բառերով:</w:t>
            </w:r>
          </w:p>
          <w:p w14:paraId="1F515148" w14:textId="0E6D6DF1" w:rsidR="00F41A0E" w:rsidRPr="00EC1F1C" w:rsidRDefault="00F41A0E" w:rsidP="00A803E3">
            <w:pPr>
              <w:spacing w:line="360" w:lineRule="auto"/>
              <w:ind w:right="179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4877" w:type="dxa"/>
            <w:shd w:val="clear" w:color="auto" w:fill="FFFFFF"/>
            <w:hideMark/>
          </w:tcPr>
          <w:p w14:paraId="70B7A1B8" w14:textId="14BB57FB" w:rsid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722AF6F9" w14:textId="7551A78A" w:rsid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895475A" w14:textId="71DF2906" w:rsid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935C983" w14:textId="3F8063A8" w:rsid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B7BFF4B" w14:textId="1EFDC33B" w:rsid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8375FE4" w14:textId="77777777" w:rsidR="00316109" w:rsidRPr="00316109" w:rsidRDefault="00316109" w:rsidP="00316109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2B950B1" w14:textId="06C50246" w:rsidR="00B129C1" w:rsidRPr="001232CE" w:rsidRDefault="00316109" w:rsidP="00E512B5">
            <w:pPr>
              <w:pStyle w:val="ListParagraph"/>
              <w:numPr>
                <w:ilvl w:val="0"/>
                <w:numId w:val="41"/>
              </w:num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>Ը</w:t>
            </w:r>
            <w:r w:rsidR="00E512B5" w:rsidRPr="00C2524C"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>նդունվել</w:t>
            </w:r>
            <w:r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 xml:space="preserve"> է</w:t>
            </w:r>
            <w:r w:rsidR="00E512B5" w:rsidRPr="00C2524C">
              <w:rPr>
                <w:rFonts w:ascii="GHEA Grapalat" w:hAnsi="GHEA Grapalat"/>
                <w:b/>
                <w:bCs/>
                <w:iCs/>
                <w:color w:val="000000"/>
                <w:lang w:val="hy-AM"/>
              </w:rPr>
              <w:t>:</w:t>
            </w:r>
          </w:p>
          <w:p w14:paraId="4609B8D2" w14:textId="0F809785" w:rsidR="00B129C1" w:rsidRDefault="006A66E3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Առաջար</w:t>
            </w:r>
            <w:r w:rsidR="006E50B0">
              <w:rPr>
                <w:rFonts w:ascii="GHEA Grapalat" w:hAnsi="GHEA Grapalat"/>
                <w:color w:val="000000"/>
                <w:lang w:val="hy-AM" w:eastAsia="hy-AM"/>
              </w:rPr>
              <w:t>կը ներառված է Հիմնավորման մեջ</w:t>
            </w:r>
          </w:p>
          <w:p w14:paraId="4EF7D9C6" w14:textId="156A5D65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C8DA4B7" w14:textId="50F4BCB9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7F8E08B" w14:textId="01CB1E73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85BCF1B" w14:textId="25253AE5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05125E1" w14:textId="6426F58A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5A68FF1" w14:textId="21ECDE1B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7116536" w14:textId="11649353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A748E4C" w14:textId="4483EDD3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44786EE" w14:textId="171012AF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EA97C38" w14:textId="270F5679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275298A" w14:textId="33C754D9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010EC7C7" w14:textId="2F12C096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7D73032C" w14:textId="404D9BAB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7C59C7E8" w14:textId="1B5718DA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7761298D" w14:textId="6583F590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2709285" w14:textId="03B1BFCD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517D9E3" w14:textId="0F0EBF12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3C4D4B4" w14:textId="7120DBF3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4A2DBF6" w14:textId="46DD2862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D632466" w14:textId="4F782D01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06351EF" w14:textId="0D4B1E1C" w:rsidR="006E50B0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5CEDB4F" w14:textId="77777777" w:rsidR="006E50B0" w:rsidRPr="00C2524C" w:rsidRDefault="006E50B0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7E4E57CC" w14:textId="7FD25E76" w:rsidR="00A803E3" w:rsidRPr="006E50B0" w:rsidRDefault="00E512B5" w:rsidP="006E50B0">
            <w:pPr>
              <w:pStyle w:val="ListParagraph"/>
              <w:numPr>
                <w:ilvl w:val="0"/>
                <w:numId w:val="41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6E50B0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78190E63" w14:textId="77777777" w:rsidR="006E50B0" w:rsidRPr="00316109" w:rsidRDefault="006E50B0" w:rsidP="006E50B0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C969E0C" w14:textId="2939EFE1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2EB44316" w14:textId="547E6D3F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1131E3F4" w14:textId="4202C7DB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7FB9E995" w14:textId="1A42EED8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14D195BC" w14:textId="476A08CA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49E00FC3" w14:textId="33C998A3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57F1752A" w14:textId="65289ED4" w:rsidR="00316109" w:rsidRDefault="00316109" w:rsidP="00316109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2D36BC3A" w14:textId="5A329ECD" w:rsidR="00316109" w:rsidRPr="006E50B0" w:rsidRDefault="00316109" w:rsidP="00316109">
            <w:pPr>
              <w:pStyle w:val="ListParagraph"/>
              <w:numPr>
                <w:ilvl w:val="0"/>
                <w:numId w:val="41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C2524C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6302FD68" w14:textId="33F15290" w:rsid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4BF92ABD" w14:textId="30E978FE" w:rsid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7D36412" w14:textId="53B2B811" w:rsid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A4C407E" w14:textId="2A52CCDC" w:rsid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4589D868" w14:textId="543FE85E" w:rsid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2C24F24" w14:textId="77777777" w:rsidR="006E50B0" w:rsidRPr="006E50B0" w:rsidRDefault="006E50B0" w:rsidP="006E50B0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5691BBB" w14:textId="0A2829FE" w:rsidR="006E50B0" w:rsidRPr="006E50B0" w:rsidRDefault="004E0B2C" w:rsidP="006E50B0">
            <w:pPr>
              <w:pStyle w:val="ListParagraph"/>
              <w:numPr>
                <w:ilvl w:val="0"/>
                <w:numId w:val="41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lang w:val="hy-AM" w:eastAsia="hy-AM"/>
              </w:rPr>
              <w:lastRenderedPageBreak/>
              <w:t>Մասամբ է ը</w:t>
            </w:r>
            <w:r w:rsidR="00316109" w:rsidRPr="006E50B0">
              <w:rPr>
                <w:rFonts w:ascii="GHEA Grapalat" w:hAnsi="GHEA Grapalat"/>
                <w:b/>
                <w:lang w:val="hy-AM" w:eastAsia="hy-AM"/>
              </w:rPr>
              <w:t>նդունվել:</w:t>
            </w:r>
            <w:r w:rsidR="006E50B0" w:rsidRPr="006E50B0"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 xml:space="preserve"> </w:t>
            </w:r>
          </w:p>
          <w:p w14:paraId="3BC035F3" w14:textId="604D0D79" w:rsidR="006E50B0" w:rsidRPr="00CA00C8" w:rsidRDefault="006E50B0" w:rsidP="00CA00C8">
            <w:pPr>
              <w:pStyle w:val="ListParagraph"/>
              <w:ind w:left="177" w:right="214" w:firstLine="25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CA00C8"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  <w:t xml:space="preserve">Դիտողությունը աշխատանքային կարգով քննարկվել է ՀՀ Պետական եկամուտների կոմիտեի մասնագետների հետ: Առաջարկվել է արտաքին տնտեսական գործունեության իրականացման համար անհրաժեշտ փաստաթղթերի ձևակերպումն իրականացնել է «Հայաստանի Հանրապետության արտաքին առևտրի ազգային մեկ պատուհան էլեկտրոնային» համակարգի www.trade.gov.am), ՀՀ առողջապահության նախարարությանը հատկացված հարթակում: Սակայն Պետական եկամուտների կոմիտեի մասնագետների կողմից պարզաբանվել է, որ դեղերի ներմուծման մասով ևս անցում պետք է կատարվի «Հայաստանի Հանրապետության արտաքին առևտրի ազգային մեկ պատուհան էլեկտրոնային» համակարգի www.trade.gov.am), </w:t>
            </w:r>
            <w:r w:rsidRPr="00CA00C8">
              <w:rPr>
                <w:rFonts w:ascii="GHEA Grapalat" w:hAnsi="GHEA Grapalat" w:cs="Sylfaen"/>
                <w:lang w:val="hy-AM"/>
              </w:rPr>
              <w:t>«Թույլատվական փաստաթղթեր (sw.gov.am)» հարթակ:</w:t>
            </w:r>
          </w:p>
          <w:p w14:paraId="7B501729" w14:textId="77777777" w:rsidR="00A36567" w:rsidRDefault="00A36567" w:rsidP="00DD15BC">
            <w:pPr>
              <w:tabs>
                <w:tab w:val="left" w:pos="211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53D66CB" w14:textId="77777777" w:rsidR="00CA00C8" w:rsidRDefault="00CA00C8" w:rsidP="00DD15BC">
            <w:pPr>
              <w:tabs>
                <w:tab w:val="left" w:pos="211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5BB63B3" w14:textId="77777777" w:rsidR="00CA00C8" w:rsidRDefault="00CA00C8" w:rsidP="00DD15BC">
            <w:pPr>
              <w:tabs>
                <w:tab w:val="left" w:pos="211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57CB260" w14:textId="7F9D6F15" w:rsidR="00CA00C8" w:rsidRPr="00DD15BC" w:rsidRDefault="00CA00C8" w:rsidP="00DD15BC">
            <w:pPr>
              <w:tabs>
                <w:tab w:val="left" w:pos="211"/>
              </w:tabs>
              <w:ind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DD15BC" w:rsidRPr="00EC1F1C" w14:paraId="1BE87918" w14:textId="77777777" w:rsidTr="00EC2D75">
        <w:trPr>
          <w:trHeight w:val="420"/>
          <w:tblCellSpacing w:w="11" w:type="dxa"/>
          <w:jc w:val="center"/>
        </w:trPr>
        <w:tc>
          <w:tcPr>
            <w:tcW w:w="8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FB11F8" w14:textId="3F5A52DB" w:rsidR="00EC2D75" w:rsidRPr="00BF6445" w:rsidRDefault="00DD15BC" w:rsidP="00DD15BC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F6445">
              <w:rPr>
                <w:rFonts w:ascii="GHEA Grapalat" w:hAnsi="GHEA Grapalat" w:cs="Sylfaen"/>
                <w:b/>
                <w:lang w:val="hy-AM"/>
              </w:rPr>
              <w:lastRenderedPageBreak/>
              <w:t>2. ՀՀ արդարադատության նախարարություն</w:t>
            </w:r>
          </w:p>
          <w:p w14:paraId="07297879" w14:textId="77777777" w:rsidR="00DD15BC" w:rsidRPr="00BF6445" w:rsidRDefault="00DD15BC" w:rsidP="00EC2D75">
            <w:pPr>
              <w:rPr>
                <w:rFonts w:ascii="GHEA Grapalat" w:hAnsi="GHEA Grapalat" w:cs="Sylfaen"/>
                <w:b/>
                <w:highlight w:val="lightGray"/>
                <w:lang w:val="hy-AM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ED2D1C" w14:textId="14B5978E" w:rsidR="00DD15BC" w:rsidRPr="00BF6445" w:rsidRDefault="00DD15BC" w:rsidP="00DD15BC">
            <w:pPr>
              <w:tabs>
                <w:tab w:val="left" w:pos="264"/>
              </w:tabs>
              <w:ind w:right="214"/>
              <w:jc w:val="center"/>
              <w:rPr>
                <w:rFonts w:ascii="GHEA Grapalat" w:hAnsi="GHEA Grapalat"/>
                <w:b/>
                <w:color w:val="000000"/>
                <w:highlight w:val="lightGray"/>
                <w:lang w:val="hy-AM" w:eastAsia="hy-AM"/>
              </w:rPr>
            </w:pPr>
            <w:r w:rsidRPr="00BF6445">
              <w:rPr>
                <w:rFonts w:ascii="GHEA Grapalat" w:hAnsi="GHEA Grapalat"/>
                <w:b/>
                <w:color w:val="000000"/>
                <w:lang w:val="hy-AM" w:eastAsia="hy-AM"/>
              </w:rPr>
              <w:t>26.12.2022</w:t>
            </w:r>
          </w:p>
        </w:tc>
      </w:tr>
      <w:tr w:rsidR="00DD15BC" w:rsidRPr="00EC1F1C" w14:paraId="306F9587" w14:textId="77777777" w:rsidTr="00EC2D75">
        <w:trPr>
          <w:trHeight w:val="425"/>
          <w:tblCellSpacing w:w="11" w:type="dxa"/>
          <w:jc w:val="center"/>
        </w:trPr>
        <w:tc>
          <w:tcPr>
            <w:tcW w:w="8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A5ACE" w14:textId="77777777" w:rsidR="00DD15BC" w:rsidRPr="00BF6445" w:rsidRDefault="00DD15BC" w:rsidP="00DD15BC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A710C" w14:textId="7D957708" w:rsidR="00DD15BC" w:rsidRPr="00BF6445" w:rsidRDefault="00DD15BC" w:rsidP="00DD15BC">
            <w:pPr>
              <w:tabs>
                <w:tab w:val="left" w:pos="264"/>
              </w:tabs>
              <w:ind w:right="214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BF6445">
              <w:rPr>
                <w:rFonts w:ascii="GHEA Grapalat" w:hAnsi="GHEA Grapalat"/>
                <w:b/>
                <w:color w:val="000000"/>
                <w:lang w:val="hy-AM" w:eastAsia="hy-AM"/>
              </w:rPr>
              <w:t>/27.3/57996-2022</w:t>
            </w:r>
          </w:p>
        </w:tc>
      </w:tr>
      <w:tr w:rsidR="00DD15BC" w:rsidRPr="00DD0B39" w14:paraId="68765FE1" w14:textId="77777777" w:rsidTr="00644016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111D1D59" w14:textId="0A494FC5" w:rsidR="007A2C7B" w:rsidRPr="00F263A3" w:rsidRDefault="009F6CF5" w:rsidP="009F6CF5">
            <w:pPr>
              <w:spacing w:line="36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     </w:t>
            </w:r>
            <w:r w:rsidR="007A2C7B" w:rsidRPr="009F6CF5">
              <w:rPr>
                <w:rFonts w:ascii="GHEA Grapalat" w:hAnsi="GHEA Grapalat" w:cs="Sylfaen"/>
                <w:bCs/>
              </w:rPr>
              <w:t xml:space="preserve">«Հայաստանի Հանրապետության կառավարության 2016 թվականի մարտի 31-ի «Փոխպատվաստման նպատակով մարդու դոնորական օրգանների և (կամ) հյուսվածքների ներմուծման, արյան և դրա բաղադրամասերի, թմրամիջոցների, հոգեմետ (հոգեներգործուն) նյութերի կամ դրանց պրեկուրսորների ներմուծման և արտահանման կարգը ու դրանց ցանկերը հաստատելու և Հայաստանի Հանրապետության կառավարության 2007 թվականի ապրիլի 26-ի N 551-Ն որոշումն ուժը կորցրած ճանաչելու մասին» N 335-Ն որոշման  մեջ լրացումներ և փոփոխություններ կատարելու մասին» Հայաստանի Հանրապետության կառավարության որոշման նախագծի վերաբերյալ </w:t>
            </w:r>
            <w:r>
              <w:rPr>
                <w:rFonts w:ascii="GHEA Grapalat" w:hAnsi="GHEA Grapalat" w:cs="Sylfaen"/>
                <w:bCs/>
                <w:lang w:val="hy-AM"/>
              </w:rPr>
              <w:t>հայտնում եմ</w:t>
            </w:r>
          </w:p>
          <w:p w14:paraId="24FB9522" w14:textId="77777777" w:rsidR="007A2C7B" w:rsidRPr="007A2C7B" w:rsidRDefault="007A2C7B" w:rsidP="009F6CF5">
            <w:pPr>
              <w:spacing w:line="360" w:lineRule="auto"/>
              <w:ind w:firstLine="547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1. «Հայաստանի Հանրապետության կառավարության 2016 թվականի մարտի 31-ի «Փոխպատվաստման նպատակով մարդու դոնորական օրգանների և (կամ) հյուսվածքների ներմուծման, արյան և դրա բաղադրամասերի, թմրամիջոցների, հոգեմետ (հոգեներգործուն) նյութերի կամ դրանց պրեկուրսորների ներմուծման և արտահանման կարգը ու դրանց ցանկերը հաստատելու և Հայաստանի Հանրապետության կառավարության 2007 թվականի ապրիլի 26-ի N 551-Ն որոշումն ուժը կորցրած ճանաչելու մասին» N 335-Ն որոշման  մեջ լրացումներ և փոփոխություններ կատարելու </w:t>
            </w: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lastRenderedPageBreak/>
              <w:t>մասին» Հայաստանի Հանրապետության կառավարության որոշման</w:t>
            </w:r>
            <w:r w:rsidRPr="007A2C7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>նախագծի (այսուհետ՝ Նախագիծ) 1-ին կետի 1-ին ենթակետով լրացվող 14.2-րդ կետի «տրամադրում» բառն անհրաժեշտ է փոխարինել «տրամադրվում»  բառով, իսկ  «ներկայացվել» բառն անհրաժեշտ է փոխարինել «տրամադրվել»  բառով:</w:t>
            </w:r>
          </w:p>
          <w:p w14:paraId="6294FCDC" w14:textId="77777777" w:rsidR="007A2C7B" w:rsidRPr="007A2C7B" w:rsidRDefault="007A2C7B" w:rsidP="009F6CF5">
            <w:pPr>
              <w:spacing w:line="360" w:lineRule="auto"/>
              <w:ind w:left="22" w:firstLine="165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>2. Նախագծի 1-ին կետի 2-րդ ենթակետի ա) պարբերությամբ լրացվող 13.2-րդ կետի «ներկայացվել» բառն անհրաժեշտ է փոխարինել «տրամադրվել» բառով:</w:t>
            </w:r>
          </w:p>
          <w:p w14:paraId="08B57704" w14:textId="77777777" w:rsidR="007A2C7B" w:rsidRPr="007A2C7B" w:rsidRDefault="007A2C7B" w:rsidP="009F6CF5">
            <w:pPr>
              <w:spacing w:line="360" w:lineRule="auto"/>
              <w:ind w:left="22" w:firstLine="165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>3. Նախագծի 1-ին կետի 2-րդ ենթակետի բ) պարբերության «անհաղթահարելի ուժի առկայության դեպքերով սահմանված» բառերն առաջարկում ենք փոխարինել «անհաղթահարելի ուժի առկայության դեպքերով պայմանավորված» բառերով:</w:t>
            </w:r>
          </w:p>
          <w:p w14:paraId="34A387EE" w14:textId="77777777" w:rsidR="007A2C7B" w:rsidRPr="007A2C7B" w:rsidRDefault="007A2C7B" w:rsidP="009F6CF5">
            <w:pPr>
              <w:spacing w:line="360" w:lineRule="auto"/>
              <w:ind w:left="22" w:firstLine="165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>Բացի այդ, հաշվի առնելով Նախագծի 1-ին կետի 2-րդ ենթակետի բ) և գ) պարբերություններով նախատեսվող փոփոխությունները՝ գտնում ենք, որ անհրաժեշտ է նույնաբովանդակ փոփոխություններ նախատեսել նաև Հայաստանի Հանրապետության կառավարության 2016 թվականի մարտի 31-ի N 335-Ն որոշման Հավելված 1-ի համապատասխան կետերում:</w:t>
            </w:r>
          </w:p>
          <w:p w14:paraId="00A28723" w14:textId="77777777" w:rsidR="007A2C7B" w:rsidRPr="007A2C7B" w:rsidRDefault="007A2C7B" w:rsidP="009F6CF5">
            <w:pPr>
              <w:spacing w:line="360" w:lineRule="auto"/>
              <w:ind w:left="22" w:firstLine="165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4. Միևնույն ժամանակ հարկ ենք համարում անդրադառնալ Հայաստանի Հանրապետության կառավարության 2016 թվականի մարտի 31-ի N 335-Ն որոշման (այսուհետ՝ Որոշում) ընդունման իրավական հիմքին: Այսպես, նշված </w:t>
            </w: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lastRenderedPageBreak/>
              <w:t xml:space="preserve">Որոշմամբ Կառավարությունը հաստատում է </w:t>
            </w:r>
            <w:r w:rsidRPr="007A2C7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այդ թվում նաև թմրամիջոցների, հոգեմետ (հոգեներգործուն) նյութերի կամ դրանց պրեկուրսորների ներմուծման և արտահանման կարգը ու դրանց ցանկերը:</w:t>
            </w: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Մինչդեռ նախաբանում հղում է կատարվել «Մարդուն օրգաններ և (կամ) հյուսվածքներ փոխպատվաստելու մասին» Հայաստանի Հանրապետության օրենքի 10-րդ հոդվածին, «Մարդու արյան և դրա բաղադրամասերի դոնորության և փոխներարկումային բժշկական օգնության մասին» Հայաստանի Հանրապետության օրենքի 6-րդ հոդվածին և Հայաստանի Հանրապետության կառավարության 2014 թվականի դեկտեմբերի 25-ի N 1524-Ն որոշման 6-րդ կետի 1-ին ենթակետի պահանջներին:</w:t>
            </w:r>
          </w:p>
          <w:p w14:paraId="7626FCBD" w14:textId="77777777" w:rsidR="007A2C7B" w:rsidRPr="007A2C7B" w:rsidRDefault="007A2C7B" w:rsidP="009F6CF5">
            <w:pPr>
              <w:spacing w:line="336" w:lineRule="auto"/>
              <w:ind w:left="22" w:firstLine="165"/>
              <w:jc w:val="both"/>
              <w:rPr>
                <w:rFonts w:ascii="GHEA Grapalat" w:hAnsi="GHEA Grapalat"/>
                <w:b/>
                <w:color w:val="000000"/>
                <w:szCs w:val="21"/>
                <w:lang w:val="hy-AM"/>
              </w:rPr>
            </w:pPr>
            <w:r w:rsidRPr="007A2C7B">
              <w:rPr>
                <w:rFonts w:ascii="GHEA Grapalat" w:hAnsi="GHEA Grapalat"/>
                <w:color w:val="000000"/>
                <w:szCs w:val="21"/>
                <w:lang w:val="hy-AM"/>
              </w:rPr>
              <w:t xml:space="preserve">Հայաստանի Հանրապետության սահմանադրության 6-րդ հոդվածի 2-րդ մասին, համաձայն որի՝ Սահմանադրության և օրենքների հիման վրա և դրանց իրականացումն ապահովելու նպատակով Սահմանադրությամբ նախատեսված մարմինները կարող են </w:t>
            </w:r>
            <w:r w:rsidRPr="007A2C7B">
              <w:rPr>
                <w:rFonts w:ascii="GHEA Grapalat" w:hAnsi="GHEA Grapalat"/>
                <w:b/>
                <w:color w:val="000000"/>
                <w:szCs w:val="21"/>
                <w:lang w:val="hy-AM"/>
              </w:rPr>
              <w:t xml:space="preserve">օրենքով լիազորվել ընդունելու ենթաօրենսդրական նորմատիվ իրավական ակտեր: </w:t>
            </w:r>
          </w:p>
          <w:p w14:paraId="50BAD340" w14:textId="77777777" w:rsidR="007A2C7B" w:rsidRPr="007A2C7B" w:rsidRDefault="007A2C7B" w:rsidP="009F6CF5">
            <w:pPr>
              <w:spacing w:line="336" w:lineRule="auto"/>
              <w:ind w:left="22" w:firstLine="165"/>
              <w:jc w:val="both"/>
              <w:rPr>
                <w:rFonts w:ascii="GHEA Grapalat" w:hAnsi="GHEA Grapalat"/>
                <w:color w:val="000000" w:themeColor="text1"/>
                <w:szCs w:val="21"/>
                <w:lang w:val="hy-AM"/>
              </w:rPr>
            </w:pPr>
            <w:r w:rsidRPr="007A2C7B">
              <w:rPr>
                <w:rFonts w:ascii="GHEA Grapalat" w:hAnsi="GHEA Grapalat"/>
                <w:color w:val="000000" w:themeColor="text1"/>
                <w:szCs w:val="21"/>
                <w:lang w:val="hy-AM"/>
              </w:rPr>
              <w:t xml:space="preserve">Վերոգրյալից ելնելով և հաշվի առնելով այն հանգամանքը, որ </w:t>
            </w:r>
            <w:r w:rsidRPr="007A2C7B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Որոշման </w:t>
            </w:r>
            <w:r w:rsidRPr="007A2C7B">
              <w:rPr>
                <w:rFonts w:ascii="GHEA Grapalat" w:hAnsi="GHEA Grapalat"/>
                <w:color w:val="000000" w:themeColor="text1"/>
                <w:szCs w:val="21"/>
                <w:lang w:val="hy-AM"/>
              </w:rPr>
              <w:t>նախաբանում նշված չէ այն լիազորող նորմը, որով Կառավարությանը վերապահված է թմրամիջոցների, հոգեմետ (հոգեներգործուն) նյութերի կամ դրանց պրեկուրսորների ներմուծման և արտահանման կարգը ու դրանց ցանկերը հաստատելու լիազորություն՝ գտնում ենք, որ Նախագծի 1-ին կետի 2-րդ ենթակետով նախատեսվող կարգավորումները խնդրահարույց են:</w:t>
            </w:r>
          </w:p>
          <w:p w14:paraId="2A47158B" w14:textId="0C923F01" w:rsidR="007A2C7B" w:rsidRPr="00CA00C8" w:rsidRDefault="009F6CF5" w:rsidP="009F6CF5">
            <w:pPr>
              <w:spacing w:line="336" w:lineRule="auto"/>
              <w:ind w:left="22" w:firstLine="23"/>
              <w:jc w:val="both"/>
              <w:rPr>
                <w:rFonts w:ascii="GHEA Grapalat" w:hAnsi="GHEA Grapalat"/>
                <w:color w:val="000000" w:themeColor="text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Cs w:val="21"/>
                <w:lang w:val="hy-AM"/>
              </w:rPr>
              <w:lastRenderedPageBreak/>
              <w:t xml:space="preserve">  </w:t>
            </w:r>
            <w:r w:rsidR="007A2C7B" w:rsidRPr="00CA00C8">
              <w:rPr>
                <w:rFonts w:ascii="GHEA Grapalat" w:hAnsi="GHEA Grapalat"/>
                <w:color w:val="000000" w:themeColor="text1"/>
                <w:szCs w:val="21"/>
                <w:lang w:val="hy-AM"/>
              </w:rPr>
              <w:t>Նշվածը հաշվի առնելով՝ անհրաժեշտ է Նախագծով նախատեսել համապատասխան լրացում, որով Որոշման նախաբանում կնշվի այն լիազորող նորմը, որի հիման վրա Կառավարությունը լիազորված կլինի հաստատելու թմրամիջոցների, հոգեմետ (հոգեներգործուն) նյութերի կամ դրանց պրեկուրսորների ներմուծման և արտահանման կարգը ու դրանց ցանկերը:</w:t>
            </w:r>
          </w:p>
          <w:p w14:paraId="00FF3BE2" w14:textId="77777777" w:rsidR="00DD15BC" w:rsidRPr="00CA00C8" w:rsidRDefault="00DD15BC" w:rsidP="00644016">
            <w:pPr>
              <w:spacing w:line="360" w:lineRule="auto"/>
              <w:ind w:right="179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4877" w:type="dxa"/>
            <w:shd w:val="clear" w:color="auto" w:fill="FFFFFF"/>
            <w:hideMark/>
          </w:tcPr>
          <w:p w14:paraId="5AA8F796" w14:textId="77777777" w:rsidR="00DD15BC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F2F0EF6" w14:textId="77777777" w:rsidR="00DD15BC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B5DADA9" w14:textId="77777777" w:rsidR="00DD15BC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3DC1260" w14:textId="77777777" w:rsidR="00DD15BC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CB9A898" w14:textId="77777777" w:rsidR="00DD15BC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985A024" w14:textId="77777777" w:rsidR="00DD15BC" w:rsidRPr="00316109" w:rsidRDefault="00DD15BC" w:rsidP="00644016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A144009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5E96206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5626855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B494AC9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5C6ECEA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B7BBC6D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4F87F42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C36E2C4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0A6403C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73E7713A" w14:textId="7EA7BC47" w:rsidR="007A2C7B" w:rsidRPr="007A2C7B" w:rsidRDefault="007A2C7B" w:rsidP="007A2C7B">
            <w:pPr>
              <w:pStyle w:val="ListParagraph"/>
              <w:numPr>
                <w:ilvl w:val="0"/>
                <w:numId w:val="44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6E50B0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03EEED4D" w14:textId="0012600B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BFB3AE5" w14:textId="500F462C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7503EB6F" w14:textId="326BFF48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742D2DAB" w14:textId="043DE206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514BF0B" w14:textId="17F1F20C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7DF8329" w14:textId="14B79CB4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30372F1" w14:textId="165D6151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76B2B22" w14:textId="05626E81" w:rsidR="007A2C7B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C35F25A" w14:textId="77777777" w:rsidR="007A2C7B" w:rsidRPr="006E50B0" w:rsidRDefault="007A2C7B" w:rsidP="007A2C7B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2B45E10" w14:textId="14139FEF" w:rsidR="00DD15BC" w:rsidRPr="007A2C7B" w:rsidRDefault="00DD15BC" w:rsidP="007A2C7B">
            <w:pPr>
              <w:ind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C895C2C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CA1E9BC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1A90C4EA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3EDF02F9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0C81EC9E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F5F1AEC" w14:textId="77777777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2E98D269" w14:textId="6187C621" w:rsidR="00DD15B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C2ED830" w14:textId="09AF52F9" w:rsidR="009F6CF5" w:rsidRPr="009F6CF5" w:rsidRDefault="009F6CF5" w:rsidP="009F6CF5">
            <w:pPr>
              <w:ind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37CCD798" w14:textId="77777777" w:rsidR="00DD15BC" w:rsidRPr="00C2524C" w:rsidRDefault="00DD15BC" w:rsidP="00644016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4877A6B4" w14:textId="77777777" w:rsidR="00DD15BC" w:rsidRPr="006E50B0" w:rsidRDefault="00DD15BC" w:rsidP="007A2C7B">
            <w:pPr>
              <w:pStyle w:val="ListParagraph"/>
              <w:numPr>
                <w:ilvl w:val="0"/>
                <w:numId w:val="44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6E50B0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202408C2" w14:textId="77777777" w:rsidR="00DD15BC" w:rsidRDefault="00DD15BC" w:rsidP="00644016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2170B4D9" w14:textId="260ED700" w:rsidR="00DD15BC" w:rsidRDefault="00DD15BC" w:rsidP="00644016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225AEBDA" w14:textId="77777777" w:rsidR="009F6CF5" w:rsidRDefault="009F6CF5" w:rsidP="00644016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lang w:val="hy-AM" w:eastAsia="hy-AM"/>
              </w:rPr>
            </w:pPr>
          </w:p>
          <w:p w14:paraId="7BD6AF69" w14:textId="77777777" w:rsidR="00DD15BC" w:rsidRPr="006E50B0" w:rsidRDefault="00DD15BC" w:rsidP="007A2C7B">
            <w:pPr>
              <w:pStyle w:val="ListParagraph"/>
              <w:numPr>
                <w:ilvl w:val="0"/>
                <w:numId w:val="44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C2524C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76145364" w14:textId="77777777" w:rsidR="00DD15BC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4D01419" w14:textId="77777777" w:rsidR="00DD15BC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D9FC4CB" w14:textId="77777777" w:rsidR="00DD15BC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54D850D" w14:textId="77777777" w:rsidR="00DD15BC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79F60D60" w14:textId="7EB5017E" w:rsidR="00DD15BC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1073F48" w14:textId="0E134E0E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5A6189A" w14:textId="200A7CB0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4D5E38A0" w14:textId="32AF3BAA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790A95A" w14:textId="53BD84D6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89DE6DA" w14:textId="4CADFC41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49B33942" w14:textId="1516BD4D" w:rsidR="007A2C7B" w:rsidRDefault="007A2C7B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468E1CE" w14:textId="77777777" w:rsidR="009F6CF5" w:rsidRDefault="009F6CF5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F6C0AEB" w14:textId="77777777" w:rsidR="00DD15BC" w:rsidRPr="006E50B0" w:rsidRDefault="00DD15BC" w:rsidP="00644016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EEBBAB5" w14:textId="24F9529F" w:rsidR="00DD15BC" w:rsidRPr="006E50B0" w:rsidRDefault="007A2C7B" w:rsidP="007A2C7B">
            <w:pPr>
              <w:pStyle w:val="ListParagraph"/>
              <w:numPr>
                <w:ilvl w:val="0"/>
                <w:numId w:val="44"/>
              </w:num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lang w:val="hy-AM" w:eastAsia="hy-AM"/>
              </w:rPr>
              <w:t>Չի</w:t>
            </w:r>
            <w:r w:rsidR="00DD15BC">
              <w:rPr>
                <w:rFonts w:ascii="GHEA Grapalat" w:hAnsi="GHEA Grapalat"/>
                <w:b/>
                <w:lang w:val="hy-AM" w:eastAsia="hy-AM"/>
              </w:rPr>
              <w:t xml:space="preserve"> ը</w:t>
            </w:r>
            <w:r w:rsidR="00DD15BC" w:rsidRPr="006E50B0">
              <w:rPr>
                <w:rFonts w:ascii="GHEA Grapalat" w:hAnsi="GHEA Grapalat"/>
                <w:b/>
                <w:lang w:val="hy-AM" w:eastAsia="hy-AM"/>
              </w:rPr>
              <w:t>նդունվել:</w:t>
            </w:r>
            <w:r w:rsidR="00DD15BC" w:rsidRPr="006E50B0">
              <w:rPr>
                <w:rFonts w:ascii="GHEA Grapalat" w:hAnsi="GHEA Grapalat" w:cs="Sylfaen"/>
                <w:b/>
                <w:bCs/>
                <w:iCs/>
                <w:color w:val="000000"/>
                <w:lang w:val="hy-AM"/>
              </w:rPr>
              <w:t xml:space="preserve"> </w:t>
            </w:r>
          </w:p>
          <w:p w14:paraId="77015D35" w14:textId="6655E052" w:rsidR="00DD15BC" w:rsidRPr="00CA00C8" w:rsidRDefault="00EC2D75" w:rsidP="00CA00C8">
            <w:pPr>
              <w:spacing w:line="360" w:lineRule="auto"/>
              <w:ind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CA00C8">
              <w:rPr>
                <w:rFonts w:ascii="GHEA Grapalat" w:hAnsi="GHEA Grapalat"/>
                <w:color w:val="000000"/>
                <w:lang w:val="hy-AM" w:eastAsia="hy-AM"/>
              </w:rPr>
              <w:t xml:space="preserve">    </w:t>
            </w:r>
            <w:r w:rsidR="00CA00C8">
              <w:rPr>
                <w:rFonts w:ascii="GHEA Grapalat" w:hAnsi="GHEA Grapalat"/>
                <w:color w:val="000000"/>
                <w:lang w:val="hy-AM" w:eastAsia="hy-AM"/>
              </w:rPr>
              <w:t>Ն</w:t>
            </w:r>
            <w:r w:rsidR="007A2C7B" w:rsidRPr="00CA00C8">
              <w:rPr>
                <w:rFonts w:ascii="GHEA Grapalat" w:hAnsi="GHEA Grapalat"/>
                <w:color w:val="000000"/>
                <w:lang w:val="hy-AM" w:eastAsia="hy-AM"/>
              </w:rPr>
              <w:t xml:space="preserve">շված որոշման </w:t>
            </w:r>
            <w:r w:rsidR="009F6CF5" w:rsidRPr="00CA00C8">
              <w:rPr>
                <w:rFonts w:ascii="GHEA Grapalat" w:hAnsi="GHEA Grapalat"/>
                <w:color w:val="000000"/>
                <w:lang w:val="hy-AM" w:eastAsia="hy-AM"/>
              </w:rPr>
              <w:t>վերնագիրը և նախաբանը փոփոխ</w:t>
            </w:r>
            <w:r w:rsidR="009F6CF5">
              <w:rPr>
                <w:rFonts w:ascii="GHEA Grapalat" w:hAnsi="GHEA Grapalat"/>
                <w:color w:val="000000"/>
                <w:lang w:val="hy-AM" w:eastAsia="hy-AM"/>
              </w:rPr>
              <w:t xml:space="preserve">ության չեն ենթարկվել </w:t>
            </w:r>
            <w:r w:rsidR="007A2C7B" w:rsidRPr="00CA00C8">
              <w:rPr>
                <w:rFonts w:ascii="GHEA Grapalat" w:hAnsi="GHEA Grapalat"/>
                <w:color w:val="000000"/>
                <w:lang w:val="hy-AM" w:eastAsia="hy-AM"/>
              </w:rPr>
              <w:t xml:space="preserve">ընդունված օրվանից (31 </w:t>
            </w:r>
            <w:r w:rsidR="007A2C7B" w:rsidRPr="00CA00C8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մարտի 2016 թվական)</w:t>
            </w:r>
            <w:r w:rsidRPr="00CA00C8">
              <w:rPr>
                <w:rFonts w:ascii="GHEA Grapalat" w:hAnsi="GHEA Grapalat"/>
                <w:color w:val="000000"/>
                <w:lang w:val="hy-AM" w:eastAsia="hy-AM"/>
              </w:rPr>
              <w:t xml:space="preserve">: </w:t>
            </w:r>
            <w:r w:rsidR="009F6CF5">
              <w:rPr>
                <w:rFonts w:ascii="GHEA Grapalat" w:hAnsi="GHEA Grapalat"/>
                <w:color w:val="000000"/>
                <w:lang w:val="hy-AM" w:eastAsia="hy-AM"/>
              </w:rPr>
              <w:t>Միաժամանակ անհրաժեշտ է նշել, որ նույն որոշման համար լիազորող նորմ ամրագրելը դուրս է նախագծի կարգավորման առարկայի շրջանակներից:</w:t>
            </w:r>
          </w:p>
          <w:p w14:paraId="0A61A9D3" w14:textId="77777777" w:rsidR="00DD15BC" w:rsidRPr="00316109" w:rsidRDefault="00DD15BC" w:rsidP="00644016">
            <w:pPr>
              <w:pStyle w:val="ListParagraph"/>
              <w:ind w:left="432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FBCC8F6" w14:textId="77777777" w:rsidR="00DD15BC" w:rsidRPr="00DD15BC" w:rsidRDefault="00DD15BC" w:rsidP="00644016">
            <w:pPr>
              <w:tabs>
                <w:tab w:val="left" w:pos="211"/>
              </w:tabs>
              <w:ind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DD15BC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</w:p>
        </w:tc>
      </w:tr>
      <w:tr w:rsidR="00B57032" w:rsidRPr="00BF6445" w14:paraId="6B7570D4" w14:textId="77777777" w:rsidTr="00B57032">
        <w:trPr>
          <w:trHeight w:val="395"/>
          <w:tblCellSpacing w:w="11" w:type="dxa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8C3EF9F" w14:textId="50208BEC" w:rsidR="00B57032" w:rsidRPr="00B57032" w:rsidRDefault="00B57032" w:rsidP="00B57032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B57032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3. Իրավական ակտերի նախագծերի հրապարակման միասնական կայք</w:t>
            </w:r>
          </w:p>
          <w:p w14:paraId="4FCC7908" w14:textId="1E965152" w:rsidR="00B57032" w:rsidRPr="00B57032" w:rsidRDefault="00B57032" w:rsidP="00B57032">
            <w:pPr>
              <w:spacing w:line="360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B57032">
              <w:rPr>
                <w:rFonts w:ascii="GHEA Grapalat" w:hAnsi="GHEA Grapalat" w:cs="Sylfaen"/>
                <w:b/>
                <w:bCs/>
                <w:lang w:val="hy-AM"/>
              </w:rPr>
              <w:t xml:space="preserve">    Ռուբեն Գրիգորյան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24C12AD" w14:textId="5496E426" w:rsidR="00B57032" w:rsidRPr="00B57032" w:rsidRDefault="00B57032" w:rsidP="00B57032">
            <w:p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B57032">
              <w:rPr>
                <w:rFonts w:ascii="GHEA Grapalat" w:hAnsi="GHEA Grapalat"/>
                <w:b/>
                <w:color w:val="000000"/>
                <w:lang w:val="hy-AM" w:eastAsia="hy-AM"/>
              </w:rPr>
              <w:t>01.02.2023թ.</w:t>
            </w:r>
          </w:p>
        </w:tc>
      </w:tr>
      <w:tr w:rsidR="00B57032" w:rsidRPr="00DD0B39" w14:paraId="06615194" w14:textId="77777777" w:rsidTr="00B57032">
        <w:trPr>
          <w:trHeight w:val="395"/>
          <w:tblCellSpacing w:w="11" w:type="dxa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24A3B" w14:textId="44BE04AD" w:rsidR="00B57032" w:rsidRPr="00B57032" w:rsidRDefault="00B57032" w:rsidP="00B57032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</w:t>
            </w:r>
            <w:r w:rsidRPr="00B57032">
              <w:rPr>
                <w:rFonts w:ascii="GHEA Grapalat" w:eastAsia="GHEA Grapalat" w:hAnsi="GHEA Grapalat" w:cs="GHEA Grapalat"/>
                <w:color w:val="000000"/>
                <w:lang w:val="hy-AM"/>
              </w:rPr>
              <w:t>Առաջարկում եմ այս գործունեությունը լինի բացառապես պետական մարմնի տնօրինությամբ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5B96" w14:textId="77777777" w:rsidR="00B57032" w:rsidRDefault="00B57032" w:rsidP="00B57032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Չի ընդունվել</w:t>
            </w:r>
          </w:p>
          <w:p w14:paraId="5E7695E5" w14:textId="732C3D15" w:rsidR="00B57032" w:rsidRPr="00B57032" w:rsidRDefault="00B57032" w:rsidP="00B57032">
            <w:pPr>
              <w:pStyle w:val="ListParagraph"/>
              <w:tabs>
                <w:tab w:val="left" w:pos="264"/>
              </w:tabs>
              <w:ind w:left="33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   </w:t>
            </w:r>
            <w:r w:rsidRPr="00B57032">
              <w:rPr>
                <w:rFonts w:ascii="GHEA Grapalat" w:hAnsi="GHEA Grapalat"/>
                <w:color w:val="000000"/>
                <w:lang w:val="hy-AM" w:eastAsia="hy-AM"/>
              </w:rPr>
              <w:t xml:space="preserve">Հայաստանի Հանրապետությունում թմրամիջոցների, հոգեմետ (հոգենեգործուն) նյութերի կամ դրանց պրեկուրսորների շրջանառությունը իրականացվում է բացառապես Առողջապահության նախարարության կողմից տրված լիցենզիայի առկայության դեպքում, որը տրամադրվում է համաձայն ՀՀ կառավարության 2002 թվականի հունիսի 29-ի N 867 «Հայաստանի Հանրապետությունում դեղերի արտադրության, դեղատնային գործունեության, կազմակերպությունների կամ անհատ ձեռնարկատերերի կողմից բժշկական </w:t>
            </w:r>
            <w:r w:rsidRPr="00B57032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օգնության և սպասարկման իրականացման, դեղերի մեծածախ իրացման լիցենզավորման կարգերը և նշված գործունեությունների իրականացման լիցենզիայի ձևերը հաստատելու մասին» որոշման:</w:t>
            </w:r>
            <w:r w:rsidRPr="00B57032">
              <w:rPr>
                <w:rFonts w:ascii="GHEA Grapalat" w:hAnsi="GHEA Grapalat"/>
                <w:color w:val="000000"/>
                <w:lang w:val="hy-AM" w:eastAsia="hy-AM"/>
              </w:rPr>
              <w:tab/>
            </w:r>
          </w:p>
        </w:tc>
      </w:tr>
      <w:tr w:rsidR="00DD0B39" w:rsidRPr="00DD0B39" w14:paraId="6A4CC900" w14:textId="77777777" w:rsidTr="00DD0B39">
        <w:trPr>
          <w:trHeight w:val="395"/>
          <w:tblCellSpacing w:w="11" w:type="dxa"/>
          <w:jc w:val="center"/>
        </w:trPr>
        <w:tc>
          <w:tcPr>
            <w:tcW w:w="8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3E588" w14:textId="032DBD63" w:rsidR="00DD0B39" w:rsidRPr="00DD0B39" w:rsidRDefault="00DD0B39" w:rsidP="00DD0B39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>4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.</w:t>
            </w:r>
            <w:r w:rsidRPr="00DD0B39">
              <w:rPr>
                <w:lang w:val="hy-AM"/>
              </w:rPr>
              <w:t xml:space="preserve"> 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Վարչապետի աշխատակազմի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ֆինանսատնտեսագիտական վարչության </w:t>
            </w:r>
          </w:p>
          <w:p w14:paraId="77E502EF" w14:textId="1BF41337" w:rsidR="00DD0B39" w:rsidRPr="00DD0B39" w:rsidRDefault="00DD0B39" w:rsidP="00C7416E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եզրակացություն</w:t>
            </w:r>
            <w:r w:rsidR="00C7416E"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>«Հայաuտանի Հանրապետության կառավարության 2016 թվականի մարտի 31-ի N 335-ն որոշման մեջ լրացումներ կատարելու մաuին» ՀՀ կառավարության որոշման նախագծի (այսուհետ՝ նախագիծ)   մասին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E71B4" w14:textId="46E8E12D" w:rsidR="00DD0B39" w:rsidRPr="00DD0B39" w:rsidRDefault="00DD0B39" w:rsidP="00DD0B39">
            <w:pPr>
              <w:pStyle w:val="ListParagraph"/>
              <w:ind w:hanging="360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07.03</w:t>
            </w:r>
            <w:r w:rsidRPr="00BF6445">
              <w:rPr>
                <w:rFonts w:ascii="GHEA Grapalat" w:hAnsi="GHEA Grapalat"/>
                <w:b/>
                <w:color w:val="000000"/>
                <w:lang w:val="hy-AM" w:eastAsia="hy-AM"/>
              </w:rPr>
              <w:t>.202</w:t>
            </w: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3</w:t>
            </w:r>
          </w:p>
        </w:tc>
      </w:tr>
      <w:tr w:rsidR="00DD0B39" w:rsidRPr="00DD0B39" w14:paraId="0F1395E6" w14:textId="77777777" w:rsidTr="00DD0B39">
        <w:trPr>
          <w:trHeight w:val="395"/>
          <w:tblCellSpacing w:w="11" w:type="dxa"/>
          <w:jc w:val="center"/>
        </w:trPr>
        <w:tc>
          <w:tcPr>
            <w:tcW w:w="8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7F133" w14:textId="77777777" w:rsidR="00DD0B39" w:rsidRPr="00DD0B39" w:rsidRDefault="00DD0B39" w:rsidP="00DD0B39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CF017" w14:textId="46791736" w:rsidR="00DD0B39" w:rsidRPr="00BF6445" w:rsidRDefault="00DD0B39" w:rsidP="00DD0B39">
            <w:pPr>
              <w:pStyle w:val="ListParagraph"/>
              <w:ind w:hanging="360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D0B39">
              <w:rPr>
                <w:rFonts w:ascii="GHEA Grapalat" w:hAnsi="GHEA Grapalat"/>
                <w:b/>
                <w:color w:val="000000"/>
                <w:lang w:val="hy-AM" w:eastAsia="hy-AM"/>
              </w:rPr>
              <w:t>02/16.11/7866-2023</w:t>
            </w:r>
          </w:p>
        </w:tc>
      </w:tr>
      <w:tr w:rsidR="00DD0B39" w:rsidRPr="00DD0B39" w14:paraId="1F0737C5" w14:textId="77777777" w:rsidTr="00DD0B39">
        <w:trPr>
          <w:trHeight w:val="395"/>
          <w:tblCellSpacing w:w="11" w:type="dxa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0620" w14:textId="77777777" w:rsidR="00DD0B39" w:rsidRPr="00DD0B39" w:rsidRDefault="00DD0B39" w:rsidP="00DD0B39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1.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ab/>
              <w:t>ՀՀ կառավարության 2016 թվականի մարտի 31-ի թիվ 335-Ն որոշման Հավելված 1-ի և Հավելված 2-ի համապատասխանաբար 8-րդ և 7-րդ կետերը և նախագծի կարգավորման առարկան հակասում են միմյանց, քանի որ նախագծի նպատակը, ըստ էության, համապատասխան փաստաթղթերը բացառապես էլեկտրոնային եղանակով ներկայացնելու գործընթացի կարգավորումն է, իսկ որոշման մատնանշված կետերով՝ ներկայացման մի քանի տարբերակ է նախատեսվում: Հաշվի առնելով նշված դիտարկումը՝ առաջարկում ենք քննարկել և լրամշակել որոշման համապատասխան կետերը:</w:t>
            </w:r>
          </w:p>
          <w:p w14:paraId="436FF21C" w14:textId="77777777" w:rsidR="00DD0B39" w:rsidRPr="00DD0B39" w:rsidRDefault="00DD0B39" w:rsidP="00DD0B39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2.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ab/>
              <w:t xml:space="preserve">Նախագծի հիմնավորումը լրամշակման կարիք ունի, օրինակ պարզ չէ՝ ՀՀ կառավարության  2021 թվականի հունիսի 10-ի N 977-Ն որոշման 11-րդ կետի պահանջների կատարման անհրաժեշտություն ասելով ինչ է ի նկատի 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 xml:space="preserve">ունեցվել (անհրաժեշտ է հստակ ներկայացնել նախագծի ընդունման անհրաժեշտությունը, ինչպես նաև ակնկալվող արդյունքը): </w:t>
            </w:r>
          </w:p>
          <w:p w14:paraId="722E5423" w14:textId="38A7F902" w:rsidR="00DD0B39" w:rsidRPr="00DD0B39" w:rsidRDefault="00DD0B39" w:rsidP="00DD0B39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3.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ab/>
              <w:t>Հաշվի առնելով, որ Հայաuտանի Հանրապետության կառավարության 2016 թվականի մարտի 31-ի N 335-Ն որոշման կարգավորման առարկա են հանդիսանում ոչ միայն թմրամիջոցների, հոգեմետ (հոգենեգործուն) նյութերի կամ դրանց պրեկուրսորների ներմուծման կամ արտահանման մեկանգամյա լիցենզիայի տրամադրման իրավահաբերությունները, այլ նաև՝ փոխպատվաստման նպատակով մարդու դոնորական օրգանների և (կամ) հյուսվածքների ներմուծման, արյան և դրա բաղադրամասերի ներմուծման և արտահանման իրավահարաբերությունները (որոնց մասով ևս որոշման մեջ  համապատասխան փոփոխություններ են իրականացվում)՝ առաջարկում ենք վերջիններիս ևս հիմնավորման մեջ անդրադարձ կատարել: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C0BE" w14:textId="77777777" w:rsidR="00DD0B39" w:rsidRDefault="00DD0B39" w:rsidP="00DD0B39">
            <w:pPr>
              <w:pStyle w:val="ListParagraph"/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47AF816" w14:textId="3208A807" w:rsidR="00DD0B39" w:rsidRPr="00CE459E" w:rsidRDefault="00DD0B39" w:rsidP="00CE459E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D0B39">
              <w:rPr>
                <w:rFonts w:ascii="GHEA Grapalat" w:hAnsi="GHEA Grapalat"/>
                <w:b/>
                <w:color w:val="000000"/>
                <w:lang w:val="hy-AM" w:eastAsia="hy-AM"/>
              </w:rPr>
              <w:t>Ընդունվել է:</w:t>
            </w:r>
          </w:p>
          <w:p w14:paraId="5C8C5FD9" w14:textId="77777777" w:rsidR="00DD0B39" w:rsidRDefault="00DD0B39" w:rsidP="00DD0B39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045EB57" w14:textId="77777777" w:rsidR="00DD0B39" w:rsidRDefault="00DD0B39" w:rsidP="00DD0B39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5622479" w14:textId="77777777" w:rsidR="00DD0B39" w:rsidRDefault="00DD0B39" w:rsidP="00DD0B39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11E14D2" w14:textId="77777777" w:rsidR="00DD0B39" w:rsidRDefault="00DD0B39" w:rsidP="00DD0B39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6C233DD0" w14:textId="72F20CE2" w:rsidR="00DD0B39" w:rsidRPr="00DD0B39" w:rsidRDefault="00DD0B39" w:rsidP="00DD0B39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</w:tc>
      </w:tr>
      <w:tr w:rsidR="00DD0B39" w:rsidRPr="00DD0B39" w14:paraId="1657052B" w14:textId="77777777" w:rsidTr="009C3DB5">
        <w:trPr>
          <w:trHeight w:val="395"/>
          <w:tblCellSpacing w:w="11" w:type="dxa"/>
          <w:jc w:val="center"/>
        </w:trPr>
        <w:tc>
          <w:tcPr>
            <w:tcW w:w="8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C11D4" w14:textId="748D6397" w:rsidR="00DD0B39" w:rsidRPr="00DD0B39" w:rsidRDefault="00DD0B39" w:rsidP="009C3DB5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>4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.</w:t>
            </w:r>
            <w:r w:rsidRPr="00DD0B39">
              <w:rPr>
                <w:lang w:val="hy-AM"/>
              </w:rPr>
              <w:t xml:space="preserve"> 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Վարչապետի աշխատակազմի </w:t>
            </w:r>
            <w:r w:rsidR="00C7416E"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իրավաբանական </w:t>
            </w: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վարչության </w:t>
            </w:r>
          </w:p>
          <w:p w14:paraId="63F67E38" w14:textId="13024B7B" w:rsidR="00DD0B39" w:rsidRPr="00DD0B39" w:rsidRDefault="00C7416E" w:rsidP="009C3DB5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Ե</w:t>
            </w:r>
            <w:r w:rsidR="00DD0B39"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>զրակացություն</w:t>
            </w: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«Հայաuտանի Հանրապետության կառավարության 2016 թվականի մարտի 31-ի N 335-Ն որոշման մեջ լրացումներ և փոփոխություններ կատարելու մաuին» ՀՀ կառավարության որոշման նախագծի (այսուհետ՝ նախագծի) վերաբերյալ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51D70" w14:textId="77777777" w:rsidR="00DD0B39" w:rsidRPr="00DD0B39" w:rsidRDefault="00DD0B39" w:rsidP="009C3DB5">
            <w:pPr>
              <w:pStyle w:val="ListParagraph"/>
              <w:ind w:hanging="360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07.03</w:t>
            </w:r>
            <w:r w:rsidRPr="00BF6445">
              <w:rPr>
                <w:rFonts w:ascii="GHEA Grapalat" w:hAnsi="GHEA Grapalat"/>
                <w:b/>
                <w:color w:val="000000"/>
                <w:lang w:val="hy-AM" w:eastAsia="hy-AM"/>
              </w:rPr>
              <w:t>.202</w:t>
            </w: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3</w:t>
            </w:r>
          </w:p>
        </w:tc>
      </w:tr>
      <w:tr w:rsidR="00DD0B39" w:rsidRPr="00DD0B39" w14:paraId="7EF99DB7" w14:textId="77777777" w:rsidTr="009C3DB5">
        <w:trPr>
          <w:trHeight w:val="395"/>
          <w:tblCellSpacing w:w="11" w:type="dxa"/>
          <w:jc w:val="center"/>
        </w:trPr>
        <w:tc>
          <w:tcPr>
            <w:tcW w:w="8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DEDEF" w14:textId="77777777" w:rsidR="00DD0B39" w:rsidRPr="00DD0B39" w:rsidRDefault="00DD0B39" w:rsidP="009C3DB5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DB3DA" w14:textId="77777777" w:rsidR="00DD0B39" w:rsidRPr="00BF6445" w:rsidRDefault="00DD0B39" w:rsidP="009C3DB5">
            <w:pPr>
              <w:pStyle w:val="ListParagraph"/>
              <w:ind w:hanging="360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D0B39">
              <w:rPr>
                <w:rFonts w:ascii="GHEA Grapalat" w:hAnsi="GHEA Grapalat"/>
                <w:b/>
                <w:color w:val="000000"/>
                <w:lang w:val="hy-AM" w:eastAsia="hy-AM"/>
              </w:rPr>
              <w:t>02/16.11/7866-2023</w:t>
            </w:r>
          </w:p>
        </w:tc>
      </w:tr>
      <w:tr w:rsidR="00DD0B39" w:rsidRPr="00DD0B39" w14:paraId="7197B139" w14:textId="77777777" w:rsidTr="009C3DB5">
        <w:trPr>
          <w:trHeight w:val="395"/>
          <w:tblCellSpacing w:w="11" w:type="dxa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1E5FE" w14:textId="1E3B8EBA" w:rsidR="00C7416E" w:rsidRPr="00C7416E" w:rsidRDefault="00C7416E" w:rsidP="00C7416E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</w:t>
            </w:r>
            <w:r w:rsidR="00DD0B39" w:rsidRPr="00DD0B3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ՀՀ կառավարության 2016 թվականի մարտի 31-ի N 335-Ն որոշման նախաբանում նշված չէ Սահմանադրության կամ օրենքի այն դրույթը, որը կառավարությանը լիազորում է ընդունել թմրամիջոցների, հոգեմետ </w:t>
            </w: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>(հոգեներգործուն) նյութերի կամ դրանք պրեկուրսորների ներմուծման և արտահանման կարգը, ինչը հակասում է Սահմանադրության 6-րդ հոդվածի 2-րդ մասին, ըստ որի՝ 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Միևնույն ժամանակ, «Նորմատիվ իրավական ակտերի մասին»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14:paraId="2CD147C5" w14:textId="77777777" w:rsidR="00C7416E" w:rsidRPr="00C7416E" w:rsidRDefault="00C7416E" w:rsidP="00C7416E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  Նշվածով պայմանավորված որոշումը խնդրահարույց է նաև Սահմանադրական դատարանի 2016 թվականի հուլիսի 8-ի ՍԴՈ–1291 որոշմամբ արտահայտված իրավական դիրքորոշման համատեքստում, ըստ որի՝  պետաիշխանական լիազորություններով օժտված յուրաքանչյուր մարմին, յուրաքանչյուր պաշտոնատար անձ պետք է գործի օրենսդրությամբ սահմանված լիազորությունների շրջանակներում։ Հիշյալ սուբյեկտների հանրային–իրավական վարքագծի իրավական հիմք հանդես են գալիս ՀՀ Սահմանադրությունը, ինչպես նաև ՀՀ կողմից վավերացված միջազգային պայմանագրերը, ՀՀ օրենքները և այլ նորմատիվ իրավական ակտերը:</w:t>
            </w:r>
          </w:p>
          <w:p w14:paraId="73BB2C33" w14:textId="77777777" w:rsidR="00C7416E" w:rsidRPr="00C7416E" w:rsidRDefault="00C7416E" w:rsidP="00C7416E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 xml:space="preserve">     ՀՀ վճռաբեկ դատարանը թիվ ՎԴ/4680/05/19 վարչական գործով  արձանագրել է, որ Սահմանադրությամբ նախատեսված մարմիններն իրավասու են ընդունելու ենթաօրենսդրական նորմատիվ իրավական ակտեր միայն ՀՀ Սահմանադրությամբ կամ օրենքով լիազորվելու դեպքում, ընդ որում, ենթաօրենսդրական նորմատիվ իրավական ակտի նախաբանում պետք է հստակորեն նշվի օրենսդրական իրավական ակտի հոդվածը կամ մասը, որը ներառում է ՀՀ Սահմանադրության 6-րդ հոդվածի 2-րդ մասով սահմանված լիազորող նորմեր: Այս պահանջը ինքնանպատակ չէ, քանի որ միայն նման պայմաններում է հնարավոր պարզել, թե արդյոք գործադիր իշխանության մարմինն օգտվել է իրեն օրենքով վերապահված լիազորությունից և գործել է օրենքով իրեն տրված լիազորությունների շրջանակում: </w:t>
            </w:r>
          </w:p>
          <w:p w14:paraId="4924686C" w14:textId="74DB9450" w:rsidR="00DD0B39" w:rsidRPr="00DD0B39" w:rsidRDefault="00C7416E" w:rsidP="009C3DB5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  Միաժամանակ, հարկ է նշել, որ ՀՀ վարչապետի 05.10.2021 թվականի № 02/10.3/37766 հանձնարարականի համաձայն, Ազգային ժողովի 2022 թվականի գարնանային հերթական նստաշրջանի ավարտից հետո թույլատրելի չեն համարվելու (այդ թվում` մինչ այդ ընդունված), համապատասխան իրավական հիմք չունեցող իրավական ակտերում փոփոխությունների կատարումը: Հետևաբար նախագիծը չի կարող ընդունվել մինչև ՀՀ կառավարության 2016 թվականի մարտի 31-ի N 335-Ն որոշումը «Թմրամիջոցների և հոգեմետ (հոգեներգործուն) նյութերի մասին» ՀՀ օրենքի շրջանակներում համապատասխան մասով լիազորող նորմով ապահովելը։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EA" w14:textId="62DBC150" w:rsidR="00DD0B39" w:rsidRPr="006E50B0" w:rsidRDefault="00DD0B39" w:rsidP="00C7416E">
            <w:pPr>
              <w:pStyle w:val="ListParagraph"/>
              <w:ind w:left="634"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D0B39">
              <w:rPr>
                <w:rFonts w:ascii="GHEA Grapalat" w:hAnsi="GHEA Grapalat"/>
                <w:b/>
                <w:color w:val="000000"/>
                <w:lang w:val="hy-AM" w:eastAsia="hy-AM"/>
              </w:rPr>
              <w:lastRenderedPageBreak/>
              <w:t>Ընդունվել է</w:t>
            </w:r>
            <w:r w:rsidR="00C7416E">
              <w:rPr>
                <w:rFonts w:ascii="GHEA Grapalat" w:hAnsi="GHEA Grapalat"/>
                <w:b/>
                <w:color w:val="000000"/>
                <w:lang w:val="hy-AM" w:eastAsia="hy-AM"/>
              </w:rPr>
              <w:t xml:space="preserve"> ի գիտություն</w:t>
            </w:r>
            <w:r w:rsidRPr="00DD0B39">
              <w:rPr>
                <w:rFonts w:ascii="GHEA Grapalat" w:hAnsi="GHEA Grapalat"/>
                <w:b/>
                <w:color w:val="000000"/>
                <w:lang w:val="hy-AM" w:eastAsia="hy-AM"/>
              </w:rPr>
              <w:t>:</w:t>
            </w:r>
            <w:bookmarkStart w:id="0" w:name="_GoBack"/>
            <w:bookmarkEnd w:id="0"/>
          </w:p>
          <w:p w14:paraId="693583A9" w14:textId="573BABA4" w:rsidR="00DD0B39" w:rsidRPr="00C7416E" w:rsidRDefault="00C7416E" w:rsidP="00C7416E">
            <w:pPr>
              <w:pStyle w:val="ListParagraph"/>
              <w:tabs>
                <w:tab w:val="left" w:pos="264"/>
              </w:tabs>
              <w:spacing w:line="360" w:lineRule="auto"/>
              <w:ind w:left="36" w:firstLine="32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C7416E">
              <w:rPr>
                <w:rFonts w:ascii="GHEA Grapalat" w:hAnsi="GHEA Grapalat"/>
                <w:color w:val="000000"/>
                <w:lang w:val="hy-AM" w:eastAsia="hy-AM"/>
              </w:rPr>
              <w:t xml:space="preserve">Միաժամանակ հայտնում եմ, որ առողջապահության նախարարությունը </w:t>
            </w:r>
            <w:r w:rsidRPr="00C7416E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 xml:space="preserve">նախատեսում է իրականացնել </w:t>
            </w: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>«Թմրամիջոցների և հոգեմետ (հոգեներգործուն) նյութերի մասին» ՀՀ օրենքի</w:t>
            </w:r>
            <w:r w:rsidRPr="00C7416E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փոփոխության նախագծի մշակման աշխատանքներ:</w:t>
            </w:r>
          </w:p>
          <w:p w14:paraId="4508D850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7F5F60CE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911C6AF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9FFE731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954FE72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CB2255F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29506BB4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D40A918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04A3A2E3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14AC958A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BF19604" w14:textId="77777777" w:rsid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3E14EAD9" w14:textId="77777777" w:rsidR="00DD0B39" w:rsidRPr="006E50B0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4382670A" w14:textId="4C294DB9" w:rsidR="00C7416E" w:rsidRPr="00C7416E" w:rsidRDefault="00C7416E" w:rsidP="00C7416E">
            <w:pPr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  <w:p w14:paraId="595A2058" w14:textId="26D5AA1D" w:rsidR="00DD0B39" w:rsidRPr="00DD0B39" w:rsidRDefault="00DD0B39" w:rsidP="009C3DB5">
            <w:pPr>
              <w:pStyle w:val="ListParagraph"/>
              <w:tabs>
                <w:tab w:val="left" w:pos="264"/>
              </w:tabs>
              <w:ind w:hanging="360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</w:p>
        </w:tc>
      </w:tr>
    </w:tbl>
    <w:p w14:paraId="16118AAA" w14:textId="77777777" w:rsidR="00DD15BC" w:rsidRPr="005C4561" w:rsidRDefault="00DD15BC" w:rsidP="00C7416E">
      <w:pPr>
        <w:rPr>
          <w:rFonts w:ascii="GHEA Grapalat" w:hAnsi="GHEA Grapalat"/>
          <w:lang w:val="hy-AM"/>
        </w:rPr>
      </w:pPr>
    </w:p>
    <w:sectPr w:rsidR="00DD15BC" w:rsidRPr="005C4561" w:rsidSect="005C4561">
      <w:pgSz w:w="16838" w:h="11906" w:orient="landscape" w:code="9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D1CF" w14:textId="77777777" w:rsidR="00FD0275" w:rsidRDefault="00FD0275" w:rsidP="002C19BC">
      <w:r>
        <w:separator/>
      </w:r>
    </w:p>
  </w:endnote>
  <w:endnote w:type="continuationSeparator" w:id="0">
    <w:p w14:paraId="10CFFA2F" w14:textId="77777777" w:rsidR="00FD0275" w:rsidRDefault="00FD0275" w:rsidP="002C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F914" w14:textId="77777777" w:rsidR="00FD0275" w:rsidRDefault="00FD0275" w:rsidP="002C19BC">
      <w:r>
        <w:separator/>
      </w:r>
    </w:p>
  </w:footnote>
  <w:footnote w:type="continuationSeparator" w:id="0">
    <w:p w14:paraId="4700D049" w14:textId="77777777" w:rsidR="00FD0275" w:rsidRDefault="00FD0275" w:rsidP="002C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E8E"/>
    <w:multiLevelType w:val="hybridMultilevel"/>
    <w:tmpl w:val="88E8D76A"/>
    <w:lvl w:ilvl="0" w:tplc="89FCEF5A">
      <w:start w:val="1"/>
      <w:numFmt w:val="decimal"/>
      <w:lvlText w:val="%1."/>
      <w:lvlJc w:val="left"/>
      <w:pPr>
        <w:ind w:left="408" w:hanging="360"/>
      </w:pPr>
      <w:rPr>
        <w:rFonts w:ascii="GHEA Grapalat" w:hAnsi="GHEA Grapalat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8C01E1"/>
    <w:multiLevelType w:val="hybridMultilevel"/>
    <w:tmpl w:val="8D4C4170"/>
    <w:lvl w:ilvl="0" w:tplc="14E877BA">
      <w:numFmt w:val="bullet"/>
      <w:lvlText w:val="-"/>
      <w:lvlJc w:val="left"/>
      <w:pPr>
        <w:ind w:left="1155" w:hanging="360"/>
      </w:pPr>
      <w:rPr>
        <w:rFonts w:ascii="GHEA Grapalat" w:eastAsia="NSimSun" w:hAnsi="GHEA Grapalat" w:cs="Verdana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92D3756"/>
    <w:multiLevelType w:val="hybridMultilevel"/>
    <w:tmpl w:val="C7D24670"/>
    <w:lvl w:ilvl="0" w:tplc="7BC008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45048"/>
    <w:multiLevelType w:val="hybridMultilevel"/>
    <w:tmpl w:val="F6FA58A0"/>
    <w:lvl w:ilvl="0" w:tplc="5E100728">
      <w:start w:val="1"/>
      <w:numFmt w:val="decimal"/>
      <w:lvlText w:val="%1."/>
      <w:lvlJc w:val="left"/>
      <w:pPr>
        <w:ind w:left="502" w:hanging="360"/>
      </w:pPr>
      <w:rPr>
        <w:rFonts w:ascii="GHEA Grapalat" w:eastAsiaTheme="minorEastAsia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 w15:restartNumberingAfterBreak="0">
    <w:nsid w:val="09D90E0B"/>
    <w:multiLevelType w:val="hybridMultilevel"/>
    <w:tmpl w:val="A16A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FCD"/>
    <w:multiLevelType w:val="hybridMultilevel"/>
    <w:tmpl w:val="6AFCE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875FC"/>
    <w:multiLevelType w:val="hybridMultilevel"/>
    <w:tmpl w:val="08DEA89C"/>
    <w:lvl w:ilvl="0" w:tplc="FB78F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4711"/>
    <w:multiLevelType w:val="hybridMultilevel"/>
    <w:tmpl w:val="046AA8C4"/>
    <w:lvl w:ilvl="0" w:tplc="14123FB8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156767"/>
    <w:multiLevelType w:val="hybridMultilevel"/>
    <w:tmpl w:val="346A40D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A09668A"/>
    <w:multiLevelType w:val="hybridMultilevel"/>
    <w:tmpl w:val="615438EC"/>
    <w:lvl w:ilvl="0" w:tplc="601C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43568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E4B30"/>
    <w:multiLevelType w:val="hybridMultilevel"/>
    <w:tmpl w:val="8A6E37EA"/>
    <w:lvl w:ilvl="0" w:tplc="E736988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 w15:restartNumberingAfterBreak="0">
    <w:nsid w:val="319A15C0"/>
    <w:multiLevelType w:val="hybridMultilevel"/>
    <w:tmpl w:val="CFC2FB3E"/>
    <w:lvl w:ilvl="0" w:tplc="416EA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6" w15:restartNumberingAfterBreak="0">
    <w:nsid w:val="35BA6001"/>
    <w:multiLevelType w:val="hybridMultilevel"/>
    <w:tmpl w:val="CC6A7D60"/>
    <w:lvl w:ilvl="0" w:tplc="558E93FC">
      <w:start w:val="4"/>
      <w:numFmt w:val="decimal"/>
      <w:lvlText w:val="%1."/>
      <w:lvlJc w:val="left"/>
      <w:pPr>
        <w:ind w:left="61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 w15:restartNumberingAfterBreak="0">
    <w:nsid w:val="3A08177B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9" w15:restartNumberingAfterBreak="0">
    <w:nsid w:val="3CB93DCB"/>
    <w:multiLevelType w:val="hybridMultilevel"/>
    <w:tmpl w:val="0B341542"/>
    <w:lvl w:ilvl="0" w:tplc="FE5A72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 w15:restartNumberingAfterBreak="0">
    <w:nsid w:val="42131813"/>
    <w:multiLevelType w:val="hybridMultilevel"/>
    <w:tmpl w:val="1C10EC0E"/>
    <w:lvl w:ilvl="0" w:tplc="BA2EFBCA">
      <w:start w:val="1"/>
      <w:numFmt w:val="decimal"/>
      <w:lvlText w:val="%1."/>
      <w:lvlJc w:val="left"/>
      <w:pPr>
        <w:ind w:left="432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4827697"/>
    <w:multiLevelType w:val="hybridMultilevel"/>
    <w:tmpl w:val="D0886A22"/>
    <w:lvl w:ilvl="0" w:tplc="FE6E77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4" w15:restartNumberingAfterBreak="0">
    <w:nsid w:val="45CE2025"/>
    <w:multiLevelType w:val="hybridMultilevel"/>
    <w:tmpl w:val="8B22F9D4"/>
    <w:lvl w:ilvl="0" w:tplc="E9784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DE063E"/>
    <w:multiLevelType w:val="hybridMultilevel"/>
    <w:tmpl w:val="F3F6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7EFF"/>
    <w:multiLevelType w:val="hybridMultilevel"/>
    <w:tmpl w:val="91EC8270"/>
    <w:lvl w:ilvl="0" w:tplc="68089054">
      <w:start w:val="1"/>
      <w:numFmt w:val="decimal"/>
      <w:lvlText w:val="%1."/>
      <w:lvlJc w:val="left"/>
      <w:pPr>
        <w:ind w:left="5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7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8" w15:restartNumberingAfterBreak="0">
    <w:nsid w:val="48262FD2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4230FD"/>
    <w:multiLevelType w:val="hybridMultilevel"/>
    <w:tmpl w:val="55C84766"/>
    <w:lvl w:ilvl="0" w:tplc="ADF650AC">
      <w:start w:val="1"/>
      <w:numFmt w:val="decimal"/>
      <w:lvlText w:val="%1."/>
      <w:lvlJc w:val="left"/>
      <w:pPr>
        <w:ind w:left="6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85B1A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A0F88"/>
    <w:multiLevelType w:val="hybridMultilevel"/>
    <w:tmpl w:val="0B341542"/>
    <w:lvl w:ilvl="0" w:tplc="FE5A72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 w15:restartNumberingAfterBreak="0">
    <w:nsid w:val="5FF17AEF"/>
    <w:multiLevelType w:val="hybridMultilevel"/>
    <w:tmpl w:val="0B341542"/>
    <w:lvl w:ilvl="0" w:tplc="FE5A72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4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FE0789"/>
    <w:multiLevelType w:val="hybridMultilevel"/>
    <w:tmpl w:val="08B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7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7823DB"/>
    <w:multiLevelType w:val="hybridMultilevel"/>
    <w:tmpl w:val="81BCA87E"/>
    <w:lvl w:ilvl="0" w:tplc="318C424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9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40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1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2" w15:restartNumberingAfterBreak="0">
    <w:nsid w:val="73F000E7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44A1787"/>
    <w:multiLevelType w:val="hybridMultilevel"/>
    <w:tmpl w:val="2D3CB184"/>
    <w:lvl w:ilvl="0" w:tplc="2A880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53389"/>
    <w:multiLevelType w:val="hybridMultilevel"/>
    <w:tmpl w:val="9D18189C"/>
    <w:lvl w:ilvl="0" w:tplc="BC1CEF6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5" w15:restartNumberingAfterBreak="0">
    <w:nsid w:val="76172F91"/>
    <w:multiLevelType w:val="hybridMultilevel"/>
    <w:tmpl w:val="48CAE928"/>
    <w:lvl w:ilvl="0" w:tplc="889074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 w15:restartNumberingAfterBreak="0">
    <w:nsid w:val="7E9B447A"/>
    <w:multiLevelType w:val="hybridMultilevel"/>
    <w:tmpl w:val="C2B6502E"/>
    <w:lvl w:ilvl="0" w:tplc="9A9E41B2">
      <w:start w:val="5"/>
      <w:numFmt w:val="decimal"/>
      <w:lvlText w:val="%1"/>
      <w:lvlJc w:val="left"/>
      <w:pPr>
        <w:ind w:left="5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7"/>
  </w:num>
  <w:num w:numId="2">
    <w:abstractNumId w:val="34"/>
  </w:num>
  <w:num w:numId="3">
    <w:abstractNumId w:val="39"/>
  </w:num>
  <w:num w:numId="4">
    <w:abstractNumId w:val="23"/>
  </w:num>
  <w:num w:numId="5">
    <w:abstractNumId w:val="41"/>
  </w:num>
  <w:num w:numId="6">
    <w:abstractNumId w:val="20"/>
  </w:num>
  <w:num w:numId="7">
    <w:abstractNumId w:val="15"/>
  </w:num>
  <w:num w:numId="8">
    <w:abstractNumId w:val="36"/>
  </w:num>
  <w:num w:numId="9">
    <w:abstractNumId w:val="4"/>
  </w:num>
  <w:num w:numId="10">
    <w:abstractNumId w:val="27"/>
  </w:num>
  <w:num w:numId="11">
    <w:abstractNumId w:val="18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38"/>
  </w:num>
  <w:num w:numId="17">
    <w:abstractNumId w:val="40"/>
  </w:num>
  <w:num w:numId="18">
    <w:abstractNumId w:val="9"/>
  </w:num>
  <w:num w:numId="19">
    <w:abstractNumId w:val="46"/>
  </w:num>
  <w:num w:numId="20">
    <w:abstractNumId w:val="35"/>
  </w:num>
  <w:num w:numId="21">
    <w:abstractNumId w:val="29"/>
  </w:num>
  <w:num w:numId="22">
    <w:abstractNumId w:val="26"/>
  </w:num>
  <w:num w:numId="23">
    <w:abstractNumId w:val="6"/>
  </w:num>
  <w:num w:numId="24">
    <w:abstractNumId w:val="7"/>
  </w:num>
  <w:num w:numId="25">
    <w:abstractNumId w:val="31"/>
  </w:num>
  <w:num w:numId="26">
    <w:abstractNumId w:val="12"/>
  </w:num>
  <w:num w:numId="27">
    <w:abstractNumId w:val="8"/>
  </w:num>
  <w:num w:numId="28">
    <w:abstractNumId w:val="43"/>
  </w:num>
  <w:num w:numId="29">
    <w:abstractNumId w:val="44"/>
  </w:num>
  <w:num w:numId="30">
    <w:abstractNumId w:val="11"/>
  </w:num>
  <w:num w:numId="31">
    <w:abstractNumId w:val="3"/>
  </w:num>
  <w:num w:numId="32">
    <w:abstractNumId w:val="5"/>
  </w:num>
  <w:num w:numId="33">
    <w:abstractNumId w:val="14"/>
  </w:num>
  <w:num w:numId="34">
    <w:abstractNumId w:val="22"/>
  </w:num>
  <w:num w:numId="35">
    <w:abstractNumId w:val="16"/>
  </w:num>
  <w:num w:numId="36">
    <w:abstractNumId w:val="2"/>
  </w:num>
  <w:num w:numId="37">
    <w:abstractNumId w:val="30"/>
  </w:num>
  <w:num w:numId="38">
    <w:abstractNumId w:val="17"/>
  </w:num>
  <w:num w:numId="39">
    <w:abstractNumId w:val="42"/>
  </w:num>
  <w:num w:numId="40">
    <w:abstractNumId w:val="28"/>
  </w:num>
  <w:num w:numId="41">
    <w:abstractNumId w:val="21"/>
  </w:num>
  <w:num w:numId="42">
    <w:abstractNumId w:val="45"/>
  </w:num>
  <w:num w:numId="43">
    <w:abstractNumId w:val="24"/>
  </w:num>
  <w:num w:numId="44">
    <w:abstractNumId w:val="32"/>
  </w:num>
  <w:num w:numId="45">
    <w:abstractNumId w:val="25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07C73"/>
    <w:rsid w:val="00033590"/>
    <w:rsid w:val="00050A1E"/>
    <w:rsid w:val="000544D8"/>
    <w:rsid w:val="00064EBB"/>
    <w:rsid w:val="00072A97"/>
    <w:rsid w:val="00076B19"/>
    <w:rsid w:val="00092C51"/>
    <w:rsid w:val="00097DDC"/>
    <w:rsid w:val="000A0CCB"/>
    <w:rsid w:val="000A4C5B"/>
    <w:rsid w:val="000B6B7B"/>
    <w:rsid w:val="000B7B68"/>
    <w:rsid w:val="000C3548"/>
    <w:rsid w:val="000E0DAD"/>
    <w:rsid w:val="000E5DE5"/>
    <w:rsid w:val="000F5CA1"/>
    <w:rsid w:val="00105BBD"/>
    <w:rsid w:val="00115450"/>
    <w:rsid w:val="00121F35"/>
    <w:rsid w:val="0012313E"/>
    <w:rsid w:val="001232CE"/>
    <w:rsid w:val="00123B6F"/>
    <w:rsid w:val="00130E82"/>
    <w:rsid w:val="00136670"/>
    <w:rsid w:val="00146F56"/>
    <w:rsid w:val="001524A4"/>
    <w:rsid w:val="00152B02"/>
    <w:rsid w:val="001542A2"/>
    <w:rsid w:val="0016296A"/>
    <w:rsid w:val="00166097"/>
    <w:rsid w:val="0018491C"/>
    <w:rsid w:val="001874A3"/>
    <w:rsid w:val="001A1E01"/>
    <w:rsid w:val="001A216B"/>
    <w:rsid w:val="001A582B"/>
    <w:rsid w:val="001A60D6"/>
    <w:rsid w:val="001B3733"/>
    <w:rsid w:val="001B5B31"/>
    <w:rsid w:val="001B7892"/>
    <w:rsid w:val="001C1A2B"/>
    <w:rsid w:val="001C65A5"/>
    <w:rsid w:val="001D78AF"/>
    <w:rsid w:val="0021233D"/>
    <w:rsid w:val="00226B6B"/>
    <w:rsid w:val="00234339"/>
    <w:rsid w:val="00247C32"/>
    <w:rsid w:val="00250E4A"/>
    <w:rsid w:val="00272861"/>
    <w:rsid w:val="00273316"/>
    <w:rsid w:val="002845B0"/>
    <w:rsid w:val="002A4FFE"/>
    <w:rsid w:val="002B34A7"/>
    <w:rsid w:val="002C0C47"/>
    <w:rsid w:val="002C19BC"/>
    <w:rsid w:val="002C398B"/>
    <w:rsid w:val="002E35F0"/>
    <w:rsid w:val="002F25B5"/>
    <w:rsid w:val="002F710E"/>
    <w:rsid w:val="002F71B3"/>
    <w:rsid w:val="003060DE"/>
    <w:rsid w:val="00311C25"/>
    <w:rsid w:val="00316109"/>
    <w:rsid w:val="00330E5F"/>
    <w:rsid w:val="00333325"/>
    <w:rsid w:val="0033418C"/>
    <w:rsid w:val="00335CDE"/>
    <w:rsid w:val="00345B6F"/>
    <w:rsid w:val="0035185B"/>
    <w:rsid w:val="00365B34"/>
    <w:rsid w:val="00384D9C"/>
    <w:rsid w:val="00394621"/>
    <w:rsid w:val="003B08B1"/>
    <w:rsid w:val="003E0C54"/>
    <w:rsid w:val="00410261"/>
    <w:rsid w:val="0043438C"/>
    <w:rsid w:val="0044696E"/>
    <w:rsid w:val="0045210B"/>
    <w:rsid w:val="00453192"/>
    <w:rsid w:val="0045383F"/>
    <w:rsid w:val="004538E8"/>
    <w:rsid w:val="0045579F"/>
    <w:rsid w:val="004819D0"/>
    <w:rsid w:val="004825F6"/>
    <w:rsid w:val="00484D67"/>
    <w:rsid w:val="00486CDB"/>
    <w:rsid w:val="0048731A"/>
    <w:rsid w:val="0049181F"/>
    <w:rsid w:val="004A0488"/>
    <w:rsid w:val="004A2C9A"/>
    <w:rsid w:val="004D6A1F"/>
    <w:rsid w:val="004E0B2C"/>
    <w:rsid w:val="004E4F6A"/>
    <w:rsid w:val="00501E9C"/>
    <w:rsid w:val="00502ECB"/>
    <w:rsid w:val="0050383B"/>
    <w:rsid w:val="005118CC"/>
    <w:rsid w:val="005140CA"/>
    <w:rsid w:val="00525F10"/>
    <w:rsid w:val="005276AA"/>
    <w:rsid w:val="005572DF"/>
    <w:rsid w:val="00560E32"/>
    <w:rsid w:val="00565099"/>
    <w:rsid w:val="00565379"/>
    <w:rsid w:val="00582676"/>
    <w:rsid w:val="0059254C"/>
    <w:rsid w:val="0059455B"/>
    <w:rsid w:val="00596528"/>
    <w:rsid w:val="005970DF"/>
    <w:rsid w:val="005A7497"/>
    <w:rsid w:val="005B4FE4"/>
    <w:rsid w:val="005C2274"/>
    <w:rsid w:val="005C4561"/>
    <w:rsid w:val="005D0D85"/>
    <w:rsid w:val="005D6F1A"/>
    <w:rsid w:val="005E15B2"/>
    <w:rsid w:val="005E720F"/>
    <w:rsid w:val="006061FC"/>
    <w:rsid w:val="006149F8"/>
    <w:rsid w:val="00623F0A"/>
    <w:rsid w:val="00625120"/>
    <w:rsid w:val="00631A17"/>
    <w:rsid w:val="0063424D"/>
    <w:rsid w:val="006359C3"/>
    <w:rsid w:val="006401F8"/>
    <w:rsid w:val="0065032E"/>
    <w:rsid w:val="006618B0"/>
    <w:rsid w:val="0066251D"/>
    <w:rsid w:val="00673A22"/>
    <w:rsid w:val="00674A0C"/>
    <w:rsid w:val="006758AA"/>
    <w:rsid w:val="00695F05"/>
    <w:rsid w:val="006A5A6C"/>
    <w:rsid w:val="006A66E3"/>
    <w:rsid w:val="006C1F5A"/>
    <w:rsid w:val="006C6417"/>
    <w:rsid w:val="006D5CFF"/>
    <w:rsid w:val="006E1C0E"/>
    <w:rsid w:val="006E50B0"/>
    <w:rsid w:val="006F30EC"/>
    <w:rsid w:val="006F5ED8"/>
    <w:rsid w:val="00710BD8"/>
    <w:rsid w:val="00710EA1"/>
    <w:rsid w:val="00714CF1"/>
    <w:rsid w:val="00716610"/>
    <w:rsid w:val="00735BBA"/>
    <w:rsid w:val="00745C97"/>
    <w:rsid w:val="007462E7"/>
    <w:rsid w:val="00747870"/>
    <w:rsid w:val="00754666"/>
    <w:rsid w:val="00760B07"/>
    <w:rsid w:val="007707D1"/>
    <w:rsid w:val="00775784"/>
    <w:rsid w:val="007766C9"/>
    <w:rsid w:val="00782622"/>
    <w:rsid w:val="00782781"/>
    <w:rsid w:val="00795F5E"/>
    <w:rsid w:val="007A2C7B"/>
    <w:rsid w:val="007D09DF"/>
    <w:rsid w:val="007F1A68"/>
    <w:rsid w:val="007F1D18"/>
    <w:rsid w:val="00805A67"/>
    <w:rsid w:val="0081630B"/>
    <w:rsid w:val="00816AEE"/>
    <w:rsid w:val="008252D6"/>
    <w:rsid w:val="00826DCE"/>
    <w:rsid w:val="008307AC"/>
    <w:rsid w:val="00830C31"/>
    <w:rsid w:val="00832D75"/>
    <w:rsid w:val="00835049"/>
    <w:rsid w:val="00841922"/>
    <w:rsid w:val="00846045"/>
    <w:rsid w:val="00850362"/>
    <w:rsid w:val="00860FC6"/>
    <w:rsid w:val="00862A61"/>
    <w:rsid w:val="00880F82"/>
    <w:rsid w:val="00890B43"/>
    <w:rsid w:val="00892D92"/>
    <w:rsid w:val="0089669C"/>
    <w:rsid w:val="008A2510"/>
    <w:rsid w:val="008B7FBC"/>
    <w:rsid w:val="008C6082"/>
    <w:rsid w:val="008C7C84"/>
    <w:rsid w:val="008D27D7"/>
    <w:rsid w:val="008D6DAD"/>
    <w:rsid w:val="008E2A39"/>
    <w:rsid w:val="008E2AAF"/>
    <w:rsid w:val="008F4AAF"/>
    <w:rsid w:val="009023D2"/>
    <w:rsid w:val="0090396B"/>
    <w:rsid w:val="00905FEA"/>
    <w:rsid w:val="00916C54"/>
    <w:rsid w:val="0095151D"/>
    <w:rsid w:val="00952923"/>
    <w:rsid w:val="00955D85"/>
    <w:rsid w:val="00975A2A"/>
    <w:rsid w:val="009845CF"/>
    <w:rsid w:val="00986CBE"/>
    <w:rsid w:val="00993172"/>
    <w:rsid w:val="00994F94"/>
    <w:rsid w:val="009C4C80"/>
    <w:rsid w:val="009D685B"/>
    <w:rsid w:val="009D7045"/>
    <w:rsid w:val="009E2E90"/>
    <w:rsid w:val="009E3813"/>
    <w:rsid w:val="009E6915"/>
    <w:rsid w:val="009E7209"/>
    <w:rsid w:val="009F3ECA"/>
    <w:rsid w:val="009F6CF5"/>
    <w:rsid w:val="00A00386"/>
    <w:rsid w:val="00A00B42"/>
    <w:rsid w:val="00A041F7"/>
    <w:rsid w:val="00A23CF1"/>
    <w:rsid w:val="00A255BA"/>
    <w:rsid w:val="00A26D60"/>
    <w:rsid w:val="00A26F9F"/>
    <w:rsid w:val="00A27CED"/>
    <w:rsid w:val="00A33CD1"/>
    <w:rsid w:val="00A3416E"/>
    <w:rsid w:val="00A36567"/>
    <w:rsid w:val="00A433B2"/>
    <w:rsid w:val="00A512FF"/>
    <w:rsid w:val="00A526D7"/>
    <w:rsid w:val="00A803E3"/>
    <w:rsid w:val="00A818B3"/>
    <w:rsid w:val="00A9344C"/>
    <w:rsid w:val="00AB02BA"/>
    <w:rsid w:val="00AB0F1E"/>
    <w:rsid w:val="00AB1899"/>
    <w:rsid w:val="00AB25F6"/>
    <w:rsid w:val="00AB29C1"/>
    <w:rsid w:val="00AD73B9"/>
    <w:rsid w:val="00AE5C6D"/>
    <w:rsid w:val="00AF4C23"/>
    <w:rsid w:val="00AF5DE2"/>
    <w:rsid w:val="00B129C1"/>
    <w:rsid w:val="00B20482"/>
    <w:rsid w:val="00B47252"/>
    <w:rsid w:val="00B503EC"/>
    <w:rsid w:val="00B57032"/>
    <w:rsid w:val="00B57349"/>
    <w:rsid w:val="00B61784"/>
    <w:rsid w:val="00B63B57"/>
    <w:rsid w:val="00B75CEA"/>
    <w:rsid w:val="00B80112"/>
    <w:rsid w:val="00B8307D"/>
    <w:rsid w:val="00BA4236"/>
    <w:rsid w:val="00BA4F72"/>
    <w:rsid w:val="00BB1718"/>
    <w:rsid w:val="00BB3D72"/>
    <w:rsid w:val="00BB4ADB"/>
    <w:rsid w:val="00BB517D"/>
    <w:rsid w:val="00BC1513"/>
    <w:rsid w:val="00BC6BB6"/>
    <w:rsid w:val="00BC7715"/>
    <w:rsid w:val="00BD6BFA"/>
    <w:rsid w:val="00BE68F6"/>
    <w:rsid w:val="00BF5F60"/>
    <w:rsid w:val="00BF6445"/>
    <w:rsid w:val="00C066EB"/>
    <w:rsid w:val="00C13772"/>
    <w:rsid w:val="00C14AA0"/>
    <w:rsid w:val="00C160D6"/>
    <w:rsid w:val="00C17270"/>
    <w:rsid w:val="00C212E2"/>
    <w:rsid w:val="00C2149B"/>
    <w:rsid w:val="00C24EBD"/>
    <w:rsid w:val="00C2524C"/>
    <w:rsid w:val="00C33EC5"/>
    <w:rsid w:val="00C36721"/>
    <w:rsid w:val="00C3732E"/>
    <w:rsid w:val="00C453BF"/>
    <w:rsid w:val="00C47642"/>
    <w:rsid w:val="00C53CB9"/>
    <w:rsid w:val="00C56CD6"/>
    <w:rsid w:val="00C667FD"/>
    <w:rsid w:val="00C7033E"/>
    <w:rsid w:val="00C7416E"/>
    <w:rsid w:val="00C87D8A"/>
    <w:rsid w:val="00C907A8"/>
    <w:rsid w:val="00C95992"/>
    <w:rsid w:val="00CA00C8"/>
    <w:rsid w:val="00CB03BA"/>
    <w:rsid w:val="00CB4005"/>
    <w:rsid w:val="00CB6F11"/>
    <w:rsid w:val="00CC4922"/>
    <w:rsid w:val="00CD6FE0"/>
    <w:rsid w:val="00CD7EB6"/>
    <w:rsid w:val="00CE459E"/>
    <w:rsid w:val="00CF277E"/>
    <w:rsid w:val="00D12DFB"/>
    <w:rsid w:val="00D138F5"/>
    <w:rsid w:val="00D31629"/>
    <w:rsid w:val="00D53DAD"/>
    <w:rsid w:val="00D61C84"/>
    <w:rsid w:val="00D668A5"/>
    <w:rsid w:val="00D71637"/>
    <w:rsid w:val="00D72CF5"/>
    <w:rsid w:val="00D84B77"/>
    <w:rsid w:val="00DA1852"/>
    <w:rsid w:val="00DB02C5"/>
    <w:rsid w:val="00DB3E60"/>
    <w:rsid w:val="00DB49F1"/>
    <w:rsid w:val="00DB6FC6"/>
    <w:rsid w:val="00DD0B39"/>
    <w:rsid w:val="00DD15BC"/>
    <w:rsid w:val="00DD5779"/>
    <w:rsid w:val="00DE29BA"/>
    <w:rsid w:val="00E14B39"/>
    <w:rsid w:val="00E14CEC"/>
    <w:rsid w:val="00E309B1"/>
    <w:rsid w:val="00E31122"/>
    <w:rsid w:val="00E32072"/>
    <w:rsid w:val="00E40E8B"/>
    <w:rsid w:val="00E512B5"/>
    <w:rsid w:val="00E52811"/>
    <w:rsid w:val="00E56B68"/>
    <w:rsid w:val="00E82EFD"/>
    <w:rsid w:val="00E850F5"/>
    <w:rsid w:val="00E86CD2"/>
    <w:rsid w:val="00E92261"/>
    <w:rsid w:val="00E948B5"/>
    <w:rsid w:val="00E97A4E"/>
    <w:rsid w:val="00EA1619"/>
    <w:rsid w:val="00EB45F7"/>
    <w:rsid w:val="00EB747B"/>
    <w:rsid w:val="00EC1F1C"/>
    <w:rsid w:val="00EC2D75"/>
    <w:rsid w:val="00EE1AAD"/>
    <w:rsid w:val="00EE228F"/>
    <w:rsid w:val="00EE316C"/>
    <w:rsid w:val="00EF00CF"/>
    <w:rsid w:val="00F01366"/>
    <w:rsid w:val="00F061E7"/>
    <w:rsid w:val="00F14EA5"/>
    <w:rsid w:val="00F150DE"/>
    <w:rsid w:val="00F275EB"/>
    <w:rsid w:val="00F41A0E"/>
    <w:rsid w:val="00F44728"/>
    <w:rsid w:val="00F44A7F"/>
    <w:rsid w:val="00F57C05"/>
    <w:rsid w:val="00F7464E"/>
    <w:rsid w:val="00F75E58"/>
    <w:rsid w:val="00F92483"/>
    <w:rsid w:val="00F94CEC"/>
    <w:rsid w:val="00F95A26"/>
    <w:rsid w:val="00FA3EF7"/>
    <w:rsid w:val="00FA7D21"/>
    <w:rsid w:val="00FB1AFF"/>
    <w:rsid w:val="00FC0D6A"/>
    <w:rsid w:val="00FD0275"/>
    <w:rsid w:val="00FE12C0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F89"/>
  <w15:docId w15:val="{56430142-A24F-4432-9EFE-ED180AB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8307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50E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1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BC"/>
    <w:rPr>
      <w:rFonts w:ascii="Times New Roman" w:eastAsia="Times New Roman" w:hAnsi="Times New Roman"/>
      <w:sz w:val="24"/>
      <w:szCs w:val="24"/>
    </w:rPr>
  </w:style>
  <w:style w:type="character" w:customStyle="1" w:styleId="db">
    <w:name w:val="db"/>
    <w:basedOn w:val="DefaultParagraphFont"/>
    <w:rsid w:val="00B129C1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129C1"/>
    <w:rPr>
      <w:rFonts w:ascii="Times New Roman" w:eastAsia="Times New Roman" w:hAnsi="Times New Roman"/>
      <w:sz w:val="24"/>
      <w:szCs w:val="24"/>
    </w:rPr>
  </w:style>
  <w:style w:type="character" w:customStyle="1" w:styleId="CharStyle15">
    <w:name w:val="Char Style 15"/>
    <w:basedOn w:val="DefaultParagraphFont"/>
    <w:link w:val="Style14"/>
    <w:rsid w:val="00B129C1"/>
    <w:rPr>
      <w:sz w:val="27"/>
      <w:szCs w:val="27"/>
      <w:shd w:val="clear" w:color="auto" w:fill="FFFFFF"/>
    </w:rPr>
  </w:style>
  <w:style w:type="paragraph" w:customStyle="1" w:styleId="Style14">
    <w:name w:val="Style 14"/>
    <w:basedOn w:val="Normal"/>
    <w:link w:val="CharStyle15"/>
    <w:rsid w:val="00B129C1"/>
    <w:pPr>
      <w:widowControl w:val="0"/>
      <w:shd w:val="clear" w:color="auto" w:fill="FFFFFF"/>
      <w:spacing w:after="60" w:line="324" w:lineRule="exact"/>
      <w:jc w:val="center"/>
    </w:pPr>
    <w:rPr>
      <w:rFonts w:ascii="Calibri" w:eastAsia="Calibri" w:hAnsi="Calibri"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rsid w:val="00745C97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97"/>
    <w:rPr>
      <w:rFonts w:asciiTheme="minorHAnsi" w:eastAsiaTheme="minorHAnsi" w:hAnsiTheme="minorHAnsi" w:cstheme="minorBidi"/>
      <w:lang w:val="ru-RU"/>
    </w:rPr>
  </w:style>
  <w:style w:type="character" w:customStyle="1" w:styleId="Bodytext2">
    <w:name w:val="Body text (2)_"/>
    <w:basedOn w:val="DefaultParagraphFont"/>
    <w:link w:val="Bodytext20"/>
    <w:locked/>
    <w:rsid w:val="00C907A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07A8"/>
    <w:pPr>
      <w:shd w:val="clear" w:color="auto" w:fill="FFFFFF"/>
      <w:spacing w:before="420" w:after="600" w:line="0" w:lineRule="atLeast"/>
      <w:jc w:val="both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33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072A97"/>
    <w:rPr>
      <w:rFonts w:ascii="Segoe UI" w:hAnsi="Segoe UI" w:cs="Segoe UI" w:hint="default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512B5"/>
    <w:pPr>
      <w:widowControl w:val="0"/>
      <w:autoSpaceDE w:val="0"/>
      <w:autoSpaceDN w:val="0"/>
      <w:adjustRightInd w:val="0"/>
      <w:spacing w:line="488" w:lineRule="exact"/>
      <w:ind w:firstLine="569"/>
      <w:jc w:val="both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"/>
    <w:uiPriority w:val="99"/>
    <w:rsid w:val="00E512B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Segoe UI" w:eastAsiaTheme="minorEastAsia" w:hAnsi="Segoe UI" w:cs="Segoe UI"/>
    </w:rPr>
  </w:style>
  <w:style w:type="character" w:customStyle="1" w:styleId="FontStyle16">
    <w:name w:val="Font Style16"/>
    <w:basedOn w:val="DefaultParagraphFont"/>
    <w:uiPriority w:val="99"/>
    <w:rsid w:val="00E512B5"/>
    <w:rPr>
      <w:rFonts w:ascii="Segoe UI" w:hAnsi="Segoe UI" w:cs="Segoe UI"/>
      <w:b/>
      <w:bCs/>
      <w:color w:val="000000"/>
      <w:spacing w:val="10"/>
      <w:sz w:val="28"/>
      <w:szCs w:val="28"/>
    </w:rPr>
  </w:style>
  <w:style w:type="character" w:customStyle="1" w:styleId="FontStyle24">
    <w:name w:val="Font Style24"/>
    <w:basedOn w:val="DefaultParagraphFont"/>
    <w:uiPriority w:val="99"/>
    <w:rsid w:val="00E512B5"/>
    <w:rPr>
      <w:rFonts w:ascii="Constantia" w:hAnsi="Constantia" w:cs="Constantia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5614-14D7-46DE-A8B3-5FC41CB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Ampopatert.dot</Template>
  <TotalTime>96</TotalTime>
  <Pages>12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https:/mul2-moh.gov.am/tasks/364307/oneclick/09c7b98857f43036ef76682b2b19e76cedce877b6d856a869c8559a1eee753ef.docx?token=ae1b8ac13d76d293b6cbad874a74813f</cp:keywords>
  <dc:description/>
  <cp:lastModifiedBy>Ashkhen Kodikyan</cp:lastModifiedBy>
  <cp:revision>30</cp:revision>
  <cp:lastPrinted>2022-12-07T13:24:00Z</cp:lastPrinted>
  <dcterms:created xsi:type="dcterms:W3CDTF">2022-12-07T11:52:00Z</dcterms:created>
  <dcterms:modified xsi:type="dcterms:W3CDTF">2023-03-17T09:20:00Z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366b179e556c74430983056e534c2a1d3a10db063ed38c552beaf2fa64949165</vt:lpwstr>
  </property>
</Properties>
</file>