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7C66" w14:textId="77777777" w:rsidR="00556F57" w:rsidRPr="00E474F4" w:rsidRDefault="00556F57" w:rsidP="00556F57">
      <w:pPr>
        <w:shd w:val="clear" w:color="auto" w:fill="FFFFFF"/>
        <w:spacing w:line="360" w:lineRule="auto"/>
        <w:ind w:firstLine="375"/>
        <w:jc w:val="center"/>
        <w:rPr>
          <w:rFonts w:ascii="GHEA Grapalat" w:hAnsi="GHEA Grapalat"/>
          <w:color w:val="000000"/>
          <w:lang w:val="en-US" w:eastAsia="en-US"/>
        </w:rPr>
      </w:pPr>
      <w:r w:rsidRPr="00E009A2">
        <w:rPr>
          <w:rFonts w:ascii="GHEA Grapalat" w:hAnsi="GHEA Grapalat"/>
          <w:b/>
          <w:bCs/>
          <w:color w:val="000000"/>
          <w:lang w:val="en-US" w:eastAsia="en-US"/>
        </w:rPr>
        <w:t>ԱՄՓՈՓԱԹԵՐԹ</w:t>
      </w:r>
    </w:p>
    <w:p w14:paraId="524FA73F" w14:textId="37B29C26" w:rsidR="0096309C" w:rsidRDefault="0096309C" w:rsidP="0096309C">
      <w:pPr>
        <w:tabs>
          <w:tab w:val="left" w:pos="8820"/>
        </w:tabs>
        <w:ind w:firstLine="630"/>
        <w:jc w:val="center"/>
        <w:rPr>
          <w:rFonts w:ascii="GHEA Grapalat" w:hAnsi="GHEA Grapalat" w:cs="Sylfaen"/>
          <w:b/>
          <w:bCs/>
          <w:color w:val="000000" w:themeColor="text1"/>
          <w:lang w:val="hy-AM"/>
        </w:rPr>
      </w:pPr>
      <w:r>
        <w:rPr>
          <w:rFonts w:ascii="GHEA Grapalat" w:hAnsi="GHEA Grapalat" w:cs="Sylfaen"/>
          <w:b/>
          <w:bCs/>
          <w:color w:val="000000" w:themeColor="text1"/>
          <w:lang w:val="hy-AM"/>
        </w:rPr>
        <w:t>«ՀԱՅԱՍՏԱՆԻ</w:t>
      </w:r>
      <w:r>
        <w:rPr>
          <w:rFonts w:ascii="GHEA Grapalat" w:hAnsi="GHEA Grapalat" w:cs="Sylfaen"/>
          <w:b/>
          <w:bCs/>
          <w:color w:val="000000" w:themeColor="text1"/>
          <w:lang w:val="af-ZA"/>
        </w:rPr>
        <w:t xml:space="preserve"> </w:t>
      </w:r>
      <w:r>
        <w:rPr>
          <w:rFonts w:ascii="GHEA Grapalat" w:hAnsi="GHEA Grapalat" w:cs="Sylfaen"/>
          <w:b/>
          <w:bCs/>
          <w:color w:val="000000" w:themeColor="text1"/>
          <w:lang w:val="hy-AM"/>
        </w:rPr>
        <w:t>ՀԱՆՐԱՊԵՏՈՒԹՅԱՆ</w:t>
      </w:r>
      <w:r>
        <w:rPr>
          <w:rFonts w:ascii="GHEA Grapalat" w:hAnsi="GHEA Grapalat" w:cs="Sylfaen"/>
          <w:b/>
          <w:bCs/>
          <w:color w:val="000000" w:themeColor="text1"/>
          <w:lang w:val="af-ZA"/>
        </w:rPr>
        <w:t xml:space="preserve"> 2</w:t>
      </w:r>
      <w:r>
        <w:rPr>
          <w:rFonts w:ascii="GHEA Grapalat" w:hAnsi="GHEA Grapalat" w:cs="Sylfaen"/>
          <w:b/>
          <w:bCs/>
          <w:color w:val="000000" w:themeColor="text1"/>
          <w:lang w:val="hy-AM"/>
        </w:rPr>
        <w:t>023</w:t>
      </w:r>
      <w:r>
        <w:rPr>
          <w:rFonts w:ascii="GHEA Grapalat" w:hAnsi="GHEA Grapalat" w:cs="Sylfaen"/>
          <w:b/>
          <w:bCs/>
          <w:color w:val="000000" w:themeColor="text1"/>
          <w:lang w:val="af-ZA"/>
        </w:rPr>
        <w:t xml:space="preserve"> ԹՎԱԿԱՆԻ ՊԵՏԱԿԱՆ ԲՅՈՒՋԵ</w:t>
      </w:r>
      <w:r>
        <w:rPr>
          <w:rFonts w:ascii="GHEA Grapalat" w:hAnsi="GHEA Grapalat" w:cs="Sylfaen"/>
          <w:b/>
          <w:bCs/>
          <w:color w:val="000000" w:themeColor="text1"/>
          <w:lang w:val="hy-AM"/>
        </w:rPr>
        <w:t>Ի ՄԱՍԻՆ» ՕՐԵՆՔՈՒՄ</w:t>
      </w:r>
      <w:r>
        <w:rPr>
          <w:rFonts w:ascii="GHEA Grapalat" w:hAnsi="GHEA Grapalat" w:cs="Sylfaen"/>
          <w:b/>
          <w:bCs/>
          <w:color w:val="000000" w:themeColor="text1"/>
          <w:lang w:val="af-ZA"/>
        </w:rPr>
        <w:t xml:space="preserve"> </w:t>
      </w:r>
      <w:r w:rsidR="00260E8F">
        <w:rPr>
          <w:rFonts w:ascii="GHEA Grapalat" w:hAnsi="GHEA Grapalat" w:cs="Sylfaen"/>
          <w:b/>
          <w:bCs/>
          <w:color w:val="000000" w:themeColor="text1"/>
          <w:lang w:val="hy-AM"/>
        </w:rPr>
        <w:t xml:space="preserve">ՎԵՐԱԲԱՇԽՈՒՄ </w:t>
      </w:r>
      <w:r>
        <w:rPr>
          <w:rFonts w:ascii="GHEA Grapalat" w:hAnsi="GHEA Grapalat" w:cs="Sylfaen"/>
          <w:b/>
          <w:bCs/>
          <w:color w:val="000000" w:themeColor="text1"/>
          <w:lang w:val="hy-AM"/>
        </w:rPr>
        <w:t xml:space="preserve">ԵՎ </w:t>
      </w:r>
      <w:r>
        <w:rPr>
          <w:rFonts w:ascii="GHEA Grapalat" w:hAnsi="GHEA Grapalat" w:cs="Sylfaen"/>
          <w:b/>
          <w:bCs/>
          <w:color w:val="000000" w:themeColor="text1"/>
          <w:lang w:val="af-ZA"/>
        </w:rPr>
        <w:t xml:space="preserve">ՀԱՅԱՍՏԱՆԻ ՀԱՆՐԱՊԵՏՈՒԹՅԱՆ  </w:t>
      </w:r>
      <w:r>
        <w:rPr>
          <w:rFonts w:ascii="GHEA Grapalat" w:hAnsi="GHEA Grapalat" w:cs="Sylfaen"/>
          <w:b/>
          <w:bCs/>
          <w:color w:val="000000" w:themeColor="text1"/>
          <w:lang w:val="hy-AM"/>
        </w:rPr>
        <w:t>ԿԱՌԱՎԱՐՈՒԹՅԱՆ</w:t>
      </w:r>
      <w:r>
        <w:rPr>
          <w:rFonts w:ascii="GHEA Grapalat" w:hAnsi="GHEA Grapalat" w:cs="Sylfaen"/>
          <w:b/>
          <w:bCs/>
          <w:color w:val="000000" w:themeColor="text1"/>
          <w:lang w:val="af-ZA"/>
        </w:rPr>
        <w:t xml:space="preserve"> 20</w:t>
      </w:r>
      <w:r>
        <w:rPr>
          <w:rFonts w:ascii="GHEA Grapalat" w:hAnsi="GHEA Grapalat" w:cs="Sylfaen"/>
          <w:b/>
          <w:bCs/>
          <w:color w:val="000000" w:themeColor="text1"/>
          <w:lang w:val="hy-AM"/>
        </w:rPr>
        <w:t>22</w:t>
      </w:r>
      <w:r>
        <w:rPr>
          <w:rFonts w:ascii="GHEA Grapalat" w:hAnsi="GHEA Grapalat" w:cs="Sylfaen"/>
          <w:b/>
          <w:bCs/>
          <w:color w:val="000000" w:themeColor="text1"/>
          <w:lang w:val="af-ZA"/>
        </w:rPr>
        <w:t xml:space="preserve"> </w:t>
      </w:r>
      <w:r>
        <w:rPr>
          <w:rFonts w:ascii="GHEA Grapalat" w:hAnsi="GHEA Grapalat" w:cs="Sylfaen"/>
          <w:b/>
          <w:bCs/>
          <w:color w:val="000000" w:themeColor="text1"/>
          <w:lang w:val="hy-AM"/>
        </w:rPr>
        <w:t>ԹՎԱԿԱՆԻ</w:t>
      </w:r>
      <w:r>
        <w:rPr>
          <w:rFonts w:ascii="GHEA Grapalat" w:hAnsi="GHEA Grapalat" w:cs="Sylfaen"/>
          <w:b/>
          <w:bCs/>
          <w:color w:val="000000" w:themeColor="text1"/>
          <w:lang w:val="af-ZA"/>
        </w:rPr>
        <w:t xml:space="preserve"> </w:t>
      </w:r>
      <w:r>
        <w:rPr>
          <w:rFonts w:ascii="GHEA Grapalat" w:hAnsi="GHEA Grapalat" w:cs="Sylfaen"/>
          <w:b/>
          <w:bCs/>
          <w:color w:val="000000" w:themeColor="text1"/>
          <w:lang w:val="hy-AM"/>
        </w:rPr>
        <w:t>ԴԵԿՏԵՄԲԵՐԻ</w:t>
      </w:r>
      <w:r>
        <w:rPr>
          <w:rFonts w:ascii="GHEA Grapalat" w:hAnsi="GHEA Grapalat" w:cs="Sylfaen"/>
          <w:b/>
          <w:bCs/>
          <w:color w:val="000000" w:themeColor="text1"/>
          <w:lang w:val="af-ZA"/>
        </w:rPr>
        <w:t xml:space="preserve"> </w:t>
      </w:r>
      <w:r>
        <w:rPr>
          <w:rFonts w:ascii="GHEA Grapalat" w:hAnsi="GHEA Grapalat" w:cs="Sylfaen"/>
          <w:b/>
          <w:bCs/>
          <w:color w:val="000000" w:themeColor="text1"/>
          <w:lang w:val="hy-AM"/>
        </w:rPr>
        <w:t>29</w:t>
      </w:r>
      <w:r>
        <w:rPr>
          <w:rFonts w:ascii="GHEA Grapalat" w:hAnsi="GHEA Grapalat" w:cs="Sylfaen"/>
          <w:b/>
          <w:bCs/>
          <w:color w:val="000000" w:themeColor="text1"/>
          <w:lang w:val="af-ZA"/>
        </w:rPr>
        <w:t>-</w:t>
      </w:r>
      <w:r>
        <w:rPr>
          <w:rFonts w:ascii="GHEA Grapalat" w:hAnsi="GHEA Grapalat" w:cs="Sylfaen"/>
          <w:b/>
          <w:bCs/>
          <w:color w:val="000000" w:themeColor="text1"/>
          <w:lang w:val="hy-AM"/>
        </w:rPr>
        <w:t>Ի</w:t>
      </w:r>
      <w:r>
        <w:rPr>
          <w:rFonts w:ascii="GHEA Grapalat" w:hAnsi="GHEA Grapalat" w:cs="Sylfaen"/>
          <w:b/>
          <w:bCs/>
          <w:color w:val="000000" w:themeColor="text1"/>
          <w:lang w:val="af-ZA"/>
        </w:rPr>
        <w:t xml:space="preserve"> N 21</w:t>
      </w:r>
      <w:r>
        <w:rPr>
          <w:rFonts w:ascii="GHEA Grapalat" w:hAnsi="GHEA Grapalat" w:cs="Sylfaen"/>
          <w:b/>
          <w:bCs/>
          <w:color w:val="000000" w:themeColor="text1"/>
          <w:lang w:val="hy-AM"/>
        </w:rPr>
        <w:t>11</w:t>
      </w:r>
      <w:r>
        <w:rPr>
          <w:rFonts w:ascii="GHEA Grapalat" w:hAnsi="GHEA Grapalat" w:cs="Sylfaen"/>
          <w:b/>
          <w:bCs/>
          <w:color w:val="000000" w:themeColor="text1"/>
          <w:lang w:val="af-ZA"/>
        </w:rPr>
        <w:t>-</w:t>
      </w:r>
      <w:r>
        <w:rPr>
          <w:rFonts w:ascii="GHEA Grapalat" w:hAnsi="GHEA Grapalat" w:cs="Sylfaen"/>
          <w:b/>
          <w:bCs/>
          <w:color w:val="000000" w:themeColor="text1"/>
          <w:lang w:val="hy-AM"/>
        </w:rPr>
        <w:t>Ն</w:t>
      </w:r>
      <w:r>
        <w:rPr>
          <w:rFonts w:ascii="GHEA Grapalat" w:hAnsi="GHEA Grapalat" w:cs="Sylfaen"/>
          <w:b/>
          <w:bCs/>
          <w:color w:val="000000" w:themeColor="text1"/>
          <w:lang w:val="af-ZA"/>
        </w:rPr>
        <w:t xml:space="preserve"> </w:t>
      </w:r>
      <w:r>
        <w:rPr>
          <w:rFonts w:ascii="GHEA Grapalat" w:hAnsi="GHEA Grapalat" w:cs="Sylfaen"/>
          <w:b/>
          <w:bCs/>
          <w:color w:val="000000" w:themeColor="text1"/>
          <w:lang w:val="hy-AM"/>
        </w:rPr>
        <w:t>ՈՐՈՇՄԱՆ</w:t>
      </w:r>
      <w:r>
        <w:rPr>
          <w:rFonts w:ascii="GHEA Grapalat" w:hAnsi="GHEA Grapalat" w:cs="Sylfaen"/>
          <w:b/>
          <w:bCs/>
          <w:color w:val="000000" w:themeColor="text1"/>
          <w:lang w:val="af-ZA"/>
        </w:rPr>
        <w:t xml:space="preserve"> ՄԵՋ ՓՈՓՈԽՈՒԹՅՈՒՆՆԵՐ</w:t>
      </w:r>
      <w:r w:rsidR="00FE2224">
        <w:rPr>
          <w:rFonts w:ascii="GHEA Grapalat" w:hAnsi="GHEA Grapalat" w:cs="Sylfaen"/>
          <w:b/>
          <w:bCs/>
          <w:color w:val="000000" w:themeColor="text1"/>
          <w:lang w:val="hy-AM"/>
        </w:rPr>
        <w:t xml:space="preserve"> </w:t>
      </w:r>
      <w:r>
        <w:rPr>
          <w:rFonts w:ascii="GHEA Grapalat" w:hAnsi="GHEA Grapalat" w:cs="Sylfaen"/>
          <w:b/>
          <w:bCs/>
          <w:color w:val="000000" w:themeColor="text1"/>
          <w:lang w:val="af-ZA"/>
        </w:rPr>
        <w:t>ԿԱ</w:t>
      </w:r>
      <w:r>
        <w:rPr>
          <w:rFonts w:ascii="GHEA Grapalat" w:hAnsi="GHEA Grapalat" w:cs="Sylfaen"/>
          <w:b/>
          <w:bCs/>
          <w:color w:val="000000" w:themeColor="text1"/>
          <w:lang w:val="hy-AM"/>
        </w:rPr>
        <w:t xml:space="preserve">ՏԱՐԵԼՈՒ </w:t>
      </w:r>
      <w:r>
        <w:rPr>
          <w:rFonts w:ascii="GHEA Grapalat" w:hAnsi="GHEA Grapalat" w:cs="Sylfaen"/>
          <w:b/>
          <w:bCs/>
          <w:color w:val="000000" w:themeColor="text1"/>
          <w:lang w:val="af-ZA"/>
        </w:rPr>
        <w:t>ՄԱՍԻՆ</w:t>
      </w:r>
      <w:r>
        <w:rPr>
          <w:rFonts w:ascii="GHEA Grapalat" w:hAnsi="GHEA Grapalat" w:cs="Sylfaen"/>
          <w:b/>
          <w:bCs/>
          <w:color w:val="000000" w:themeColor="text1"/>
          <w:lang w:val="hy-AM"/>
        </w:rPr>
        <w:t xml:space="preserve">» ՀՀ ԿԱՌԱՎԱՐՈՒԹՅԱՆ ՈՐՈՇՄԱՆ ՆԱԽԱԳԾԻ </w:t>
      </w:r>
    </w:p>
    <w:p w14:paraId="63E14493" w14:textId="77777777" w:rsidR="008517A4" w:rsidRPr="008517A4" w:rsidRDefault="008517A4" w:rsidP="00323175">
      <w:pPr>
        <w:shd w:val="clear" w:color="auto" w:fill="FFFFFF"/>
        <w:spacing w:line="360" w:lineRule="auto"/>
        <w:ind w:firstLine="375"/>
        <w:jc w:val="center"/>
        <w:rPr>
          <w:rFonts w:ascii="GHEA Grapalat" w:hAnsi="GHEA Grapalat" w:cs="Sylfaen"/>
          <w:b/>
          <w:lang w:val="hy-AM"/>
        </w:rPr>
      </w:pPr>
    </w:p>
    <w:tbl>
      <w:tblPr>
        <w:tblpPr w:leftFromText="180" w:rightFromText="180" w:vertAnchor="text" w:tblpXSpec="center" w:tblpY="1"/>
        <w:tblOverlap w:val="never"/>
        <w:tblW w:w="13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930"/>
        <w:gridCol w:w="5670"/>
      </w:tblGrid>
      <w:tr w:rsidR="007A6CD8" w:rsidRPr="00556F57" w14:paraId="74943033" w14:textId="77777777" w:rsidTr="00607CB6">
        <w:trPr>
          <w:tblCellSpacing w:w="0" w:type="dxa"/>
        </w:trPr>
        <w:tc>
          <w:tcPr>
            <w:tcW w:w="7930" w:type="dxa"/>
            <w:vMerge w:val="restart"/>
            <w:shd w:val="clear" w:color="auto" w:fill="D0D0D0"/>
            <w:vAlign w:val="center"/>
            <w:hideMark/>
          </w:tcPr>
          <w:p w14:paraId="5410A74C" w14:textId="77777777" w:rsidR="008F7EB9" w:rsidRPr="00556F57" w:rsidRDefault="008F7EB9" w:rsidP="00556F57">
            <w:pPr>
              <w:spacing w:line="276" w:lineRule="auto"/>
              <w:jc w:val="center"/>
              <w:rPr>
                <w:rFonts w:ascii="GHEA Grapalat" w:hAnsi="GHEA Grapalat"/>
                <w:b/>
                <w:color w:val="000000"/>
                <w:lang w:val="en-US" w:eastAsia="en-US"/>
              </w:rPr>
            </w:pPr>
            <w:r w:rsidRPr="00556F57">
              <w:rPr>
                <w:rFonts w:ascii="GHEA Grapalat" w:hAnsi="GHEA Grapalat"/>
                <w:b/>
                <w:color w:val="000000"/>
                <w:lang w:val="en-US" w:eastAsia="en-US"/>
              </w:rPr>
              <w:t xml:space="preserve">1. </w:t>
            </w:r>
            <w:r w:rsidRPr="00556F57">
              <w:rPr>
                <w:rFonts w:ascii="GHEA Grapalat" w:hAnsi="GHEA Grapalat" w:cs="Sylfaen"/>
                <w:b/>
                <w:lang w:val="hy-AM"/>
              </w:rPr>
              <w:t>ՀՀ ֆինանսների նախարարություն</w:t>
            </w:r>
          </w:p>
        </w:tc>
        <w:tc>
          <w:tcPr>
            <w:tcW w:w="5670" w:type="dxa"/>
            <w:shd w:val="clear" w:color="auto" w:fill="D0D0D0"/>
            <w:hideMark/>
          </w:tcPr>
          <w:p w14:paraId="1DEEFE08" w14:textId="30D21A06" w:rsidR="008F7EB9" w:rsidRPr="00BC1FFF" w:rsidRDefault="006D047D" w:rsidP="00F1535C">
            <w:pPr>
              <w:spacing w:line="276" w:lineRule="auto"/>
              <w:jc w:val="center"/>
              <w:rPr>
                <w:rFonts w:ascii="GHEA Grapalat" w:hAnsi="GHEA Grapalat"/>
                <w:b/>
                <w:color w:val="000000"/>
                <w:lang w:val="en-US" w:eastAsia="en-US"/>
              </w:rPr>
            </w:pPr>
            <w:r>
              <w:rPr>
                <w:rFonts w:ascii="GHEA Grapalat" w:hAnsi="GHEA Grapalat" w:cs="Sylfaen"/>
                <w:b/>
                <w:lang w:val="hy-AM"/>
              </w:rPr>
              <w:t>1</w:t>
            </w:r>
            <w:r w:rsidR="00F1535C">
              <w:rPr>
                <w:rFonts w:ascii="GHEA Grapalat" w:hAnsi="GHEA Grapalat" w:cs="Sylfaen"/>
                <w:b/>
                <w:lang w:val="hy-AM"/>
              </w:rPr>
              <w:t>6</w:t>
            </w:r>
            <w:r>
              <w:rPr>
                <w:rFonts w:ascii="GHEA Grapalat" w:hAnsi="GHEA Grapalat" w:cs="Sylfaen"/>
                <w:b/>
                <w:lang w:val="hy-AM"/>
              </w:rPr>
              <w:t>.03</w:t>
            </w:r>
            <w:r w:rsidR="00323175" w:rsidRPr="00BC1FFF">
              <w:rPr>
                <w:rFonts w:ascii="GHEA Grapalat" w:hAnsi="GHEA Grapalat" w:cs="Sylfaen"/>
                <w:b/>
                <w:lang w:val="hy-AM"/>
              </w:rPr>
              <w:t>.202</w:t>
            </w:r>
            <w:r w:rsidR="0096309C">
              <w:rPr>
                <w:rFonts w:ascii="GHEA Grapalat" w:hAnsi="GHEA Grapalat" w:cs="Sylfaen"/>
                <w:b/>
                <w:lang w:val="hy-AM"/>
              </w:rPr>
              <w:t>3</w:t>
            </w:r>
            <w:r w:rsidR="00323175" w:rsidRPr="00BC1FFF">
              <w:rPr>
                <w:rFonts w:ascii="GHEA Grapalat" w:hAnsi="GHEA Grapalat" w:cs="Sylfaen"/>
                <w:b/>
                <w:lang w:val="hy-AM"/>
              </w:rPr>
              <w:t>թ</w:t>
            </w:r>
            <w:r w:rsidR="008F7EB9" w:rsidRPr="00BC1FFF">
              <w:rPr>
                <w:rFonts w:ascii="GHEA Grapalat" w:hAnsi="GHEA Grapalat" w:cs="Sylfaen"/>
                <w:b/>
                <w:lang w:val="hy-AM"/>
              </w:rPr>
              <w:t>.</w:t>
            </w:r>
          </w:p>
        </w:tc>
      </w:tr>
      <w:tr w:rsidR="007A6CD8" w:rsidRPr="00323175" w14:paraId="34BB83CD" w14:textId="77777777" w:rsidTr="00607CB6">
        <w:trPr>
          <w:tblCellSpacing w:w="0" w:type="dxa"/>
        </w:trPr>
        <w:tc>
          <w:tcPr>
            <w:tcW w:w="7930" w:type="dxa"/>
            <w:vMerge/>
            <w:shd w:val="clear" w:color="auto" w:fill="FFFFFF"/>
            <w:vAlign w:val="center"/>
            <w:hideMark/>
          </w:tcPr>
          <w:p w14:paraId="740A16AD" w14:textId="77777777" w:rsidR="008F7EB9" w:rsidRPr="00556F57" w:rsidRDefault="008F7EB9" w:rsidP="00556F57">
            <w:pPr>
              <w:spacing w:line="276" w:lineRule="auto"/>
              <w:rPr>
                <w:rFonts w:ascii="GHEA Grapalat" w:hAnsi="GHEA Grapalat"/>
                <w:b/>
                <w:color w:val="000000"/>
                <w:lang w:val="en-US" w:eastAsia="en-US"/>
              </w:rPr>
            </w:pPr>
          </w:p>
        </w:tc>
        <w:tc>
          <w:tcPr>
            <w:tcW w:w="5670" w:type="dxa"/>
            <w:shd w:val="clear" w:color="auto" w:fill="D0D0D0"/>
            <w:hideMark/>
          </w:tcPr>
          <w:p w14:paraId="4214D851" w14:textId="078E62F4" w:rsidR="008F7EB9" w:rsidRPr="00BC1FFF" w:rsidRDefault="00F1535C" w:rsidP="00556F57">
            <w:pPr>
              <w:spacing w:line="276" w:lineRule="auto"/>
              <w:jc w:val="center"/>
              <w:rPr>
                <w:rFonts w:ascii="GHEA Grapalat" w:hAnsi="GHEA Grapalat" w:cs="Sylfaen"/>
                <w:b/>
                <w:lang w:val="hy-AM"/>
              </w:rPr>
            </w:pPr>
            <w:r w:rsidRPr="00F1535C">
              <w:rPr>
                <w:rFonts w:ascii="GHEA Grapalat" w:hAnsi="GHEA Grapalat" w:cs="Sylfaen"/>
                <w:b/>
                <w:lang w:val="hy-AM"/>
              </w:rPr>
              <w:t>01/9-1/4879-2023</w:t>
            </w:r>
          </w:p>
        </w:tc>
      </w:tr>
      <w:tr w:rsidR="00D86AD5" w:rsidRPr="00AF0B03" w14:paraId="037659DB" w14:textId="77777777" w:rsidTr="00AF0B03">
        <w:trPr>
          <w:trHeight w:val="905"/>
          <w:tblCellSpacing w:w="0" w:type="dxa"/>
        </w:trPr>
        <w:tc>
          <w:tcPr>
            <w:tcW w:w="7930" w:type="dxa"/>
            <w:shd w:val="clear" w:color="auto" w:fill="FFFFFF"/>
          </w:tcPr>
          <w:p w14:paraId="638548BD" w14:textId="77777777" w:rsidR="00AF0B03" w:rsidRPr="000073B9" w:rsidRDefault="00AF0B03" w:rsidP="00AF0B03">
            <w:pPr>
              <w:pStyle w:val="BodyText"/>
              <w:spacing w:after="0" w:line="360" w:lineRule="auto"/>
              <w:ind w:left="90" w:right="165" w:firstLine="477"/>
              <w:jc w:val="both"/>
              <w:rPr>
                <w:rFonts w:ascii="GHEA Grapalat" w:eastAsia="Times New Roman" w:hAnsi="GHEA Grapalat" w:cs="Times New Roman"/>
                <w:sz w:val="24"/>
                <w:szCs w:val="24"/>
                <w:lang w:val="hy-AM"/>
              </w:rPr>
            </w:pPr>
            <w:r w:rsidRPr="000073B9">
              <w:rPr>
                <w:rFonts w:ascii="GHEA Grapalat" w:eastAsia="Times New Roman" w:hAnsi="GHEA Grapalat" w:cs="Times New Roman"/>
                <w:sz w:val="24"/>
                <w:szCs w:val="24"/>
                <w:lang w:val="hy-AM"/>
              </w:rPr>
              <w:t>Հարգելի պարոն Խաչատրյան</w:t>
            </w:r>
          </w:p>
          <w:p w14:paraId="0B446FA0" w14:textId="77777777" w:rsidR="00AF0B03" w:rsidRPr="000073B9" w:rsidRDefault="00AF0B03" w:rsidP="00AF0B03">
            <w:pPr>
              <w:spacing w:line="360" w:lineRule="auto"/>
              <w:ind w:left="90" w:right="165" w:firstLine="477"/>
              <w:jc w:val="both"/>
              <w:rPr>
                <w:rFonts w:ascii="GHEA Grapalat" w:hAnsi="GHEA Grapalat" w:cs="Cambria Math"/>
                <w:lang w:val="hy-AM"/>
              </w:rPr>
            </w:pPr>
            <w:r w:rsidRPr="000073B9">
              <w:rPr>
                <w:rFonts w:ascii="GHEA Grapalat" w:hAnsi="GHEA Grapalat"/>
                <w:lang w:val="hy-AM"/>
              </w:rPr>
              <w:t>Քննության առնելով Ձեր 06.03.2023թ. N 01/16.1/1919-2023 գրությամբ ներկայացված «Հայաստանի Հանրապետության 2022 թվականի պետական բյուջեի մասին» օրենքում վերաբաշխում և Հայաստանի Հանրապետության կառավարության 2021 թվականի դեկտեմբերի 23-ի N 2121-Ն որոշման մեջ փոփոխություններ ու լրա</w:t>
            </w:r>
            <w:r w:rsidRPr="000073B9">
              <w:rPr>
                <w:rFonts w:ascii="GHEA Grapalat" w:hAnsi="GHEA Grapalat"/>
                <w:lang w:val="hy-AM"/>
              </w:rPr>
              <w:softHyphen/>
              <w:t xml:space="preserve">ցումներ կատարելու մասին» ՀՀ կառավարության որոշման նախագիծը, </w:t>
            </w:r>
            <w:r w:rsidRPr="000073B9">
              <w:rPr>
                <w:rFonts w:ascii="GHEA Grapalat" w:hAnsi="GHEA Grapalat" w:cs="Sylfaen"/>
                <w:lang w:val="hy-AM"/>
              </w:rPr>
              <w:t>որով առաջարկվում է ՀՀ 2023 թվականի պետական բյուջեի ՀՀ կառավարության պահուստային ֆոնդից 1043 ծրագրի 11018 «Պետական աջակցություն տեղեկատվական տեխնոլոգիաների ոլորտում գործունեություն իրականացնող առևտրային կազմակերպություններին և անհատ ձեռնարկատերերին» միջոցառմանը հատկացնել 6,36 մլրդ դրամ (առաջին եռամսյակում՝ 2.2 մլրդ, 2-րդ եռամսյակում՝ 4.16 մլրդ դրամ)՝ ՀՀ կառավարության 24</w:t>
            </w:r>
            <w:r w:rsidRPr="000073B9">
              <w:rPr>
                <w:rFonts w:ascii="Cambria Math" w:hAnsi="Cambria Math" w:cs="Cambria Math"/>
                <w:lang w:val="hy-AM"/>
              </w:rPr>
              <w:t>․</w:t>
            </w:r>
            <w:r w:rsidRPr="000073B9">
              <w:rPr>
                <w:rFonts w:ascii="GHEA Grapalat" w:hAnsi="GHEA Grapalat" w:cs="Sylfaen"/>
                <w:lang w:val="hy-AM"/>
              </w:rPr>
              <w:t>03</w:t>
            </w:r>
            <w:r w:rsidRPr="000073B9">
              <w:rPr>
                <w:rFonts w:ascii="Cambria Math" w:hAnsi="Cambria Math" w:cs="Cambria Math"/>
                <w:lang w:val="hy-AM"/>
              </w:rPr>
              <w:t>․</w:t>
            </w:r>
            <w:r w:rsidRPr="000073B9">
              <w:rPr>
                <w:rFonts w:ascii="GHEA Grapalat" w:hAnsi="GHEA Grapalat" w:cs="Sylfaen"/>
                <w:lang w:val="hy-AM"/>
              </w:rPr>
              <w:t>2022թ</w:t>
            </w:r>
            <w:r w:rsidRPr="000073B9">
              <w:rPr>
                <w:rFonts w:ascii="Cambria Math" w:hAnsi="Cambria Math" w:cs="Cambria Math"/>
                <w:lang w:val="hy-AM"/>
              </w:rPr>
              <w:t>․</w:t>
            </w:r>
            <w:r w:rsidRPr="000073B9">
              <w:rPr>
                <w:rFonts w:ascii="GHEA Grapalat" w:hAnsi="GHEA Grapalat" w:cs="Sylfaen"/>
                <w:lang w:val="hy-AM"/>
              </w:rPr>
              <w:t xml:space="preserve"> N 399-Լ և 01.12.2022թ</w:t>
            </w:r>
            <w:r w:rsidRPr="000073B9">
              <w:rPr>
                <w:rFonts w:ascii="Cambria Math" w:hAnsi="Cambria Math" w:cs="Cambria Math"/>
                <w:lang w:val="hy-AM"/>
              </w:rPr>
              <w:t>․</w:t>
            </w:r>
            <w:r w:rsidRPr="000073B9">
              <w:rPr>
                <w:rFonts w:ascii="GHEA Grapalat" w:hAnsi="GHEA Grapalat" w:cs="Sylfaen"/>
                <w:lang w:val="hy-AM"/>
              </w:rPr>
              <w:t xml:space="preserve"> N 1863-Լ որոշումների շահառու հանդիսացող կազմակերպություններին </w:t>
            </w:r>
            <w:r w:rsidRPr="000073B9">
              <w:rPr>
                <w:rFonts w:ascii="GHEA Grapalat" w:hAnsi="GHEA Grapalat" w:cs="Sylfaen"/>
                <w:lang w:val="hy-AM"/>
              </w:rPr>
              <w:lastRenderedPageBreak/>
              <w:t>աջակցության գումարներն հատկացնելու նպատակով, հայտնում ենք հետևյալը</w:t>
            </w:r>
            <w:r w:rsidRPr="000073B9">
              <w:rPr>
                <w:rFonts w:ascii="Cambria Math" w:hAnsi="Cambria Math" w:cs="Cambria Math"/>
                <w:lang w:val="hy-AM"/>
              </w:rPr>
              <w:t>․</w:t>
            </w:r>
          </w:p>
          <w:p w14:paraId="28546D44" w14:textId="2A168849" w:rsidR="00D86AD5" w:rsidRPr="00BC1FFF" w:rsidRDefault="00AF0B03" w:rsidP="00AF0B03">
            <w:pPr>
              <w:pStyle w:val="NormalWeb"/>
              <w:shd w:val="clear" w:color="auto" w:fill="FFFFFF"/>
              <w:spacing w:before="0" w:beforeAutospacing="0" w:after="0" w:afterAutospacing="0" w:line="348" w:lineRule="auto"/>
              <w:ind w:left="90" w:right="165" w:firstLine="477"/>
              <w:jc w:val="both"/>
              <w:rPr>
                <w:rFonts w:ascii="GHEA Grapalat" w:hAnsi="GHEA Grapalat"/>
                <w:lang w:val="hy-AM"/>
              </w:rPr>
            </w:pPr>
            <w:r>
              <w:rPr>
                <w:rFonts w:ascii="GHEA Grapalat" w:hAnsi="GHEA Grapalat" w:cs="Sylfaen"/>
                <w:lang w:val="hy-AM"/>
              </w:rPr>
              <w:t>ա</w:t>
            </w:r>
            <w:r w:rsidRPr="000073B9">
              <w:rPr>
                <w:rFonts w:ascii="GHEA Grapalat" w:hAnsi="GHEA Grapalat" w:cs="Sylfaen"/>
                <w:lang w:val="hy-AM"/>
              </w:rPr>
              <w:t>ռաջարկում ենք Նախագծի 4-րդ և 5-րդ հավելվածներում հստակեցնել աջակցություն ստացող առևտրային կազմակերպությունների և անհատ ձեռնարկատերերի քանակի ցուցանիշում (216 կազմակերպություն) ներառված ՀՀ կառավարության 24</w:t>
            </w:r>
            <w:r w:rsidRPr="000073B9">
              <w:rPr>
                <w:rFonts w:ascii="Cambria Math" w:hAnsi="Cambria Math" w:cs="Cambria Math"/>
                <w:lang w:val="hy-AM"/>
              </w:rPr>
              <w:t>․</w:t>
            </w:r>
            <w:r w:rsidRPr="000073B9">
              <w:rPr>
                <w:rFonts w:ascii="GHEA Grapalat" w:hAnsi="GHEA Grapalat" w:cs="Sylfaen"/>
                <w:lang w:val="hy-AM"/>
              </w:rPr>
              <w:t>03</w:t>
            </w:r>
            <w:r w:rsidRPr="000073B9">
              <w:rPr>
                <w:rFonts w:ascii="Cambria Math" w:hAnsi="Cambria Math" w:cs="Cambria Math"/>
                <w:lang w:val="hy-AM"/>
              </w:rPr>
              <w:t>․</w:t>
            </w:r>
            <w:r w:rsidRPr="000073B9">
              <w:rPr>
                <w:rFonts w:ascii="GHEA Grapalat" w:hAnsi="GHEA Grapalat" w:cs="Sylfaen"/>
                <w:lang w:val="hy-AM"/>
              </w:rPr>
              <w:t>2022թ</w:t>
            </w:r>
            <w:r w:rsidRPr="000073B9">
              <w:rPr>
                <w:rFonts w:ascii="Cambria Math" w:hAnsi="Cambria Math" w:cs="Cambria Math"/>
                <w:lang w:val="hy-AM"/>
              </w:rPr>
              <w:t>․</w:t>
            </w:r>
            <w:r w:rsidRPr="000073B9">
              <w:rPr>
                <w:rFonts w:ascii="GHEA Grapalat" w:hAnsi="GHEA Grapalat" w:cs="Sylfaen"/>
                <w:lang w:val="hy-AM"/>
              </w:rPr>
              <w:t xml:space="preserve"> N 399-Լ որոշման շահառուների թիվը, քանի որ այն չի համապատասխանում հիմնավորման մեջ նշված (20 կազմակերպություն) և կից ներկայացված հաշվարների (33 կազմակերպություն)  ցուցանիշներին:</w:t>
            </w:r>
            <w:r>
              <w:rPr>
                <w:rFonts w:ascii="GHEA Grapalat" w:hAnsi="GHEA Grapalat" w:cs="Sylfaen"/>
                <w:lang w:val="hy-AM"/>
              </w:rPr>
              <w:t xml:space="preserve"> Բացի այդ անհրաժեշտ է հստակեցնել նաև նույն հավելվածներում վերոնշյալ ոչ ֆինանսական ցուցանիշների եռամսյակային համամասնությունները, քանի որ 1 շահառուի հաշվով՝ առաջին եռամսյակում հատկացվող գումարը կազմում է 88.0 հազ. դրամ, իսկ 2-րդ եռամսյակում՝ 21.8 հազ. դրամ:</w:t>
            </w:r>
          </w:p>
        </w:tc>
        <w:tc>
          <w:tcPr>
            <w:tcW w:w="5670" w:type="dxa"/>
            <w:shd w:val="clear" w:color="auto" w:fill="FFFFFF"/>
          </w:tcPr>
          <w:p w14:paraId="2C08F26F" w14:textId="77777777" w:rsidR="00260E8F" w:rsidRDefault="00260E8F" w:rsidP="00D86AD5">
            <w:pPr>
              <w:spacing w:line="360" w:lineRule="auto"/>
              <w:ind w:left="165" w:right="165" w:firstLine="360"/>
              <w:jc w:val="both"/>
              <w:rPr>
                <w:rFonts w:ascii="GHEA Grapalat" w:hAnsi="GHEA Grapalat"/>
                <w:color w:val="000000"/>
                <w:lang w:val="hy-AM" w:eastAsia="en-US"/>
              </w:rPr>
            </w:pPr>
          </w:p>
          <w:p w14:paraId="0FD2F717"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4C05975C"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6355D0AE"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4BBB0614"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4F3CD23C"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7EBA5A00"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16AA50FC"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3739B049"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3DE20E00"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06008BBB"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5724BD69" w14:textId="7DB8FFAF" w:rsidR="00AF0B03" w:rsidRDefault="00AF0B03" w:rsidP="00AF0B03">
            <w:pPr>
              <w:spacing w:line="360" w:lineRule="auto"/>
              <w:ind w:left="165" w:right="165" w:firstLine="360"/>
              <w:jc w:val="center"/>
              <w:rPr>
                <w:rFonts w:ascii="GHEA Grapalat" w:hAnsi="GHEA Grapalat"/>
                <w:color w:val="000000"/>
                <w:lang w:val="hy-AM" w:eastAsia="en-US"/>
              </w:rPr>
            </w:pPr>
            <w:r>
              <w:rPr>
                <w:rFonts w:ascii="GHEA Grapalat" w:hAnsi="GHEA Grapalat"/>
                <w:color w:val="000000"/>
                <w:lang w:val="hy-AM" w:eastAsia="en-US"/>
              </w:rPr>
              <w:t>Ընդունվել է:</w:t>
            </w:r>
          </w:p>
          <w:p w14:paraId="3D35CF84" w14:textId="7C76CCA8" w:rsidR="00AF0B03" w:rsidRDefault="00AF0B03" w:rsidP="00AF0B03">
            <w:pPr>
              <w:spacing w:line="360" w:lineRule="auto"/>
              <w:ind w:left="165" w:right="165" w:firstLine="360"/>
              <w:jc w:val="center"/>
              <w:rPr>
                <w:rFonts w:ascii="GHEA Grapalat" w:hAnsi="GHEA Grapalat"/>
                <w:color w:val="000000"/>
                <w:lang w:val="hy-AM" w:eastAsia="en-US"/>
              </w:rPr>
            </w:pPr>
            <w:r>
              <w:rPr>
                <w:rFonts w:ascii="GHEA Grapalat" w:hAnsi="GHEA Grapalat" w:cs="Sylfaen"/>
                <w:lang w:val="hy-AM"/>
              </w:rPr>
              <w:t xml:space="preserve">Ինչ վերաբերվում է </w:t>
            </w:r>
            <w:r>
              <w:rPr>
                <w:rFonts w:ascii="GHEA Grapalat" w:hAnsi="GHEA Grapalat" w:cs="Sylfaen"/>
                <w:lang w:val="hy-AM"/>
              </w:rPr>
              <w:t xml:space="preserve">ոչ ֆինանսական ցուցանիշների </w:t>
            </w:r>
            <w:r>
              <w:rPr>
                <w:rFonts w:ascii="GHEA Grapalat" w:hAnsi="GHEA Grapalat" w:cs="Sylfaen"/>
                <w:lang w:val="hy-AM"/>
              </w:rPr>
              <w:t xml:space="preserve">եռամսյակային համամասնություններին և </w:t>
            </w:r>
            <w:r>
              <w:rPr>
                <w:rFonts w:ascii="GHEA Grapalat" w:hAnsi="GHEA Grapalat" w:cs="Sylfaen"/>
                <w:lang w:val="hy-AM"/>
              </w:rPr>
              <w:t>1 շահառուի հաշվով հատկացվող գումար</w:t>
            </w:r>
            <w:r>
              <w:rPr>
                <w:rFonts w:ascii="GHEA Grapalat" w:hAnsi="GHEA Grapalat" w:cs="Sylfaen"/>
                <w:lang w:val="hy-AM"/>
              </w:rPr>
              <w:t xml:space="preserve">ների </w:t>
            </w:r>
            <w:r>
              <w:rPr>
                <w:rFonts w:ascii="GHEA Grapalat" w:hAnsi="GHEA Grapalat" w:cs="Sylfaen"/>
                <w:lang w:val="hy-AM"/>
              </w:rPr>
              <w:lastRenderedPageBreak/>
              <w:t>համամասնություններին, ապա համաձայն ստացվող տեղեկատվության, որևէ համամասնություն չի կարող հստակեցվել, քանի որ տարբեր են ինչպես կազմակերպություններին փոխհատուցման ենթակա գումարները՝ 700 հազար դրամից մինչև 92 մլն</w:t>
            </w:r>
            <w:r w:rsidR="00F1535C">
              <w:rPr>
                <w:rFonts w:ascii="GHEA Grapalat" w:hAnsi="GHEA Grapalat" w:cs="Sylfaen"/>
                <w:lang w:val="hy-AM"/>
              </w:rPr>
              <w:t>.</w:t>
            </w:r>
            <w:r>
              <w:rPr>
                <w:rFonts w:ascii="GHEA Grapalat" w:hAnsi="GHEA Grapalat" w:cs="Sylfaen"/>
                <w:lang w:val="hy-AM"/>
              </w:rPr>
              <w:t xml:space="preserve"> դրամ, օրինակ, այնպես էլ՝ մեկ կազմակերպության հաշվով յուրաքանչյուր ամիս փոխհատու</w:t>
            </w:r>
            <w:bookmarkStart w:id="0" w:name="_GoBack"/>
            <w:bookmarkEnd w:id="0"/>
            <w:r>
              <w:rPr>
                <w:rFonts w:ascii="GHEA Grapalat" w:hAnsi="GHEA Grapalat" w:cs="Sylfaen"/>
                <w:lang w:val="hy-AM"/>
              </w:rPr>
              <w:t xml:space="preserve">ցման ենթակա գումարները: </w:t>
            </w:r>
          </w:p>
          <w:p w14:paraId="235322D9"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30011B26" w14:textId="77777777" w:rsidR="00AF0B03" w:rsidRDefault="00AF0B03" w:rsidP="00D86AD5">
            <w:pPr>
              <w:spacing w:line="360" w:lineRule="auto"/>
              <w:ind w:left="165" w:right="165" w:firstLine="360"/>
              <w:jc w:val="both"/>
              <w:rPr>
                <w:rFonts w:ascii="GHEA Grapalat" w:hAnsi="GHEA Grapalat"/>
                <w:color w:val="000000"/>
                <w:lang w:val="hy-AM" w:eastAsia="en-US"/>
              </w:rPr>
            </w:pPr>
          </w:p>
          <w:p w14:paraId="2EBC28CF" w14:textId="476CB24D" w:rsidR="00AF0B03" w:rsidRPr="00607CB6" w:rsidRDefault="00AF0B03" w:rsidP="00D86AD5">
            <w:pPr>
              <w:spacing w:line="360" w:lineRule="auto"/>
              <w:ind w:left="165" w:right="165" w:firstLine="360"/>
              <w:jc w:val="both"/>
              <w:rPr>
                <w:rFonts w:ascii="GHEA Grapalat" w:hAnsi="GHEA Grapalat"/>
                <w:color w:val="000000"/>
                <w:lang w:val="hy-AM" w:eastAsia="en-US"/>
              </w:rPr>
            </w:pPr>
          </w:p>
        </w:tc>
      </w:tr>
      <w:tr w:rsidR="00AF0B03" w:rsidRPr="00AF0B03" w14:paraId="6F881EE9" w14:textId="77777777" w:rsidTr="00AF0B03">
        <w:trPr>
          <w:trHeight w:val="512"/>
          <w:tblCellSpacing w:w="0" w:type="dxa"/>
        </w:trPr>
        <w:tc>
          <w:tcPr>
            <w:tcW w:w="7930" w:type="dxa"/>
            <w:vMerge w:val="restart"/>
            <w:shd w:val="clear" w:color="auto" w:fill="BFBFBF" w:themeFill="background1" w:themeFillShade="BF"/>
            <w:vAlign w:val="center"/>
          </w:tcPr>
          <w:p w14:paraId="1F4CF034" w14:textId="542E9B03" w:rsidR="00AF0B03" w:rsidRPr="00AF0B03" w:rsidRDefault="00AF0B03" w:rsidP="00AF0B03">
            <w:pPr>
              <w:pStyle w:val="BodyText"/>
              <w:spacing w:after="0" w:line="360" w:lineRule="auto"/>
              <w:ind w:left="90" w:right="165" w:firstLine="477"/>
              <w:jc w:val="center"/>
              <w:rPr>
                <w:rFonts w:ascii="GHEA Grapalat" w:eastAsia="Times New Roman" w:hAnsi="GHEA Grapalat" w:cs="Times New Roman"/>
                <w:sz w:val="24"/>
                <w:szCs w:val="24"/>
                <w:lang w:val="hy-AM"/>
              </w:rPr>
            </w:pPr>
            <w:r w:rsidRPr="00F1535C">
              <w:rPr>
                <w:rFonts w:ascii="GHEA Grapalat" w:hAnsi="GHEA Grapalat"/>
                <w:b/>
                <w:color w:val="000000"/>
                <w:lang w:val="hy-AM"/>
              </w:rPr>
              <w:lastRenderedPageBreak/>
              <w:t>2</w:t>
            </w:r>
            <w:r w:rsidRPr="00F1535C">
              <w:rPr>
                <w:rFonts w:ascii="GHEA Grapalat" w:hAnsi="GHEA Grapalat"/>
                <w:b/>
                <w:color w:val="000000"/>
                <w:lang w:val="hy-AM"/>
              </w:rPr>
              <w:t xml:space="preserve">. </w:t>
            </w:r>
            <w:r w:rsidRPr="00556F57">
              <w:rPr>
                <w:rFonts w:ascii="GHEA Grapalat" w:hAnsi="GHEA Grapalat" w:cs="Sylfaen"/>
                <w:b/>
                <w:lang w:val="hy-AM"/>
              </w:rPr>
              <w:t xml:space="preserve">ՀՀ </w:t>
            </w:r>
            <w:r>
              <w:rPr>
                <w:rFonts w:ascii="GHEA Grapalat" w:hAnsi="GHEA Grapalat" w:cs="Sylfaen"/>
                <w:b/>
                <w:lang w:val="hy-AM"/>
              </w:rPr>
              <w:t>պետական եկամուտների կոմիտե</w:t>
            </w:r>
          </w:p>
        </w:tc>
        <w:tc>
          <w:tcPr>
            <w:tcW w:w="5670" w:type="dxa"/>
            <w:shd w:val="clear" w:color="auto" w:fill="BFBFBF" w:themeFill="background1" w:themeFillShade="BF"/>
          </w:tcPr>
          <w:p w14:paraId="65A7C046" w14:textId="15D55F24" w:rsidR="00AF0B03" w:rsidRDefault="00AF0B03" w:rsidP="00AF0B03">
            <w:pPr>
              <w:spacing w:line="360" w:lineRule="auto"/>
              <w:ind w:left="165" w:right="165" w:firstLine="360"/>
              <w:jc w:val="center"/>
              <w:rPr>
                <w:rFonts w:ascii="GHEA Grapalat" w:hAnsi="GHEA Grapalat"/>
                <w:color w:val="000000"/>
                <w:lang w:val="hy-AM" w:eastAsia="en-US"/>
              </w:rPr>
            </w:pPr>
            <w:r>
              <w:rPr>
                <w:rFonts w:ascii="GHEA Grapalat" w:hAnsi="GHEA Grapalat" w:cs="Sylfaen"/>
                <w:b/>
                <w:lang w:val="hy-AM"/>
              </w:rPr>
              <w:t>14</w:t>
            </w:r>
            <w:r>
              <w:rPr>
                <w:rFonts w:ascii="GHEA Grapalat" w:hAnsi="GHEA Grapalat" w:cs="Sylfaen"/>
                <w:b/>
                <w:lang w:val="hy-AM"/>
              </w:rPr>
              <w:t>.03</w:t>
            </w:r>
            <w:r w:rsidRPr="00BC1FFF">
              <w:rPr>
                <w:rFonts w:ascii="GHEA Grapalat" w:hAnsi="GHEA Grapalat" w:cs="Sylfaen"/>
                <w:b/>
                <w:lang w:val="hy-AM"/>
              </w:rPr>
              <w:t>.202</w:t>
            </w:r>
            <w:r>
              <w:rPr>
                <w:rFonts w:ascii="GHEA Grapalat" w:hAnsi="GHEA Grapalat" w:cs="Sylfaen"/>
                <w:b/>
                <w:lang w:val="hy-AM"/>
              </w:rPr>
              <w:t>3</w:t>
            </w:r>
            <w:r w:rsidRPr="00BC1FFF">
              <w:rPr>
                <w:rFonts w:ascii="GHEA Grapalat" w:hAnsi="GHEA Grapalat" w:cs="Sylfaen"/>
                <w:b/>
                <w:lang w:val="hy-AM"/>
              </w:rPr>
              <w:t>թ.</w:t>
            </w:r>
          </w:p>
        </w:tc>
      </w:tr>
      <w:tr w:rsidR="00AF0B03" w:rsidRPr="00AF0B03" w14:paraId="104A8CA2" w14:textId="77777777" w:rsidTr="00AF0B03">
        <w:trPr>
          <w:trHeight w:val="350"/>
          <w:tblCellSpacing w:w="0" w:type="dxa"/>
        </w:trPr>
        <w:tc>
          <w:tcPr>
            <w:tcW w:w="7930" w:type="dxa"/>
            <w:vMerge/>
            <w:shd w:val="clear" w:color="auto" w:fill="BFBFBF" w:themeFill="background1" w:themeFillShade="BF"/>
            <w:vAlign w:val="center"/>
          </w:tcPr>
          <w:p w14:paraId="5416B68C" w14:textId="77777777" w:rsidR="00AF0B03" w:rsidRPr="002B77F3" w:rsidRDefault="00AF0B03" w:rsidP="00AF0B03">
            <w:pPr>
              <w:pStyle w:val="BodyText"/>
              <w:spacing w:after="0" w:line="360" w:lineRule="auto"/>
              <w:ind w:left="90" w:right="165" w:firstLine="477"/>
              <w:jc w:val="center"/>
              <w:rPr>
                <w:rFonts w:ascii="GHEA Grapalat" w:eastAsia="Times New Roman" w:hAnsi="GHEA Grapalat" w:cs="Times New Roman"/>
                <w:sz w:val="24"/>
                <w:szCs w:val="24"/>
                <w:lang w:val="hy-AM"/>
              </w:rPr>
            </w:pPr>
          </w:p>
        </w:tc>
        <w:tc>
          <w:tcPr>
            <w:tcW w:w="5670" w:type="dxa"/>
            <w:shd w:val="clear" w:color="auto" w:fill="BFBFBF" w:themeFill="background1" w:themeFillShade="BF"/>
          </w:tcPr>
          <w:p w14:paraId="0665F3E7" w14:textId="5B06DAE3" w:rsidR="00AF0B03" w:rsidRPr="00AF0B03" w:rsidRDefault="00AF0B03" w:rsidP="00AF0B03">
            <w:pPr>
              <w:spacing w:line="360" w:lineRule="auto"/>
              <w:ind w:left="165" w:right="165" w:firstLine="360"/>
              <w:jc w:val="center"/>
              <w:rPr>
                <w:rFonts w:ascii="GHEA Grapalat" w:hAnsi="GHEA Grapalat" w:cs="Sylfaen"/>
                <w:b/>
                <w:lang w:val="hy-AM"/>
              </w:rPr>
            </w:pPr>
            <w:r w:rsidRPr="00AF0B03">
              <w:rPr>
                <w:rFonts w:ascii="GHEA Grapalat" w:hAnsi="GHEA Grapalat" w:cs="Sylfaen"/>
                <w:b/>
                <w:lang w:val="hy-AM"/>
              </w:rPr>
              <w:t>01/3-3/15027-2023</w:t>
            </w:r>
          </w:p>
        </w:tc>
      </w:tr>
      <w:tr w:rsidR="00AF0B03" w:rsidRPr="00AF0B03" w14:paraId="4022EDBD" w14:textId="77777777" w:rsidTr="00607CB6">
        <w:trPr>
          <w:trHeight w:val="800"/>
          <w:tblCellSpacing w:w="0" w:type="dxa"/>
        </w:trPr>
        <w:tc>
          <w:tcPr>
            <w:tcW w:w="7930" w:type="dxa"/>
            <w:shd w:val="clear" w:color="auto" w:fill="FFFFFF"/>
          </w:tcPr>
          <w:p w14:paraId="6B823BF5" w14:textId="77777777" w:rsidR="00AF0B03" w:rsidRDefault="00AF0B03" w:rsidP="00AF0B03">
            <w:pPr>
              <w:spacing w:line="360" w:lineRule="auto"/>
              <w:ind w:left="90" w:right="75" w:firstLine="477"/>
              <w:jc w:val="both"/>
              <w:rPr>
                <w:rFonts w:ascii="GHEA Grapalat" w:hAnsi="GHEA Grapalat"/>
                <w:lang w:val="hy-AM" w:eastAsia="en-US"/>
              </w:rPr>
            </w:pPr>
            <w:r>
              <w:rPr>
                <w:rFonts w:ascii="GHEA Grapalat" w:hAnsi="GHEA Grapalat"/>
                <w:lang w:val="hy-AM"/>
              </w:rPr>
              <w:t>Հարգելի պարոն Խաչատրյան</w:t>
            </w:r>
          </w:p>
          <w:p w14:paraId="1701E0AC" w14:textId="6EF159FC" w:rsidR="00AF0B03" w:rsidRPr="002B77F3" w:rsidRDefault="00AF0B03" w:rsidP="00AF0B03">
            <w:pPr>
              <w:spacing w:line="360" w:lineRule="auto"/>
              <w:ind w:left="90" w:right="75" w:firstLine="477"/>
              <w:jc w:val="both"/>
              <w:rPr>
                <w:rFonts w:ascii="GHEA Grapalat" w:hAnsi="GHEA Grapalat"/>
                <w:lang w:val="hy-AM"/>
              </w:rPr>
            </w:pPr>
            <w:r>
              <w:rPr>
                <w:rFonts w:ascii="GHEA Grapalat" w:hAnsi="GHEA Grapalat"/>
                <w:lang w:val="hy-AM"/>
              </w:rPr>
              <w:t xml:space="preserve">ՀՀ պետական եկամուտների կոմիտեն քննարկել է «Հայաստանի Հանրապետության 2023 թվականի պետական բյուջեի մասին» օրենքում վերաբաշխում և Հայաստանի Հանրապետության կառավարության 2022 թվականի դեկտեմբերի 29-ի N 2111-Ն որոշման մեջ փոփոխություններ կատարելու մասին» ՀՀ կառավարության </w:t>
            </w:r>
            <w:r>
              <w:rPr>
                <w:rFonts w:ascii="GHEA Grapalat" w:hAnsi="GHEA Grapalat"/>
                <w:lang w:val="hy-AM"/>
              </w:rPr>
              <w:lastRenderedPageBreak/>
              <w:t>որոշման նախագիծը, որի վերաբերյալ հայտնում ենք, որ առաջարկութ</w:t>
            </w:r>
            <w:r>
              <w:rPr>
                <w:rFonts w:ascii="GHEA Grapalat" w:hAnsi="GHEA Grapalat"/>
                <w:lang w:val="hy-AM"/>
              </w:rPr>
              <w:softHyphen/>
              <w:t>յուններ չունենք։</w:t>
            </w:r>
          </w:p>
        </w:tc>
        <w:tc>
          <w:tcPr>
            <w:tcW w:w="5670" w:type="dxa"/>
            <w:shd w:val="clear" w:color="auto" w:fill="FFFFFF"/>
          </w:tcPr>
          <w:p w14:paraId="3E14D457" w14:textId="3C675418" w:rsidR="00AF0B03" w:rsidRDefault="00AF0B03" w:rsidP="00AF0B03">
            <w:pPr>
              <w:spacing w:line="360" w:lineRule="auto"/>
              <w:ind w:left="165" w:right="165" w:firstLine="360"/>
              <w:jc w:val="center"/>
              <w:rPr>
                <w:rFonts w:ascii="GHEA Grapalat" w:hAnsi="GHEA Grapalat"/>
                <w:color w:val="000000"/>
                <w:lang w:val="hy-AM" w:eastAsia="en-US"/>
              </w:rPr>
            </w:pPr>
            <w:r>
              <w:rPr>
                <w:rFonts w:ascii="GHEA Grapalat" w:hAnsi="GHEA Grapalat"/>
                <w:color w:val="000000"/>
                <w:lang w:val="hy-AM" w:eastAsia="en-US"/>
              </w:rPr>
              <w:lastRenderedPageBreak/>
              <w:t>Ընդունվել է:</w:t>
            </w:r>
          </w:p>
        </w:tc>
      </w:tr>
    </w:tbl>
    <w:p w14:paraId="438313BE" w14:textId="2E5FD507" w:rsidR="00E474F4" w:rsidRPr="00AF0B03" w:rsidRDefault="00E474F4" w:rsidP="003D3139">
      <w:pPr>
        <w:shd w:val="clear" w:color="auto" w:fill="FFFFFF"/>
        <w:spacing w:line="360" w:lineRule="auto"/>
        <w:ind w:firstLine="375"/>
        <w:jc w:val="center"/>
        <w:rPr>
          <w:rFonts w:ascii="GHEA Grapalat" w:hAnsi="GHEA Grapalat"/>
          <w:color w:val="000000"/>
          <w:lang w:val="hy-AM" w:eastAsia="en-US"/>
        </w:rPr>
      </w:pPr>
    </w:p>
    <w:sectPr w:rsidR="00E474F4" w:rsidRPr="00AF0B03" w:rsidSect="002E3961">
      <w:pgSz w:w="15840" w:h="12240" w:orient="landscape"/>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Tarumian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1E6A"/>
    <w:multiLevelType w:val="hybridMultilevel"/>
    <w:tmpl w:val="122C6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40BF2"/>
    <w:multiLevelType w:val="hybridMultilevel"/>
    <w:tmpl w:val="D38ACBB0"/>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ABB2EB0"/>
    <w:multiLevelType w:val="hybridMultilevel"/>
    <w:tmpl w:val="49DAAC60"/>
    <w:lvl w:ilvl="0" w:tplc="307C5F6E">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173F"/>
    <w:multiLevelType w:val="hybridMultilevel"/>
    <w:tmpl w:val="E69C74F4"/>
    <w:lvl w:ilvl="0" w:tplc="6A408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2803D02"/>
    <w:multiLevelType w:val="hybridMultilevel"/>
    <w:tmpl w:val="544EB038"/>
    <w:lvl w:ilvl="0" w:tplc="13D89F84">
      <w:start w:val="1"/>
      <w:numFmt w:val="decimal"/>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50ED4D38"/>
    <w:multiLevelType w:val="hybridMultilevel"/>
    <w:tmpl w:val="3C4468BC"/>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57337889"/>
    <w:multiLevelType w:val="hybridMultilevel"/>
    <w:tmpl w:val="CB04CF40"/>
    <w:lvl w:ilvl="0" w:tplc="0E58A664">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3444800"/>
    <w:multiLevelType w:val="hybridMultilevel"/>
    <w:tmpl w:val="4EEC1F92"/>
    <w:lvl w:ilvl="0" w:tplc="80DCF882">
      <w:start w:val="1"/>
      <w:numFmt w:val="decimal"/>
      <w:lvlText w:val="%1."/>
      <w:lvlJc w:val="left"/>
      <w:pPr>
        <w:ind w:left="510" w:hanging="360"/>
      </w:pPr>
      <w:rPr>
        <w:rFonts w:ascii="GHEA Grapalat" w:hAnsi="GHEA Grapalat" w:hint="default"/>
        <w:sz w:val="24"/>
        <w:szCs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73EF7A35"/>
    <w:multiLevelType w:val="hybridMultilevel"/>
    <w:tmpl w:val="4196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drawingGridHorizontalSpacing w:val="120"/>
  <w:displayHorizontalDrawingGridEvery w:val="2"/>
  <w:characterSpacingControl w:val="doNotCompress"/>
  <w:compat>
    <w:compatSetting w:name="compatibilityMode" w:uri="http://schemas.microsoft.com/office/word" w:val="12"/>
  </w:compat>
  <w:rsids>
    <w:rsidRoot w:val="00336C2D"/>
    <w:rsid w:val="00002845"/>
    <w:rsid w:val="00021FB0"/>
    <w:rsid w:val="00053E09"/>
    <w:rsid w:val="00062588"/>
    <w:rsid w:val="0006685E"/>
    <w:rsid w:val="00080CB5"/>
    <w:rsid w:val="000846EA"/>
    <w:rsid w:val="00091EC9"/>
    <w:rsid w:val="000A156B"/>
    <w:rsid w:val="000C4D51"/>
    <w:rsid w:val="000D52B1"/>
    <w:rsid w:val="000D5816"/>
    <w:rsid w:val="000E5FB8"/>
    <w:rsid w:val="00102A30"/>
    <w:rsid w:val="00117120"/>
    <w:rsid w:val="0012021B"/>
    <w:rsid w:val="00133C31"/>
    <w:rsid w:val="00151484"/>
    <w:rsid w:val="00163059"/>
    <w:rsid w:val="0018373E"/>
    <w:rsid w:val="001858FF"/>
    <w:rsid w:val="001A1911"/>
    <w:rsid w:val="001A21E5"/>
    <w:rsid w:val="001B10BA"/>
    <w:rsid w:val="001B3A41"/>
    <w:rsid w:val="001C1903"/>
    <w:rsid w:val="001E19A3"/>
    <w:rsid w:val="001E3E24"/>
    <w:rsid w:val="001E7FE0"/>
    <w:rsid w:val="001F085C"/>
    <w:rsid w:val="001F3D8A"/>
    <w:rsid w:val="002006E5"/>
    <w:rsid w:val="00206285"/>
    <w:rsid w:val="002127C2"/>
    <w:rsid w:val="00214D3B"/>
    <w:rsid w:val="00217F0E"/>
    <w:rsid w:val="002200AD"/>
    <w:rsid w:val="00242CB4"/>
    <w:rsid w:val="00252E74"/>
    <w:rsid w:val="00260E8F"/>
    <w:rsid w:val="002822EE"/>
    <w:rsid w:val="00287403"/>
    <w:rsid w:val="002931E6"/>
    <w:rsid w:val="00295DF4"/>
    <w:rsid w:val="002B1A81"/>
    <w:rsid w:val="002B4EB5"/>
    <w:rsid w:val="002B50D6"/>
    <w:rsid w:val="002B6490"/>
    <w:rsid w:val="002D6989"/>
    <w:rsid w:val="002D6E72"/>
    <w:rsid w:val="002E3961"/>
    <w:rsid w:val="002E46AE"/>
    <w:rsid w:val="002E4B39"/>
    <w:rsid w:val="002E6294"/>
    <w:rsid w:val="00323175"/>
    <w:rsid w:val="00334833"/>
    <w:rsid w:val="00336C2D"/>
    <w:rsid w:val="003443A5"/>
    <w:rsid w:val="0035051C"/>
    <w:rsid w:val="00355268"/>
    <w:rsid w:val="00357092"/>
    <w:rsid w:val="00364760"/>
    <w:rsid w:val="0038274D"/>
    <w:rsid w:val="003866FD"/>
    <w:rsid w:val="0039503E"/>
    <w:rsid w:val="0039563D"/>
    <w:rsid w:val="003A1A4F"/>
    <w:rsid w:val="003A2D6C"/>
    <w:rsid w:val="003A7312"/>
    <w:rsid w:val="003B6D8D"/>
    <w:rsid w:val="003D3139"/>
    <w:rsid w:val="003D6C5A"/>
    <w:rsid w:val="004027E7"/>
    <w:rsid w:val="00403B4D"/>
    <w:rsid w:val="004046EC"/>
    <w:rsid w:val="00412AC5"/>
    <w:rsid w:val="00416190"/>
    <w:rsid w:val="00426F92"/>
    <w:rsid w:val="0043553E"/>
    <w:rsid w:val="004474FD"/>
    <w:rsid w:val="00450A84"/>
    <w:rsid w:val="004727F0"/>
    <w:rsid w:val="00486084"/>
    <w:rsid w:val="00494410"/>
    <w:rsid w:val="004947CD"/>
    <w:rsid w:val="004A1800"/>
    <w:rsid w:val="004B2113"/>
    <w:rsid w:val="004D4460"/>
    <w:rsid w:val="004E16BE"/>
    <w:rsid w:val="004E4DE8"/>
    <w:rsid w:val="005042DF"/>
    <w:rsid w:val="005057C1"/>
    <w:rsid w:val="00531228"/>
    <w:rsid w:val="00533E31"/>
    <w:rsid w:val="00542D38"/>
    <w:rsid w:val="0055258C"/>
    <w:rsid w:val="00556F57"/>
    <w:rsid w:val="00560093"/>
    <w:rsid w:val="00560A6E"/>
    <w:rsid w:val="00561282"/>
    <w:rsid w:val="00561E5B"/>
    <w:rsid w:val="00575C69"/>
    <w:rsid w:val="005871D4"/>
    <w:rsid w:val="005B1805"/>
    <w:rsid w:val="005C7E0D"/>
    <w:rsid w:val="005D3EF6"/>
    <w:rsid w:val="005E7A9E"/>
    <w:rsid w:val="005F164B"/>
    <w:rsid w:val="0060190E"/>
    <w:rsid w:val="00601B05"/>
    <w:rsid w:val="00607CB6"/>
    <w:rsid w:val="00613389"/>
    <w:rsid w:val="00615EA5"/>
    <w:rsid w:val="0062070B"/>
    <w:rsid w:val="006253B2"/>
    <w:rsid w:val="006357D6"/>
    <w:rsid w:val="00647A04"/>
    <w:rsid w:val="006719AC"/>
    <w:rsid w:val="006857CC"/>
    <w:rsid w:val="00687A4D"/>
    <w:rsid w:val="006914FA"/>
    <w:rsid w:val="0069670C"/>
    <w:rsid w:val="006B4E90"/>
    <w:rsid w:val="006C0219"/>
    <w:rsid w:val="006D047D"/>
    <w:rsid w:val="006D2E9F"/>
    <w:rsid w:val="006D4456"/>
    <w:rsid w:val="007049AE"/>
    <w:rsid w:val="007077D2"/>
    <w:rsid w:val="00712B80"/>
    <w:rsid w:val="00714598"/>
    <w:rsid w:val="00727E6E"/>
    <w:rsid w:val="00762FDC"/>
    <w:rsid w:val="00763E93"/>
    <w:rsid w:val="007A6CD8"/>
    <w:rsid w:val="007B45E9"/>
    <w:rsid w:val="007B4A89"/>
    <w:rsid w:val="007C30DE"/>
    <w:rsid w:val="007D0867"/>
    <w:rsid w:val="007F1EEA"/>
    <w:rsid w:val="007F5A9A"/>
    <w:rsid w:val="007F7B5A"/>
    <w:rsid w:val="0080172C"/>
    <w:rsid w:val="008264DD"/>
    <w:rsid w:val="00830495"/>
    <w:rsid w:val="00831010"/>
    <w:rsid w:val="0084111A"/>
    <w:rsid w:val="0084774F"/>
    <w:rsid w:val="008512D7"/>
    <w:rsid w:val="008517A4"/>
    <w:rsid w:val="008630BC"/>
    <w:rsid w:val="008670DC"/>
    <w:rsid w:val="00867B39"/>
    <w:rsid w:val="00877F0F"/>
    <w:rsid w:val="0088074E"/>
    <w:rsid w:val="00890509"/>
    <w:rsid w:val="008A5841"/>
    <w:rsid w:val="008C16A0"/>
    <w:rsid w:val="008C218B"/>
    <w:rsid w:val="008C42B3"/>
    <w:rsid w:val="008F4474"/>
    <w:rsid w:val="008F7EB9"/>
    <w:rsid w:val="00906A27"/>
    <w:rsid w:val="00907F88"/>
    <w:rsid w:val="00915198"/>
    <w:rsid w:val="009152AC"/>
    <w:rsid w:val="00941ADD"/>
    <w:rsid w:val="00942EEC"/>
    <w:rsid w:val="0096309C"/>
    <w:rsid w:val="009646B8"/>
    <w:rsid w:val="009879BD"/>
    <w:rsid w:val="009D1729"/>
    <w:rsid w:val="009D7DCF"/>
    <w:rsid w:val="009E081A"/>
    <w:rsid w:val="009E1629"/>
    <w:rsid w:val="009E2138"/>
    <w:rsid w:val="009E7CB9"/>
    <w:rsid w:val="009F3CCD"/>
    <w:rsid w:val="00A109D8"/>
    <w:rsid w:val="00A10DF7"/>
    <w:rsid w:val="00A161E4"/>
    <w:rsid w:val="00A30979"/>
    <w:rsid w:val="00A30BAC"/>
    <w:rsid w:val="00A7487F"/>
    <w:rsid w:val="00A90077"/>
    <w:rsid w:val="00A94D6E"/>
    <w:rsid w:val="00AA0E44"/>
    <w:rsid w:val="00AB4237"/>
    <w:rsid w:val="00AF0B03"/>
    <w:rsid w:val="00AF75AF"/>
    <w:rsid w:val="00B04DF7"/>
    <w:rsid w:val="00B061C5"/>
    <w:rsid w:val="00B21620"/>
    <w:rsid w:val="00B34299"/>
    <w:rsid w:val="00B51315"/>
    <w:rsid w:val="00B80680"/>
    <w:rsid w:val="00B861E7"/>
    <w:rsid w:val="00B86F23"/>
    <w:rsid w:val="00BB0793"/>
    <w:rsid w:val="00BB282B"/>
    <w:rsid w:val="00BC08A9"/>
    <w:rsid w:val="00BC1FFF"/>
    <w:rsid w:val="00BC2E05"/>
    <w:rsid w:val="00BC6CAF"/>
    <w:rsid w:val="00BE3E5A"/>
    <w:rsid w:val="00BE5616"/>
    <w:rsid w:val="00C17D39"/>
    <w:rsid w:val="00C43B22"/>
    <w:rsid w:val="00C452F4"/>
    <w:rsid w:val="00C5445C"/>
    <w:rsid w:val="00C67031"/>
    <w:rsid w:val="00C71679"/>
    <w:rsid w:val="00C775F1"/>
    <w:rsid w:val="00C847F7"/>
    <w:rsid w:val="00C90439"/>
    <w:rsid w:val="00C946DC"/>
    <w:rsid w:val="00CC39E0"/>
    <w:rsid w:val="00CE4BDF"/>
    <w:rsid w:val="00D05F54"/>
    <w:rsid w:val="00D11642"/>
    <w:rsid w:val="00D22A3D"/>
    <w:rsid w:val="00D35FDA"/>
    <w:rsid w:val="00D37692"/>
    <w:rsid w:val="00D50C08"/>
    <w:rsid w:val="00D52FDA"/>
    <w:rsid w:val="00D81D3B"/>
    <w:rsid w:val="00D86AD5"/>
    <w:rsid w:val="00D97D60"/>
    <w:rsid w:val="00DB7C7A"/>
    <w:rsid w:val="00DC1AFC"/>
    <w:rsid w:val="00DC40BB"/>
    <w:rsid w:val="00DD4B2E"/>
    <w:rsid w:val="00DD7531"/>
    <w:rsid w:val="00DD7CE3"/>
    <w:rsid w:val="00DE2107"/>
    <w:rsid w:val="00DF191D"/>
    <w:rsid w:val="00DF4D81"/>
    <w:rsid w:val="00E009A2"/>
    <w:rsid w:val="00E02F34"/>
    <w:rsid w:val="00E0579D"/>
    <w:rsid w:val="00E11553"/>
    <w:rsid w:val="00E16A1B"/>
    <w:rsid w:val="00E35007"/>
    <w:rsid w:val="00E4273B"/>
    <w:rsid w:val="00E474F4"/>
    <w:rsid w:val="00E6140B"/>
    <w:rsid w:val="00E66EB0"/>
    <w:rsid w:val="00E673C9"/>
    <w:rsid w:val="00E729FF"/>
    <w:rsid w:val="00E94808"/>
    <w:rsid w:val="00EA0195"/>
    <w:rsid w:val="00EA68C2"/>
    <w:rsid w:val="00EC2923"/>
    <w:rsid w:val="00ED3698"/>
    <w:rsid w:val="00EF3C0F"/>
    <w:rsid w:val="00EF7FDE"/>
    <w:rsid w:val="00F01A8F"/>
    <w:rsid w:val="00F05745"/>
    <w:rsid w:val="00F1535C"/>
    <w:rsid w:val="00F32F26"/>
    <w:rsid w:val="00F4264C"/>
    <w:rsid w:val="00F75CFF"/>
    <w:rsid w:val="00F76CE9"/>
    <w:rsid w:val="00F92E3B"/>
    <w:rsid w:val="00F95256"/>
    <w:rsid w:val="00FA62F4"/>
    <w:rsid w:val="00FA67A9"/>
    <w:rsid w:val="00FB3F3E"/>
    <w:rsid w:val="00FB5520"/>
    <w:rsid w:val="00FB79A6"/>
    <w:rsid w:val="00FE2224"/>
    <w:rsid w:val="00FE2414"/>
    <w:rsid w:val="00FE75D9"/>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10BB"/>
  <w15:docId w15:val="{C28B153F-63A7-4850-B61A-273F25B7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2D"/>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C45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F4"/>
    <w:pPr>
      <w:spacing w:after="0" w:line="240" w:lineRule="auto"/>
    </w:pPr>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C452F4"/>
    <w:rPr>
      <w:rFonts w:asciiTheme="majorHAnsi" w:eastAsiaTheme="majorEastAsia" w:hAnsiTheme="majorHAnsi" w:cstheme="majorBidi"/>
      <w:b/>
      <w:bCs/>
      <w:color w:val="365F91" w:themeColor="accent1" w:themeShade="BF"/>
      <w:sz w:val="28"/>
      <w:szCs w:val="28"/>
      <w:lang w:val="ru-RU" w:eastAsia="ru-RU"/>
    </w:rPr>
  </w:style>
  <w:style w:type="paragraph" w:styleId="ListParagraph">
    <w:name w:val="List Paragraph"/>
    <w:basedOn w:val="Normal"/>
    <w:uiPriority w:val="34"/>
    <w:qFormat/>
    <w:rsid w:val="008C16A0"/>
    <w:pPr>
      <w:ind w:left="720"/>
      <w:contextualSpacing/>
    </w:pPr>
  </w:style>
  <w:style w:type="character" w:customStyle="1" w:styleId="mechtexChar">
    <w:name w:val="mechtex Char"/>
    <w:link w:val="mechtex"/>
    <w:locked/>
    <w:rsid w:val="00CC39E0"/>
    <w:rPr>
      <w:rFonts w:ascii="Arial Armenian" w:eastAsia="Times New Roman" w:hAnsi="Arial Armenian"/>
      <w:lang w:eastAsia="ru-RU"/>
    </w:rPr>
  </w:style>
  <w:style w:type="paragraph" w:customStyle="1" w:styleId="mechtex">
    <w:name w:val="mechtex"/>
    <w:basedOn w:val="Normal"/>
    <w:link w:val="mechtexChar"/>
    <w:rsid w:val="00CC39E0"/>
    <w:pPr>
      <w:jc w:val="center"/>
    </w:pPr>
    <w:rPr>
      <w:rFonts w:ascii="Arial Armenian" w:hAnsi="Arial Armenian" w:cstheme="minorBidi"/>
      <w:sz w:val="22"/>
      <w:szCs w:val="22"/>
      <w:lang w:val="en-US"/>
    </w:rPr>
  </w:style>
  <w:style w:type="paragraph" w:customStyle="1" w:styleId="namak">
    <w:name w:val="namak"/>
    <w:link w:val="namak0"/>
    <w:rsid w:val="006357D6"/>
    <w:pPr>
      <w:spacing w:after="0" w:line="360" w:lineRule="auto"/>
      <w:ind w:firstLine="397"/>
      <w:jc w:val="both"/>
    </w:pPr>
    <w:rPr>
      <w:rFonts w:ascii="ArTarumianTimes" w:eastAsia="Times New Roman" w:hAnsi="ArTarumianTimes" w:cs="Times New Roman"/>
      <w:sz w:val="24"/>
      <w:szCs w:val="24"/>
      <w:lang w:eastAsia="ru-RU"/>
    </w:rPr>
  </w:style>
  <w:style w:type="paragraph" w:customStyle="1" w:styleId="storagrutun">
    <w:name w:val="storagrutun"/>
    <w:autoRedefine/>
    <w:rsid w:val="006357D6"/>
    <w:pPr>
      <w:spacing w:after="0" w:line="240" w:lineRule="auto"/>
      <w:jc w:val="both"/>
    </w:pPr>
    <w:rPr>
      <w:rFonts w:ascii="Sylfaen" w:eastAsia="Times New Roman" w:hAnsi="Sylfaen" w:cs="Arial"/>
      <w:b/>
      <w:bCs/>
      <w:i/>
      <w:iCs/>
      <w:sz w:val="28"/>
      <w:szCs w:val="28"/>
      <w:lang w:eastAsia="ru-RU"/>
    </w:rPr>
  </w:style>
  <w:style w:type="character" w:customStyle="1" w:styleId="namak0">
    <w:name w:val="namak Знак"/>
    <w:link w:val="namak"/>
    <w:locked/>
    <w:rsid w:val="006357D6"/>
    <w:rPr>
      <w:rFonts w:ascii="ArTarumianTimes" w:eastAsia="Times New Roman" w:hAnsi="ArTarumianTimes" w:cs="Times New Roman"/>
      <w:sz w:val="24"/>
      <w:szCs w:val="24"/>
      <w:lang w:eastAsia="ru-RU"/>
    </w:rPr>
  </w:style>
  <w:style w:type="paragraph" w:customStyle="1" w:styleId="norm">
    <w:name w:val="norm"/>
    <w:basedOn w:val="Normal"/>
    <w:link w:val="normChar"/>
    <w:uiPriority w:val="99"/>
    <w:rsid w:val="0084774F"/>
    <w:pPr>
      <w:spacing w:line="480" w:lineRule="auto"/>
      <w:ind w:firstLine="709"/>
      <w:jc w:val="both"/>
    </w:pPr>
    <w:rPr>
      <w:rFonts w:ascii="Arial Armenian" w:hAnsi="Arial Armenian"/>
      <w:sz w:val="22"/>
      <w:szCs w:val="20"/>
      <w:lang w:val="en-US"/>
    </w:rPr>
  </w:style>
  <w:style w:type="character" w:customStyle="1" w:styleId="normChar">
    <w:name w:val="norm Char"/>
    <w:link w:val="norm"/>
    <w:uiPriority w:val="99"/>
    <w:locked/>
    <w:rsid w:val="0084774F"/>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6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56"/>
    <w:rPr>
      <w:rFonts w:ascii="Segoe UI" w:eastAsia="Times New Roman" w:hAnsi="Segoe UI" w:cs="Segoe UI"/>
      <w:sz w:val="18"/>
      <w:szCs w:val="18"/>
      <w:lang w:val="ru-RU" w:eastAsia="ru-RU"/>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Знак Знак1,Char Char Char,Char Char Char Char,Char Char Char1,Обычный (веб)"/>
    <w:basedOn w:val="Normal"/>
    <w:link w:val="NormalWebChar"/>
    <w:uiPriority w:val="99"/>
    <w:unhideWhenUsed/>
    <w:qFormat/>
    <w:rsid w:val="00E474F4"/>
    <w:pPr>
      <w:spacing w:before="100" w:beforeAutospacing="1" w:after="100" w:afterAutospacing="1"/>
    </w:pPr>
    <w:rPr>
      <w:lang w:val="en-US" w:eastAsia="en-US"/>
    </w:rPr>
  </w:style>
  <w:style w:type="character" w:styleId="Strong">
    <w:name w:val="Strong"/>
    <w:basedOn w:val="DefaultParagraphFont"/>
    <w:uiPriority w:val="22"/>
    <w:qFormat/>
    <w:rsid w:val="00E474F4"/>
    <w:rPr>
      <w:b/>
      <w:bCs/>
    </w:rPr>
  </w:style>
  <w:style w:type="table" w:styleId="TableGrid">
    <w:name w:val="Table Grid"/>
    <w:basedOn w:val="TableNormal"/>
    <w:uiPriority w:val="59"/>
    <w:rsid w:val="008F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C1FFF"/>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BC1FFF"/>
    <w:rPr>
      <w:rFonts w:ascii="Calibri" w:eastAsia="Calibri" w:hAnsi="Calibri"/>
      <w:color w:val="00000A"/>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1 Char"/>
    <w:link w:val="NormalWeb"/>
    <w:uiPriority w:val="99"/>
    <w:rsid w:val="00AF0B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2980">
      <w:bodyDiv w:val="1"/>
      <w:marLeft w:val="0"/>
      <w:marRight w:val="0"/>
      <w:marTop w:val="0"/>
      <w:marBottom w:val="0"/>
      <w:divBdr>
        <w:top w:val="none" w:sz="0" w:space="0" w:color="auto"/>
        <w:left w:val="none" w:sz="0" w:space="0" w:color="auto"/>
        <w:bottom w:val="none" w:sz="0" w:space="0" w:color="auto"/>
        <w:right w:val="none" w:sz="0" w:space="0" w:color="auto"/>
      </w:divBdr>
    </w:div>
    <w:div w:id="871303747">
      <w:bodyDiv w:val="1"/>
      <w:marLeft w:val="0"/>
      <w:marRight w:val="0"/>
      <w:marTop w:val="0"/>
      <w:marBottom w:val="0"/>
      <w:divBdr>
        <w:top w:val="none" w:sz="0" w:space="0" w:color="auto"/>
        <w:left w:val="none" w:sz="0" w:space="0" w:color="auto"/>
        <w:bottom w:val="none" w:sz="0" w:space="0" w:color="auto"/>
        <w:right w:val="none" w:sz="0" w:space="0" w:color="auto"/>
      </w:divBdr>
    </w:div>
    <w:div w:id="1001392553">
      <w:bodyDiv w:val="1"/>
      <w:marLeft w:val="0"/>
      <w:marRight w:val="0"/>
      <w:marTop w:val="0"/>
      <w:marBottom w:val="0"/>
      <w:divBdr>
        <w:top w:val="none" w:sz="0" w:space="0" w:color="auto"/>
        <w:left w:val="none" w:sz="0" w:space="0" w:color="auto"/>
        <w:bottom w:val="none" w:sz="0" w:space="0" w:color="auto"/>
        <w:right w:val="none" w:sz="0" w:space="0" w:color="auto"/>
      </w:divBdr>
      <w:divsChild>
        <w:div w:id="970786137">
          <w:marLeft w:val="0"/>
          <w:marRight w:val="0"/>
          <w:marTop w:val="0"/>
          <w:marBottom w:val="0"/>
          <w:divBdr>
            <w:top w:val="none" w:sz="0" w:space="0" w:color="auto"/>
            <w:left w:val="none" w:sz="0" w:space="0" w:color="auto"/>
            <w:bottom w:val="none" w:sz="0" w:space="0" w:color="auto"/>
            <w:right w:val="none" w:sz="0" w:space="0" w:color="auto"/>
          </w:divBdr>
        </w:div>
      </w:divsChild>
    </w:div>
    <w:div w:id="1053037643">
      <w:bodyDiv w:val="1"/>
      <w:marLeft w:val="0"/>
      <w:marRight w:val="0"/>
      <w:marTop w:val="0"/>
      <w:marBottom w:val="0"/>
      <w:divBdr>
        <w:top w:val="none" w:sz="0" w:space="0" w:color="auto"/>
        <w:left w:val="none" w:sz="0" w:space="0" w:color="auto"/>
        <w:bottom w:val="none" w:sz="0" w:space="0" w:color="auto"/>
        <w:right w:val="none" w:sz="0" w:space="0" w:color="auto"/>
      </w:divBdr>
    </w:div>
    <w:div w:id="1304313525">
      <w:bodyDiv w:val="1"/>
      <w:marLeft w:val="0"/>
      <w:marRight w:val="0"/>
      <w:marTop w:val="0"/>
      <w:marBottom w:val="0"/>
      <w:divBdr>
        <w:top w:val="none" w:sz="0" w:space="0" w:color="auto"/>
        <w:left w:val="none" w:sz="0" w:space="0" w:color="auto"/>
        <w:bottom w:val="none" w:sz="0" w:space="0" w:color="auto"/>
        <w:right w:val="none" w:sz="0" w:space="0" w:color="auto"/>
      </w:divBdr>
    </w:div>
    <w:div w:id="1546287420">
      <w:bodyDiv w:val="1"/>
      <w:marLeft w:val="0"/>
      <w:marRight w:val="0"/>
      <w:marTop w:val="0"/>
      <w:marBottom w:val="0"/>
      <w:divBdr>
        <w:top w:val="none" w:sz="0" w:space="0" w:color="auto"/>
        <w:left w:val="none" w:sz="0" w:space="0" w:color="auto"/>
        <w:bottom w:val="none" w:sz="0" w:space="0" w:color="auto"/>
        <w:right w:val="none" w:sz="0" w:space="0" w:color="auto"/>
      </w:divBdr>
    </w:div>
    <w:div w:id="1636792405">
      <w:bodyDiv w:val="1"/>
      <w:marLeft w:val="0"/>
      <w:marRight w:val="0"/>
      <w:marTop w:val="0"/>
      <w:marBottom w:val="0"/>
      <w:divBdr>
        <w:top w:val="none" w:sz="0" w:space="0" w:color="auto"/>
        <w:left w:val="none" w:sz="0" w:space="0" w:color="auto"/>
        <w:bottom w:val="none" w:sz="0" w:space="0" w:color="auto"/>
        <w:right w:val="none" w:sz="0" w:space="0" w:color="auto"/>
      </w:divBdr>
    </w:div>
    <w:div w:id="1816024917">
      <w:bodyDiv w:val="1"/>
      <w:marLeft w:val="0"/>
      <w:marRight w:val="0"/>
      <w:marTop w:val="0"/>
      <w:marBottom w:val="0"/>
      <w:divBdr>
        <w:top w:val="none" w:sz="0" w:space="0" w:color="auto"/>
        <w:left w:val="none" w:sz="0" w:space="0" w:color="auto"/>
        <w:bottom w:val="none" w:sz="0" w:space="0" w:color="auto"/>
        <w:right w:val="none" w:sz="0" w:space="0" w:color="auto"/>
      </w:divBdr>
    </w:div>
    <w:div w:id="20211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9A1D-4BEA-43F9-B0E0-1B39A981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Lilit Harutyunyan</cp:lastModifiedBy>
  <cp:revision>138</cp:revision>
  <cp:lastPrinted>2021-11-29T08:49:00Z</cp:lastPrinted>
  <dcterms:created xsi:type="dcterms:W3CDTF">2021-08-17T05:16:00Z</dcterms:created>
  <dcterms:modified xsi:type="dcterms:W3CDTF">2023-03-17T07:17:00Z</dcterms:modified>
</cp:coreProperties>
</file>