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E000" w14:textId="0B3C8820" w:rsidR="009F5291" w:rsidRDefault="00FB55B6" w:rsidP="007F40A6">
      <w:pPr>
        <w:spacing w:after="0" w:line="360" w:lineRule="auto"/>
        <w:jc w:val="center"/>
        <w:rPr>
          <w:rFonts w:ascii="GHEA Grapalat" w:hAnsi="GHEA Grapalat"/>
          <w:b/>
          <w:sz w:val="24"/>
          <w:szCs w:val="24"/>
          <w:lang w:val="hy-AM"/>
        </w:rPr>
      </w:pPr>
      <w:r w:rsidRPr="00252203">
        <w:rPr>
          <w:rFonts w:ascii="GHEA Grapalat" w:hAnsi="GHEA Grapalat"/>
          <w:b/>
          <w:sz w:val="24"/>
          <w:szCs w:val="24"/>
          <w:lang w:val="hy-AM"/>
        </w:rPr>
        <w:t>ՀԻՄՆԱՎՈՐՈՒՄ</w:t>
      </w:r>
    </w:p>
    <w:p w14:paraId="7CECEEE6" w14:textId="309C0088" w:rsidR="00252203" w:rsidRDefault="009F5291" w:rsidP="005F0D2C">
      <w:pPr>
        <w:spacing w:after="0" w:line="360" w:lineRule="auto"/>
        <w:jc w:val="center"/>
        <w:rPr>
          <w:rFonts w:ascii="GHEA Grapalat" w:hAnsi="GHEA Grapalat" w:cs="Sylfaen"/>
          <w:b/>
          <w:bCs/>
          <w:sz w:val="24"/>
          <w:szCs w:val="24"/>
          <w:lang w:val="hy-AM"/>
        </w:rPr>
      </w:pPr>
      <w:r w:rsidRPr="00912C8A">
        <w:rPr>
          <w:rFonts w:ascii="GHEA Grapalat" w:eastAsia="Times New Roman" w:hAnsi="GHEA Grapalat"/>
          <w:b/>
          <w:bCs/>
          <w:color w:val="000000" w:themeColor="text1"/>
          <w:sz w:val="24"/>
          <w:szCs w:val="24"/>
          <w:lang w:val="hy-AM" w:eastAsia="ru-RU"/>
        </w:rPr>
        <w:t>«</w:t>
      </w:r>
      <w:r w:rsidRPr="002564F8">
        <w:rPr>
          <w:rFonts w:ascii="GHEA Grapalat" w:eastAsia="Times New Roman" w:hAnsi="GHEA Grapalat"/>
          <w:b/>
          <w:color w:val="000000" w:themeColor="text1"/>
          <w:sz w:val="24"/>
          <w:szCs w:val="24"/>
          <w:lang w:val="hy-AM" w:eastAsia="ru-RU"/>
        </w:rPr>
        <w:t>ՀԱՅԿԱԿԱՆ ԱՏՈՄԱՅԻՆ ԷԼԵԿՏՐԱԿԱՅԱՆ</w:t>
      </w:r>
      <w:r w:rsidRPr="00912C8A">
        <w:rPr>
          <w:rFonts w:ascii="GHEA Grapalat" w:eastAsia="Times New Roman" w:hAnsi="GHEA Grapalat"/>
          <w:b/>
          <w:bCs/>
          <w:color w:val="000000" w:themeColor="text1"/>
          <w:sz w:val="24"/>
          <w:szCs w:val="24"/>
          <w:lang w:val="hy-AM" w:eastAsia="ru-RU"/>
        </w:rPr>
        <w:t>»</w:t>
      </w:r>
      <w:r w:rsidR="00F22B34">
        <w:rPr>
          <w:rFonts w:ascii="GHEA Grapalat" w:eastAsia="Times New Roman" w:hAnsi="GHEA Grapalat"/>
          <w:b/>
          <w:bCs/>
          <w:color w:val="000000" w:themeColor="text1"/>
          <w:sz w:val="24"/>
          <w:szCs w:val="24"/>
          <w:lang w:val="hy-AM" w:eastAsia="ru-RU"/>
        </w:rPr>
        <w:t xml:space="preserve"> ՓԱԿ ԲԱԺՆԵՏԻՐԱԿԱՆ ԸՆԿԵՐՈՒԹՅԱՆ </w:t>
      </w:r>
      <w:r w:rsidR="00290CD4">
        <w:rPr>
          <w:rFonts w:ascii="GHEA Grapalat" w:eastAsia="Times New Roman" w:hAnsi="GHEA Grapalat"/>
          <w:b/>
          <w:bCs/>
          <w:color w:val="000000" w:themeColor="text1"/>
          <w:sz w:val="24"/>
          <w:szCs w:val="24"/>
          <w:lang w:val="hy-AM" w:eastAsia="ru-RU"/>
        </w:rPr>
        <w:t>N</w:t>
      </w:r>
      <w:r w:rsidR="00290CD4" w:rsidRPr="00290CD4">
        <w:rPr>
          <w:rFonts w:ascii="GHEA Grapalat" w:eastAsia="Times New Roman" w:hAnsi="GHEA Grapalat"/>
          <w:b/>
          <w:bCs/>
          <w:color w:val="000000" w:themeColor="text1"/>
          <w:sz w:val="24"/>
          <w:szCs w:val="24"/>
          <w:lang w:val="hy-AM" w:eastAsia="ru-RU"/>
        </w:rPr>
        <w:t xml:space="preserve"> </w:t>
      </w:r>
      <w:r w:rsidRPr="00912C8A">
        <w:rPr>
          <w:rFonts w:ascii="GHEA Grapalat" w:eastAsia="Times New Roman" w:hAnsi="GHEA Grapalat"/>
          <w:b/>
          <w:bCs/>
          <w:color w:val="000000" w:themeColor="text1"/>
          <w:sz w:val="24"/>
          <w:szCs w:val="24"/>
          <w:lang w:val="hy-AM" w:eastAsia="ru-RU"/>
        </w:rPr>
        <w:t xml:space="preserve">2 </w:t>
      </w:r>
      <w:r w:rsidR="00F22B34">
        <w:rPr>
          <w:rFonts w:ascii="GHEA Grapalat" w:eastAsia="Times New Roman" w:hAnsi="GHEA Grapalat"/>
          <w:b/>
          <w:bCs/>
          <w:color w:val="000000" w:themeColor="text1"/>
          <w:sz w:val="24"/>
          <w:szCs w:val="24"/>
          <w:lang w:val="hy-AM" w:eastAsia="ru-RU"/>
        </w:rPr>
        <w:t>ԷՆԵՐԳԱԲԼՈԿԻ ՇԱՀԱԳՈՐԾՄԱՆ ԺԱՄԿԵՏԸ</w:t>
      </w:r>
      <w:r>
        <w:rPr>
          <w:rFonts w:ascii="GHEA Grapalat" w:eastAsia="Times New Roman" w:hAnsi="GHEA Grapalat"/>
          <w:b/>
          <w:bCs/>
          <w:color w:val="000000" w:themeColor="text1"/>
          <w:sz w:val="24"/>
          <w:szCs w:val="24"/>
          <w:lang w:val="hy-AM" w:eastAsia="ru-RU"/>
        </w:rPr>
        <w:t xml:space="preserve"> </w:t>
      </w:r>
      <w:r w:rsidRPr="00912C8A">
        <w:rPr>
          <w:rFonts w:ascii="GHEA Grapalat" w:eastAsia="Times New Roman" w:hAnsi="GHEA Grapalat"/>
          <w:b/>
          <w:bCs/>
          <w:color w:val="000000" w:themeColor="text1"/>
          <w:sz w:val="24"/>
          <w:szCs w:val="24"/>
          <w:lang w:val="hy-AM" w:eastAsia="ru-RU"/>
        </w:rPr>
        <w:t>ԵՐԿԱՐԱ</w:t>
      </w:r>
      <w:r>
        <w:rPr>
          <w:rFonts w:ascii="GHEA Grapalat" w:eastAsia="Times New Roman" w:hAnsi="GHEA Grapalat"/>
          <w:b/>
          <w:bCs/>
          <w:color w:val="000000" w:themeColor="text1"/>
          <w:sz w:val="24"/>
          <w:szCs w:val="24"/>
          <w:lang w:val="hy-AM" w:eastAsia="ru-RU"/>
        </w:rPr>
        <w:t>ՑՆԵԼ</w:t>
      </w:r>
      <w:r w:rsidRPr="00912C8A">
        <w:rPr>
          <w:rFonts w:ascii="GHEA Grapalat" w:eastAsia="Times New Roman" w:hAnsi="GHEA Grapalat"/>
          <w:b/>
          <w:bCs/>
          <w:color w:val="000000" w:themeColor="text1"/>
          <w:sz w:val="24"/>
          <w:szCs w:val="24"/>
          <w:lang w:val="hy-AM" w:eastAsia="ru-RU"/>
        </w:rPr>
        <w:t>ՈՒ</w:t>
      </w:r>
      <w:r w:rsidRPr="005A69F9">
        <w:rPr>
          <w:rFonts w:ascii="GHEA Grapalat" w:eastAsia="Times New Roman" w:hAnsi="GHEA Grapalat"/>
          <w:b/>
          <w:bCs/>
          <w:color w:val="000000" w:themeColor="text1"/>
          <w:sz w:val="24"/>
          <w:szCs w:val="24"/>
          <w:lang w:val="hy-AM" w:eastAsia="ru-RU"/>
        </w:rPr>
        <w:t xml:space="preserve"> </w:t>
      </w:r>
      <w:r>
        <w:rPr>
          <w:rFonts w:ascii="GHEA Grapalat" w:eastAsia="Times New Roman" w:hAnsi="GHEA Grapalat"/>
          <w:b/>
          <w:bCs/>
          <w:color w:val="000000" w:themeColor="text1"/>
          <w:sz w:val="24"/>
          <w:szCs w:val="24"/>
          <w:lang w:val="hy-AM" w:eastAsia="ru-RU"/>
        </w:rPr>
        <w:t xml:space="preserve">ՇԱՀԱԳՈՐԾՄԱՆ ԺԱՄԿԵՏԻ ԵՐԿԱՐԱՑՈՒՄ-2 </w:t>
      </w:r>
      <w:r w:rsidRPr="00912C8A">
        <w:rPr>
          <w:rFonts w:ascii="GHEA Grapalat" w:eastAsia="Times New Roman" w:hAnsi="GHEA Grapalat"/>
          <w:b/>
          <w:bCs/>
          <w:color w:val="000000" w:themeColor="text1"/>
          <w:sz w:val="24"/>
          <w:szCs w:val="24"/>
          <w:lang w:val="hy-AM" w:eastAsia="ru-RU"/>
        </w:rPr>
        <w:t>ՆՊԱՏԱԿՈՎ ԳՈՐԾԸՆԹԱՑ ՍԿՍԵԼՈՒ ՄԱՍԻՆ</w:t>
      </w:r>
      <w:r w:rsidRPr="009F5291">
        <w:rPr>
          <w:rFonts w:ascii="GHEA Grapalat" w:eastAsia="Times New Roman" w:hAnsi="GHEA Grapalat"/>
          <w:b/>
          <w:bCs/>
          <w:color w:val="000000" w:themeColor="text1"/>
          <w:sz w:val="24"/>
          <w:szCs w:val="24"/>
          <w:lang w:val="hy-AM" w:eastAsia="ru-RU"/>
        </w:rPr>
        <w:t xml:space="preserve"> </w:t>
      </w:r>
      <w:r w:rsidRPr="00940C26">
        <w:rPr>
          <w:rFonts w:ascii="GHEA Grapalat" w:eastAsia="Times New Roman" w:hAnsi="GHEA Grapalat"/>
          <w:b/>
          <w:bCs/>
          <w:color w:val="000000" w:themeColor="text1"/>
          <w:sz w:val="24"/>
          <w:szCs w:val="24"/>
          <w:lang w:val="hy-AM" w:eastAsia="ru-RU"/>
        </w:rPr>
        <w:t xml:space="preserve">ՀՀ ԿԱՌԱՎԱՐՈՒԹՅԱՆ ՈՐՈՇՄԱՆ </w:t>
      </w:r>
      <w:r w:rsidR="00FB55B6" w:rsidRPr="00252203">
        <w:rPr>
          <w:rFonts w:ascii="GHEA Grapalat" w:hAnsi="GHEA Grapalat" w:cs="Sylfaen"/>
          <w:b/>
          <w:bCs/>
          <w:sz w:val="24"/>
          <w:szCs w:val="24"/>
          <w:lang w:val="hy-AM"/>
        </w:rPr>
        <w:t>ԸՆԴՈՒՆՄԱՆ ԱՆՀՐԱԺԵՇՏՈՒԹՅԱՆ ՎԵՐԱԲԵՐՅԱԼ</w:t>
      </w:r>
    </w:p>
    <w:p w14:paraId="6BCD1C26" w14:textId="77777777" w:rsidR="005F0D2C" w:rsidRPr="009F5291" w:rsidRDefault="005F0D2C" w:rsidP="005F0D2C">
      <w:pPr>
        <w:spacing w:after="0" w:line="360" w:lineRule="auto"/>
        <w:jc w:val="center"/>
        <w:rPr>
          <w:rFonts w:ascii="GHEA Grapalat" w:eastAsia="Times New Roman" w:hAnsi="GHEA Grapalat"/>
          <w:b/>
          <w:bCs/>
          <w:color w:val="000000" w:themeColor="text1"/>
          <w:sz w:val="24"/>
          <w:szCs w:val="24"/>
          <w:lang w:val="hy-AM" w:eastAsia="ru-RU"/>
        </w:rPr>
      </w:pPr>
    </w:p>
    <w:tbl>
      <w:tblPr>
        <w:tblW w:w="5264"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198"/>
      </w:tblGrid>
      <w:tr w:rsidR="00FB55B6" w:rsidRPr="00252203" w14:paraId="53E16683" w14:textId="77777777" w:rsidTr="001923AF">
        <w:tc>
          <w:tcPr>
            <w:tcW w:w="5000" w:type="pct"/>
            <w:gridSpan w:val="2"/>
            <w:shd w:val="clear" w:color="auto" w:fill="D9D9D9"/>
            <w:vAlign w:val="center"/>
          </w:tcPr>
          <w:p w14:paraId="7666769D" w14:textId="77777777" w:rsidR="00FB55B6" w:rsidRPr="00252203" w:rsidRDefault="00FB55B6" w:rsidP="007F40A6">
            <w:pPr>
              <w:spacing w:after="0" w:line="360" w:lineRule="auto"/>
              <w:jc w:val="center"/>
              <w:rPr>
                <w:rFonts w:ascii="GHEA Grapalat" w:hAnsi="GHEA Grapalat"/>
                <w:b/>
                <w:sz w:val="24"/>
                <w:szCs w:val="24"/>
              </w:rPr>
            </w:pPr>
            <w:r w:rsidRPr="00252203">
              <w:rPr>
                <w:rFonts w:ascii="GHEA Grapalat" w:hAnsi="GHEA Grapalat"/>
                <w:b/>
                <w:sz w:val="24"/>
                <w:szCs w:val="24"/>
              </w:rPr>
              <w:t>Իրավական ակտի հիմնավորումը</w:t>
            </w:r>
          </w:p>
        </w:tc>
      </w:tr>
      <w:tr w:rsidR="00FB55B6" w:rsidRPr="00252203" w14:paraId="1604313E" w14:textId="77777777" w:rsidTr="001923AF">
        <w:tc>
          <w:tcPr>
            <w:tcW w:w="249" w:type="pct"/>
          </w:tcPr>
          <w:p w14:paraId="092684A3" w14:textId="77777777" w:rsidR="00FB55B6" w:rsidRPr="00252203" w:rsidRDefault="00FB55B6" w:rsidP="007F40A6">
            <w:pPr>
              <w:spacing w:after="0" w:line="360" w:lineRule="auto"/>
              <w:jc w:val="center"/>
              <w:rPr>
                <w:rFonts w:ascii="GHEA Grapalat" w:hAnsi="GHEA Grapalat"/>
                <w:sz w:val="24"/>
                <w:szCs w:val="24"/>
              </w:rPr>
            </w:pPr>
          </w:p>
        </w:tc>
        <w:tc>
          <w:tcPr>
            <w:tcW w:w="4751" w:type="pct"/>
          </w:tcPr>
          <w:p w14:paraId="25BB1AE9" w14:textId="77777777" w:rsidR="00FB55B6" w:rsidRPr="00252203" w:rsidRDefault="00FB55B6" w:rsidP="007F40A6">
            <w:pPr>
              <w:pStyle w:val="ListParagraph"/>
              <w:spacing w:after="0" w:line="360" w:lineRule="auto"/>
              <w:ind w:left="0"/>
              <w:jc w:val="both"/>
              <w:rPr>
                <w:rFonts w:ascii="GHEA Grapalat" w:hAnsi="GHEA Grapalat" w:cs="Calibri"/>
                <w:b/>
                <w:sz w:val="24"/>
                <w:szCs w:val="24"/>
                <w:lang w:val="hy-AM"/>
              </w:rPr>
            </w:pPr>
            <w:r w:rsidRPr="00252203">
              <w:rPr>
                <w:rFonts w:ascii="GHEA Grapalat" w:eastAsia="Times New Roman" w:hAnsi="GHEA Grapalat"/>
                <w:b/>
                <w:sz w:val="24"/>
                <w:szCs w:val="24"/>
                <w:lang w:val="hy-AM"/>
              </w:rPr>
              <w:t>Կարգավորման ենթակա խնդրի սահմանումը և առկա իրավիճակը</w:t>
            </w:r>
          </w:p>
        </w:tc>
      </w:tr>
      <w:tr w:rsidR="00FB55B6" w:rsidRPr="000B5823" w14:paraId="22BFE30D" w14:textId="77777777" w:rsidTr="001923AF">
        <w:tc>
          <w:tcPr>
            <w:tcW w:w="249" w:type="pct"/>
          </w:tcPr>
          <w:p w14:paraId="39E1CDC6" w14:textId="77777777" w:rsidR="00FB55B6" w:rsidRPr="00726E12" w:rsidRDefault="00FB55B6" w:rsidP="007F40A6">
            <w:pPr>
              <w:spacing w:after="0" w:line="360" w:lineRule="auto"/>
              <w:rPr>
                <w:rFonts w:ascii="GHEA Grapalat" w:hAnsi="GHEA Grapalat"/>
                <w:sz w:val="24"/>
                <w:szCs w:val="24"/>
                <w:lang w:val="hy-AM"/>
              </w:rPr>
            </w:pPr>
          </w:p>
        </w:tc>
        <w:tc>
          <w:tcPr>
            <w:tcW w:w="4751" w:type="pct"/>
          </w:tcPr>
          <w:p w14:paraId="373FCD21" w14:textId="29418AAE" w:rsidR="00567588" w:rsidRDefault="00B307D0" w:rsidP="007F40A6">
            <w:pPr>
              <w:spacing w:after="0" w:line="360" w:lineRule="auto"/>
              <w:jc w:val="both"/>
              <w:rPr>
                <w:rFonts w:ascii="GHEA Grapalat" w:hAnsi="GHEA Grapalat"/>
                <w:sz w:val="24"/>
                <w:szCs w:val="24"/>
                <w:lang w:val="hy-AM"/>
              </w:rPr>
            </w:pPr>
            <w:r w:rsidRPr="00726E12">
              <w:rPr>
                <w:rFonts w:ascii="GHEA Grapalat" w:hAnsi="GHEA Grapalat" w:cs="GHEA Grapalat"/>
                <w:sz w:val="24"/>
                <w:szCs w:val="24"/>
                <w:lang w:val="hy-AM"/>
              </w:rPr>
              <w:t xml:space="preserve">Հայկական ատոմային էլեկտրակայանի </w:t>
            </w:r>
            <w:r w:rsidR="00A26655" w:rsidRPr="00C30C42">
              <w:rPr>
                <w:rFonts w:ascii="GHEA Grapalat" w:eastAsia="Times New Roman" w:hAnsi="GHEA Grapalat"/>
                <w:bCs/>
                <w:color w:val="000000" w:themeColor="text1"/>
                <w:sz w:val="24"/>
                <w:szCs w:val="24"/>
                <w:lang w:val="hy-AM" w:eastAsia="ru-RU"/>
              </w:rPr>
              <w:t>N</w:t>
            </w:r>
            <w:r w:rsidR="00A26655"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2</w:t>
            </w:r>
            <w:r w:rsidR="002B575A" w:rsidRPr="00912C8A">
              <w:rPr>
                <w:rFonts w:ascii="GHEA Grapalat" w:eastAsia="Times New Roman" w:hAnsi="GHEA Grapalat"/>
                <w:b/>
                <w:bCs/>
                <w:color w:val="000000" w:themeColor="text1"/>
                <w:sz w:val="24"/>
                <w:szCs w:val="24"/>
                <w:lang w:val="hy-AM" w:eastAsia="ru-RU"/>
              </w:rPr>
              <w:t xml:space="preserve"> </w:t>
            </w:r>
            <w:r w:rsidRPr="00726E12">
              <w:rPr>
                <w:rFonts w:ascii="GHEA Grapalat" w:hAnsi="GHEA Grapalat" w:cs="GHEA Grapalat"/>
                <w:sz w:val="24"/>
                <w:szCs w:val="24"/>
                <w:lang w:val="hy-AM"/>
              </w:rPr>
              <w:t xml:space="preserve">էներգաբլոկի շահագործման </w:t>
            </w:r>
            <w:r w:rsidR="00567588">
              <w:rPr>
                <w:rFonts w:ascii="GHEA Grapalat" w:hAnsi="GHEA Grapalat" w:cs="GHEA Grapalat"/>
                <w:sz w:val="24"/>
                <w:szCs w:val="24"/>
                <w:lang w:val="hy-AM"/>
              </w:rPr>
              <w:t>նախագծային ժամկետն ավարտվել է 2016</w:t>
            </w:r>
            <w:r w:rsidR="00B51928" w:rsidRPr="00B51928">
              <w:rPr>
                <w:rFonts w:ascii="GHEA Grapalat" w:hAnsi="GHEA Grapalat" w:cs="GHEA Grapalat"/>
                <w:sz w:val="24"/>
                <w:szCs w:val="24"/>
                <w:lang w:val="hy-AM"/>
              </w:rPr>
              <w:t xml:space="preserve"> </w:t>
            </w:r>
            <w:r w:rsidR="00567588">
              <w:rPr>
                <w:rFonts w:ascii="GHEA Grapalat" w:hAnsi="GHEA Grapalat" w:cs="GHEA Grapalat"/>
                <w:sz w:val="24"/>
                <w:szCs w:val="24"/>
                <w:lang w:val="hy-AM"/>
              </w:rPr>
              <w:t>թ</w:t>
            </w:r>
            <w:r w:rsidR="00B51928">
              <w:rPr>
                <w:rFonts w:ascii="GHEA Grapalat" w:hAnsi="GHEA Grapalat" w:cs="GHEA Grapalat"/>
                <w:sz w:val="24"/>
                <w:szCs w:val="24"/>
                <w:lang w:val="hy-AM"/>
              </w:rPr>
              <w:t>վակ</w:t>
            </w:r>
            <w:r w:rsidR="00B51928" w:rsidRPr="00B51928">
              <w:rPr>
                <w:rFonts w:ascii="GHEA Grapalat" w:hAnsi="GHEA Grapalat" w:cs="GHEA Grapalat"/>
                <w:sz w:val="24"/>
                <w:szCs w:val="24"/>
                <w:lang w:val="hy-AM"/>
              </w:rPr>
              <w:t>ա</w:t>
            </w:r>
            <w:r w:rsidR="00B51928">
              <w:rPr>
                <w:rFonts w:ascii="GHEA Grapalat" w:hAnsi="GHEA Grapalat" w:cs="GHEA Grapalat"/>
                <w:sz w:val="24"/>
                <w:szCs w:val="24"/>
                <w:lang w:val="hy-AM"/>
              </w:rPr>
              <w:t>նին</w:t>
            </w:r>
            <w:r w:rsidR="00567588">
              <w:rPr>
                <w:rFonts w:ascii="GHEA Grapalat" w:hAnsi="GHEA Grapalat" w:cs="GHEA Grapalat"/>
                <w:sz w:val="24"/>
                <w:szCs w:val="24"/>
                <w:lang w:val="hy-AM"/>
              </w:rPr>
              <w:t xml:space="preserve">։ </w:t>
            </w:r>
            <w:r w:rsidR="00567588">
              <w:rPr>
                <w:rFonts w:ascii="Sylfaen" w:eastAsia="MS Gothic" w:hAnsi="Sylfaen" w:cs="MS Gothic"/>
                <w:sz w:val="24"/>
                <w:szCs w:val="24"/>
                <w:lang w:val="hy-AM"/>
              </w:rPr>
              <w:t xml:space="preserve"> </w:t>
            </w:r>
            <w:r w:rsidR="00567588" w:rsidRPr="00726E12">
              <w:rPr>
                <w:rFonts w:ascii="GHEA Grapalat" w:eastAsia="MS Gothic" w:hAnsi="GHEA Grapalat" w:cs="MS Gothic"/>
                <w:sz w:val="24"/>
                <w:szCs w:val="24"/>
                <w:lang w:val="hy-AM"/>
              </w:rPr>
              <w:t>ՀՀ կառավարության</w:t>
            </w:r>
            <w:r w:rsidR="00567588">
              <w:rPr>
                <w:rFonts w:ascii="GHEA Grapalat" w:eastAsia="MS Gothic" w:hAnsi="GHEA Grapalat" w:cs="MS Gothic"/>
                <w:sz w:val="24"/>
                <w:szCs w:val="24"/>
                <w:lang w:val="hy-AM"/>
              </w:rPr>
              <w:t xml:space="preserve"> 2012</w:t>
            </w:r>
            <w:r w:rsidR="00914B5F" w:rsidRPr="00914B5F">
              <w:rPr>
                <w:rFonts w:ascii="GHEA Grapalat" w:eastAsia="MS Gothic" w:hAnsi="GHEA Grapalat" w:cs="MS Gothic"/>
                <w:sz w:val="24"/>
                <w:szCs w:val="24"/>
                <w:lang w:val="hy-AM"/>
              </w:rPr>
              <w:t xml:space="preserve"> </w:t>
            </w:r>
            <w:r w:rsidR="00567588">
              <w:rPr>
                <w:rFonts w:ascii="GHEA Grapalat" w:eastAsia="MS Gothic" w:hAnsi="GHEA Grapalat" w:cs="MS Gothic"/>
                <w:sz w:val="24"/>
                <w:szCs w:val="24"/>
                <w:lang w:val="hy-AM"/>
              </w:rPr>
              <w:t>թ</w:t>
            </w:r>
            <w:r w:rsidR="00914B5F" w:rsidRPr="00914B5F">
              <w:rPr>
                <w:rFonts w:ascii="GHEA Grapalat" w:eastAsia="MS Gothic" w:hAnsi="GHEA Grapalat" w:cs="MS Gothic"/>
                <w:sz w:val="24"/>
                <w:szCs w:val="24"/>
                <w:lang w:val="hy-AM"/>
              </w:rPr>
              <w:t>վականի</w:t>
            </w:r>
            <w:r w:rsidR="00567588">
              <w:rPr>
                <w:rFonts w:ascii="GHEA Grapalat" w:eastAsia="MS Gothic" w:hAnsi="GHEA Grapalat" w:cs="MS Gothic"/>
                <w:sz w:val="24"/>
                <w:szCs w:val="24"/>
                <w:lang w:val="hy-AM"/>
              </w:rPr>
              <w:t xml:space="preserve"> ապրիլի 19-ի </w:t>
            </w:r>
            <w:r w:rsidR="00A26655" w:rsidRPr="00C30C42">
              <w:rPr>
                <w:rFonts w:ascii="GHEA Grapalat" w:eastAsia="Times New Roman" w:hAnsi="GHEA Grapalat"/>
                <w:bCs/>
                <w:color w:val="000000" w:themeColor="text1"/>
                <w:sz w:val="24"/>
                <w:szCs w:val="24"/>
                <w:lang w:val="hy-AM" w:eastAsia="ru-RU"/>
              </w:rPr>
              <w:t>N</w:t>
            </w:r>
            <w:r w:rsidR="00914B5F" w:rsidRPr="00914B5F">
              <w:rPr>
                <w:rFonts w:ascii="GHEA Grapalat" w:eastAsia="MS Gothic" w:hAnsi="GHEA Grapalat" w:cs="MS Gothic"/>
                <w:sz w:val="24"/>
                <w:szCs w:val="24"/>
                <w:lang w:val="hy-AM"/>
              </w:rPr>
              <w:t xml:space="preserve"> </w:t>
            </w:r>
            <w:r w:rsidR="00567588">
              <w:rPr>
                <w:rFonts w:ascii="GHEA Grapalat" w:eastAsia="MS Gothic" w:hAnsi="GHEA Grapalat" w:cs="MS Gothic"/>
                <w:sz w:val="24"/>
                <w:szCs w:val="24"/>
                <w:lang w:val="hy-AM"/>
              </w:rPr>
              <w:t>461</w:t>
            </w:r>
            <w:r w:rsidR="000B5823">
              <w:rPr>
                <w:rFonts w:ascii="GHEA Grapalat" w:eastAsia="MS Gothic" w:hAnsi="GHEA Grapalat" w:cs="MS Gothic"/>
                <w:sz w:val="24"/>
                <w:szCs w:val="24"/>
                <w:lang w:val="hy-AM"/>
              </w:rPr>
              <w:t>-Ն</w:t>
            </w:r>
            <w:bookmarkStart w:id="0" w:name="_GoBack"/>
            <w:bookmarkEnd w:id="0"/>
            <w:r w:rsidR="00567588" w:rsidRPr="00501662">
              <w:rPr>
                <w:rFonts w:ascii="GHEA Grapalat" w:eastAsia="MS Gothic" w:hAnsi="GHEA Grapalat" w:cs="MS Gothic"/>
                <w:sz w:val="24"/>
                <w:szCs w:val="24"/>
                <w:lang w:val="hy-AM"/>
              </w:rPr>
              <w:t xml:space="preserve"> </w:t>
            </w:r>
            <w:r w:rsidR="00567588">
              <w:rPr>
                <w:rFonts w:ascii="GHEA Grapalat" w:eastAsia="MS Gothic" w:hAnsi="GHEA Grapalat" w:cs="MS Gothic"/>
                <w:sz w:val="24"/>
                <w:szCs w:val="24"/>
                <w:lang w:val="hy-AM"/>
              </w:rPr>
              <w:t>որոշման համաձայն իրական</w:t>
            </w:r>
            <w:r w:rsidR="00CA3578">
              <w:rPr>
                <w:rFonts w:ascii="GHEA Grapalat" w:eastAsia="MS Gothic" w:hAnsi="GHEA Grapalat" w:cs="MS Gothic"/>
                <w:sz w:val="24"/>
                <w:szCs w:val="24"/>
                <w:lang w:val="hy-AM"/>
              </w:rPr>
              <w:t>ա</w:t>
            </w:r>
            <w:r w:rsidR="00567588">
              <w:rPr>
                <w:rFonts w:ascii="GHEA Grapalat" w:eastAsia="MS Gothic" w:hAnsi="GHEA Grapalat" w:cs="MS Gothic"/>
                <w:sz w:val="24"/>
                <w:szCs w:val="24"/>
                <w:lang w:val="hy-AM"/>
              </w:rPr>
              <w:t xml:space="preserve">ցվել է </w:t>
            </w:r>
            <w:r w:rsidR="00567588" w:rsidRPr="00AE2FA0">
              <w:rPr>
                <w:rFonts w:ascii="GHEA Grapalat" w:hAnsi="GHEA Grapalat"/>
                <w:sz w:val="24"/>
                <w:szCs w:val="24"/>
                <w:lang w:val="hy-AM"/>
              </w:rPr>
              <w:t xml:space="preserve">ՀԱԷԿ-ի </w:t>
            </w:r>
            <w:r w:rsidR="00A26655" w:rsidRPr="00C30C42">
              <w:rPr>
                <w:rFonts w:ascii="GHEA Grapalat" w:eastAsia="Times New Roman" w:hAnsi="GHEA Grapalat"/>
                <w:bCs/>
                <w:color w:val="000000" w:themeColor="text1"/>
                <w:sz w:val="24"/>
                <w:szCs w:val="24"/>
                <w:lang w:val="hy-AM" w:eastAsia="ru-RU"/>
              </w:rPr>
              <w:t>N</w:t>
            </w:r>
            <w:r w:rsidR="00A26655"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2</w:t>
            </w:r>
            <w:r w:rsidR="002B575A" w:rsidRPr="00912C8A">
              <w:rPr>
                <w:rFonts w:ascii="GHEA Grapalat" w:eastAsia="Times New Roman" w:hAnsi="GHEA Grapalat"/>
                <w:b/>
                <w:bCs/>
                <w:color w:val="000000" w:themeColor="text1"/>
                <w:sz w:val="24"/>
                <w:szCs w:val="24"/>
                <w:lang w:val="hy-AM" w:eastAsia="ru-RU"/>
              </w:rPr>
              <w:t xml:space="preserve"> </w:t>
            </w:r>
            <w:r w:rsidR="00567588" w:rsidRPr="00AE2FA0">
              <w:rPr>
                <w:rFonts w:ascii="GHEA Grapalat" w:hAnsi="GHEA Grapalat"/>
                <w:sz w:val="24"/>
                <w:szCs w:val="24"/>
                <w:lang w:val="hy-AM"/>
              </w:rPr>
              <w:t xml:space="preserve">էներգաբլոկի շահագործման նախագծային ժամկետի երկարացման </w:t>
            </w:r>
            <w:r w:rsidR="00CA3578">
              <w:rPr>
                <w:rFonts w:ascii="GHEA Grapalat" w:hAnsi="GHEA Grapalat"/>
                <w:sz w:val="24"/>
                <w:szCs w:val="24"/>
                <w:lang w:val="hy-AM"/>
              </w:rPr>
              <w:t>ծրագ</w:t>
            </w:r>
            <w:r w:rsidR="00567588">
              <w:rPr>
                <w:rFonts w:ascii="GHEA Grapalat" w:hAnsi="GHEA Grapalat"/>
                <w:sz w:val="24"/>
                <w:szCs w:val="24"/>
                <w:lang w:val="hy-AM"/>
              </w:rPr>
              <w:t xml:space="preserve">իրը, որի արդյունքում ՀԱԷԿ-ի </w:t>
            </w:r>
            <w:r w:rsidR="0008725F" w:rsidRPr="00C30C42">
              <w:rPr>
                <w:rFonts w:ascii="GHEA Grapalat" w:eastAsia="Times New Roman" w:hAnsi="GHEA Grapalat"/>
                <w:bCs/>
                <w:color w:val="000000" w:themeColor="text1"/>
                <w:sz w:val="24"/>
                <w:szCs w:val="24"/>
                <w:lang w:val="hy-AM" w:eastAsia="ru-RU"/>
              </w:rPr>
              <w:t>N</w:t>
            </w:r>
            <w:r w:rsidR="0008725F"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2</w:t>
            </w:r>
            <w:r w:rsidR="002B575A" w:rsidRPr="00912C8A">
              <w:rPr>
                <w:rFonts w:ascii="GHEA Grapalat" w:eastAsia="Times New Roman" w:hAnsi="GHEA Grapalat"/>
                <w:b/>
                <w:bCs/>
                <w:color w:val="000000" w:themeColor="text1"/>
                <w:sz w:val="24"/>
                <w:szCs w:val="24"/>
                <w:lang w:val="hy-AM" w:eastAsia="ru-RU"/>
              </w:rPr>
              <w:t xml:space="preserve"> </w:t>
            </w:r>
            <w:r w:rsidR="00567588">
              <w:rPr>
                <w:rFonts w:ascii="GHEA Grapalat" w:hAnsi="GHEA Grapalat"/>
                <w:sz w:val="24"/>
                <w:szCs w:val="24"/>
                <w:lang w:val="hy-AM"/>
              </w:rPr>
              <w:t>էներգաբլոկ</w:t>
            </w:r>
            <w:r w:rsidR="00726E12">
              <w:rPr>
                <w:rFonts w:ascii="GHEA Grapalat" w:hAnsi="GHEA Grapalat"/>
                <w:sz w:val="24"/>
                <w:szCs w:val="24"/>
                <w:lang w:val="hy-AM"/>
              </w:rPr>
              <w:t>ի</w:t>
            </w:r>
            <w:r w:rsidR="00567588">
              <w:rPr>
                <w:rFonts w:ascii="GHEA Grapalat" w:hAnsi="GHEA Grapalat"/>
                <w:sz w:val="24"/>
                <w:szCs w:val="24"/>
                <w:lang w:val="hy-AM"/>
              </w:rPr>
              <w:t xml:space="preserve"> շահագործման ժամկետը </w:t>
            </w:r>
            <w:r w:rsidR="00CA3578">
              <w:rPr>
                <w:rFonts w:ascii="GHEA Grapalat" w:hAnsi="GHEA Grapalat"/>
                <w:sz w:val="24"/>
                <w:szCs w:val="24"/>
                <w:lang w:val="hy-AM"/>
              </w:rPr>
              <w:t xml:space="preserve">սահմանված կարգով </w:t>
            </w:r>
            <w:r w:rsidR="00567588">
              <w:rPr>
                <w:rFonts w:ascii="GHEA Grapalat" w:hAnsi="GHEA Grapalat"/>
                <w:sz w:val="24"/>
                <w:szCs w:val="24"/>
                <w:lang w:val="hy-AM"/>
              </w:rPr>
              <w:t>երկարա</w:t>
            </w:r>
            <w:r w:rsidR="00EF5347">
              <w:rPr>
                <w:rFonts w:ascii="GHEA Grapalat" w:hAnsi="GHEA Grapalat"/>
                <w:sz w:val="24"/>
                <w:szCs w:val="24"/>
                <w:lang w:val="hy-AM"/>
              </w:rPr>
              <w:t>ց</w:t>
            </w:r>
            <w:r w:rsidR="00567588">
              <w:rPr>
                <w:rFonts w:ascii="GHEA Grapalat" w:hAnsi="GHEA Grapalat"/>
                <w:sz w:val="24"/>
                <w:szCs w:val="24"/>
                <w:lang w:val="hy-AM"/>
              </w:rPr>
              <w:t>վել է մինչև 2026</w:t>
            </w:r>
            <w:r w:rsidR="00914B5F" w:rsidRPr="00914B5F">
              <w:rPr>
                <w:rFonts w:ascii="GHEA Grapalat" w:hAnsi="GHEA Grapalat"/>
                <w:sz w:val="24"/>
                <w:szCs w:val="24"/>
                <w:lang w:val="hy-AM"/>
              </w:rPr>
              <w:t xml:space="preserve"> </w:t>
            </w:r>
            <w:r w:rsidR="00567588">
              <w:rPr>
                <w:rFonts w:ascii="GHEA Grapalat" w:hAnsi="GHEA Grapalat"/>
                <w:sz w:val="24"/>
                <w:szCs w:val="24"/>
                <w:lang w:val="hy-AM"/>
              </w:rPr>
              <w:t>թ</w:t>
            </w:r>
            <w:r w:rsidR="00914B5F">
              <w:rPr>
                <w:rFonts w:ascii="GHEA Grapalat" w:hAnsi="GHEA Grapalat"/>
                <w:sz w:val="24"/>
                <w:szCs w:val="24"/>
                <w:lang w:val="hy-AM"/>
              </w:rPr>
              <w:t>վական</w:t>
            </w:r>
            <w:r w:rsidR="00567588">
              <w:rPr>
                <w:rFonts w:ascii="GHEA Grapalat" w:hAnsi="GHEA Grapalat"/>
                <w:sz w:val="24"/>
                <w:szCs w:val="24"/>
                <w:lang w:val="hy-AM"/>
              </w:rPr>
              <w:t xml:space="preserve">ը։ </w:t>
            </w:r>
            <w:r w:rsidR="00CA3578">
              <w:rPr>
                <w:rFonts w:ascii="GHEA Grapalat" w:hAnsi="GHEA Grapalat"/>
                <w:sz w:val="24"/>
                <w:szCs w:val="24"/>
                <w:lang w:val="hy-AM"/>
              </w:rPr>
              <w:t>Նշված ծրագրի շրջանակներում ՀԱԷԿ-ում կատարվել են մեծածավալ արդիականացման և վերազինման աշխատանքներ </w:t>
            </w:r>
            <w:r w:rsidR="00091957">
              <w:rPr>
                <w:rFonts w:ascii="GHEA Grapalat" w:hAnsi="GHEA Grapalat"/>
                <w:sz w:val="24"/>
                <w:szCs w:val="24"/>
                <w:lang w:val="hy-AM"/>
              </w:rPr>
              <w:t xml:space="preserve">շուրջ </w:t>
            </w:r>
            <w:r w:rsidR="00CA3578">
              <w:rPr>
                <w:rFonts w:ascii="GHEA Grapalat" w:hAnsi="GHEA Grapalat"/>
                <w:sz w:val="24"/>
                <w:szCs w:val="24"/>
                <w:lang w:val="hy-AM"/>
              </w:rPr>
              <w:t>189 մլն ԱՄՆ դոլար ՌԴ-ից ստացված վարկային և դրամաշնորհային միջոցներ, ինչպես նաև ՀՀ պետական բյուջեից շուրջ 63</w:t>
            </w:r>
            <w:r w:rsidR="00500E87" w:rsidRPr="00500E87">
              <w:rPr>
                <w:rFonts w:ascii="GHEA Grapalat" w:hAnsi="GHEA Grapalat"/>
                <w:sz w:val="24"/>
                <w:szCs w:val="24"/>
                <w:lang w:val="hy-AM"/>
              </w:rPr>
              <w:t>.</w:t>
            </w:r>
            <w:r w:rsidR="00CA3578">
              <w:rPr>
                <w:rFonts w:ascii="GHEA Grapalat" w:hAnsi="GHEA Grapalat"/>
                <w:sz w:val="24"/>
                <w:szCs w:val="24"/>
                <w:lang w:val="hy-AM"/>
              </w:rPr>
              <w:t>2 մլրդ դրամ։</w:t>
            </w:r>
          </w:p>
          <w:p w14:paraId="1BBC52C4" w14:textId="655C967E" w:rsidR="00FB55B6" w:rsidRPr="00AE2FA0" w:rsidRDefault="00C43708" w:rsidP="007F40A6">
            <w:pPr>
              <w:spacing w:after="0" w:line="360" w:lineRule="auto"/>
              <w:jc w:val="both"/>
              <w:rPr>
                <w:rFonts w:ascii="GHEA Grapalat" w:hAnsi="GHEA Grapalat" w:cs="Sylfaen"/>
                <w:sz w:val="24"/>
                <w:szCs w:val="24"/>
                <w:lang w:val="hy-AM"/>
              </w:rPr>
            </w:pPr>
            <w:r>
              <w:rPr>
                <w:rFonts w:ascii="GHEA Grapalat" w:hAnsi="GHEA Grapalat"/>
                <w:sz w:val="24"/>
                <w:szCs w:val="24"/>
                <w:lang w:val="hy-AM"/>
              </w:rPr>
              <w:t>Հաշվի առնելով արդեն իսկ կատարված արդիական</w:t>
            </w:r>
            <w:r w:rsidR="00091957">
              <w:rPr>
                <w:rFonts w:ascii="GHEA Grapalat" w:hAnsi="GHEA Grapalat"/>
                <w:sz w:val="24"/>
                <w:szCs w:val="24"/>
                <w:lang w:val="hy-AM"/>
              </w:rPr>
              <w:t>ա</w:t>
            </w:r>
            <w:r>
              <w:rPr>
                <w:rFonts w:ascii="GHEA Grapalat" w:hAnsi="GHEA Grapalat"/>
                <w:sz w:val="24"/>
                <w:szCs w:val="24"/>
                <w:lang w:val="hy-AM"/>
              </w:rPr>
              <w:t>ցման աշխատանքները, ինչպես նաև մասնագիտացված կազմակերպությունների կարծիքները և նմանատիպ էներգաբլոկների շահագործման ժամկետի երկարացման միջազգային փորձը, նախատեսվում է</w:t>
            </w:r>
            <w:r w:rsidR="0034271B">
              <w:rPr>
                <w:rFonts w:ascii="GHEA Grapalat" w:hAnsi="GHEA Grapalat"/>
                <w:sz w:val="24"/>
                <w:szCs w:val="24"/>
                <w:lang w:val="hy-AM"/>
              </w:rPr>
              <w:t>, որ</w:t>
            </w:r>
            <w:r>
              <w:rPr>
                <w:rFonts w:ascii="GHEA Grapalat" w:hAnsi="GHEA Grapalat"/>
                <w:sz w:val="24"/>
                <w:szCs w:val="24"/>
                <w:lang w:val="hy-AM"/>
              </w:rPr>
              <w:t xml:space="preserve"> լրացուցիչ ներդ</w:t>
            </w:r>
            <w:r w:rsidR="005F0D2C">
              <w:rPr>
                <w:rFonts w:ascii="GHEA Grapalat" w:hAnsi="GHEA Grapalat"/>
                <w:sz w:val="24"/>
                <w:szCs w:val="24"/>
                <w:lang w:val="hy-AM"/>
              </w:rPr>
              <w:t>ր</w:t>
            </w:r>
            <w:r>
              <w:rPr>
                <w:rFonts w:ascii="GHEA Grapalat" w:hAnsi="GHEA Grapalat"/>
                <w:sz w:val="24"/>
                <w:szCs w:val="24"/>
                <w:lang w:val="hy-AM"/>
              </w:rPr>
              <w:t xml:space="preserve">ումներ/աշխատանքներ </w:t>
            </w:r>
            <w:r w:rsidR="0034271B">
              <w:rPr>
                <w:rFonts w:ascii="GHEA Grapalat" w:hAnsi="GHEA Grapalat"/>
                <w:sz w:val="24"/>
                <w:szCs w:val="24"/>
                <w:lang w:val="hy-AM"/>
              </w:rPr>
              <w:t>կատարելու</w:t>
            </w:r>
            <w:r>
              <w:rPr>
                <w:rFonts w:ascii="GHEA Grapalat" w:hAnsi="GHEA Grapalat"/>
                <w:sz w:val="24"/>
                <w:szCs w:val="24"/>
                <w:lang w:val="hy-AM"/>
              </w:rPr>
              <w:t xml:space="preserve"> միջոցով հնարավորություն կստեղծվի </w:t>
            </w:r>
            <w:r w:rsidR="0034271B">
              <w:rPr>
                <w:rFonts w:ascii="GHEA Grapalat" w:hAnsi="GHEA Grapalat"/>
                <w:sz w:val="24"/>
                <w:szCs w:val="24"/>
                <w:lang w:val="hy-AM"/>
              </w:rPr>
              <w:t>երկարա</w:t>
            </w:r>
            <w:r w:rsidR="00EF5347">
              <w:rPr>
                <w:rFonts w:ascii="GHEA Grapalat" w:hAnsi="GHEA Grapalat"/>
                <w:sz w:val="24"/>
                <w:szCs w:val="24"/>
                <w:lang w:val="hy-AM"/>
              </w:rPr>
              <w:t>ցն</w:t>
            </w:r>
            <w:r w:rsidR="0034271B">
              <w:rPr>
                <w:rFonts w:ascii="GHEA Grapalat" w:hAnsi="GHEA Grapalat"/>
                <w:sz w:val="24"/>
                <w:szCs w:val="24"/>
                <w:lang w:val="hy-AM"/>
              </w:rPr>
              <w:t xml:space="preserve">ել </w:t>
            </w:r>
            <w:r>
              <w:rPr>
                <w:rFonts w:ascii="GHEA Grapalat" w:hAnsi="GHEA Grapalat"/>
                <w:sz w:val="24"/>
                <w:szCs w:val="24"/>
                <w:lang w:val="hy-AM"/>
              </w:rPr>
              <w:t xml:space="preserve">ՀԱԷԿ </w:t>
            </w:r>
            <w:r w:rsidR="00500E87" w:rsidRPr="00C30C42">
              <w:rPr>
                <w:rFonts w:ascii="GHEA Grapalat" w:eastAsia="Times New Roman" w:hAnsi="GHEA Grapalat"/>
                <w:bCs/>
                <w:color w:val="000000" w:themeColor="text1"/>
                <w:sz w:val="24"/>
                <w:szCs w:val="24"/>
                <w:lang w:val="hy-AM" w:eastAsia="ru-RU"/>
              </w:rPr>
              <w:t>N</w:t>
            </w:r>
            <w:r w:rsidR="00500E87"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2</w:t>
            </w:r>
            <w:r w:rsidR="002B575A" w:rsidRPr="00912C8A">
              <w:rPr>
                <w:rFonts w:ascii="GHEA Grapalat" w:eastAsia="Times New Roman" w:hAnsi="GHEA Grapalat"/>
                <w:b/>
                <w:bCs/>
                <w:color w:val="000000" w:themeColor="text1"/>
                <w:sz w:val="24"/>
                <w:szCs w:val="24"/>
                <w:lang w:val="hy-AM" w:eastAsia="ru-RU"/>
              </w:rPr>
              <w:t xml:space="preserve"> </w:t>
            </w:r>
            <w:r>
              <w:rPr>
                <w:rFonts w:ascii="GHEA Grapalat" w:hAnsi="GHEA Grapalat"/>
                <w:sz w:val="24"/>
                <w:szCs w:val="24"/>
                <w:lang w:val="hy-AM"/>
              </w:rPr>
              <w:t>էներգաբլոկի շահագործման նախագծային ժամկետը</w:t>
            </w:r>
            <w:r w:rsidR="0034271B">
              <w:rPr>
                <w:rFonts w:ascii="GHEA Grapalat" w:hAnsi="GHEA Grapalat"/>
                <w:sz w:val="24"/>
                <w:szCs w:val="24"/>
                <w:lang w:val="hy-AM"/>
              </w:rPr>
              <w:t xml:space="preserve"> ևս 10-ը տարով՝</w:t>
            </w:r>
            <w:r>
              <w:rPr>
                <w:rFonts w:ascii="GHEA Grapalat" w:hAnsi="GHEA Grapalat"/>
                <w:sz w:val="24"/>
                <w:szCs w:val="24"/>
                <w:lang w:val="hy-AM"/>
              </w:rPr>
              <w:t xml:space="preserve"> 2026</w:t>
            </w:r>
            <w:r w:rsidR="00914B5F" w:rsidRPr="00914B5F">
              <w:rPr>
                <w:rFonts w:ascii="GHEA Grapalat" w:hAnsi="GHEA Grapalat"/>
                <w:sz w:val="24"/>
                <w:szCs w:val="24"/>
                <w:lang w:val="hy-AM"/>
              </w:rPr>
              <w:t xml:space="preserve"> </w:t>
            </w:r>
            <w:r>
              <w:rPr>
                <w:rFonts w:ascii="GHEA Grapalat" w:hAnsi="GHEA Grapalat"/>
                <w:sz w:val="24"/>
                <w:szCs w:val="24"/>
                <w:lang w:val="hy-AM"/>
              </w:rPr>
              <w:t>թ</w:t>
            </w:r>
            <w:r w:rsidR="00914B5F">
              <w:rPr>
                <w:rFonts w:ascii="GHEA Grapalat" w:hAnsi="GHEA Grapalat"/>
                <w:sz w:val="24"/>
                <w:szCs w:val="24"/>
                <w:lang w:val="hy-AM"/>
              </w:rPr>
              <w:t>վական</w:t>
            </w:r>
            <w:r>
              <w:rPr>
                <w:rFonts w:ascii="GHEA Grapalat" w:hAnsi="GHEA Grapalat"/>
                <w:sz w:val="24"/>
                <w:szCs w:val="24"/>
                <w:lang w:val="hy-AM"/>
              </w:rPr>
              <w:t>ից մինչև 2036</w:t>
            </w:r>
            <w:r w:rsidR="00914B5F" w:rsidRPr="00914B5F">
              <w:rPr>
                <w:rFonts w:ascii="GHEA Grapalat" w:hAnsi="GHEA Grapalat"/>
                <w:sz w:val="24"/>
                <w:szCs w:val="24"/>
                <w:lang w:val="hy-AM"/>
              </w:rPr>
              <w:t xml:space="preserve"> </w:t>
            </w:r>
            <w:r>
              <w:rPr>
                <w:rFonts w:ascii="GHEA Grapalat" w:hAnsi="GHEA Grapalat"/>
                <w:sz w:val="24"/>
                <w:szCs w:val="24"/>
                <w:lang w:val="hy-AM"/>
              </w:rPr>
              <w:t>թ</w:t>
            </w:r>
            <w:r w:rsidR="00914B5F">
              <w:rPr>
                <w:rFonts w:ascii="GHEA Grapalat" w:hAnsi="GHEA Grapalat"/>
                <w:sz w:val="24"/>
                <w:szCs w:val="24"/>
                <w:lang w:val="hy-AM"/>
              </w:rPr>
              <w:t>վական</w:t>
            </w:r>
            <w:r w:rsidR="0099395A">
              <w:rPr>
                <w:rFonts w:ascii="GHEA Grapalat" w:hAnsi="GHEA Grapalat"/>
                <w:sz w:val="24"/>
                <w:szCs w:val="24"/>
                <w:lang w:val="hy-AM"/>
              </w:rPr>
              <w:t>ը</w:t>
            </w:r>
            <w:r>
              <w:rPr>
                <w:rFonts w:ascii="GHEA Grapalat" w:hAnsi="GHEA Grapalat"/>
                <w:sz w:val="24"/>
                <w:szCs w:val="24"/>
                <w:lang w:val="hy-AM"/>
              </w:rPr>
              <w:t>։</w:t>
            </w:r>
          </w:p>
        </w:tc>
      </w:tr>
      <w:tr w:rsidR="00FB55B6" w:rsidRPr="000B5823" w14:paraId="0C151C3D" w14:textId="77777777" w:rsidTr="001923AF">
        <w:tc>
          <w:tcPr>
            <w:tcW w:w="249" w:type="pct"/>
          </w:tcPr>
          <w:p w14:paraId="367625E4" w14:textId="10F696E9" w:rsidR="00FB55B6" w:rsidRPr="00252203" w:rsidRDefault="00FB55B6" w:rsidP="007F40A6">
            <w:pPr>
              <w:spacing w:after="0" w:line="360" w:lineRule="auto"/>
              <w:jc w:val="center"/>
              <w:rPr>
                <w:rFonts w:ascii="GHEA Grapalat" w:hAnsi="GHEA Grapalat"/>
                <w:sz w:val="24"/>
                <w:szCs w:val="24"/>
                <w:lang w:val="hy-AM"/>
              </w:rPr>
            </w:pPr>
          </w:p>
        </w:tc>
        <w:tc>
          <w:tcPr>
            <w:tcW w:w="4751" w:type="pct"/>
          </w:tcPr>
          <w:p w14:paraId="74B5441C" w14:textId="40F5BB46" w:rsidR="007755DB" w:rsidRPr="007755DB" w:rsidRDefault="007755DB" w:rsidP="007F40A6">
            <w:pPr>
              <w:tabs>
                <w:tab w:val="left" w:pos="709"/>
                <w:tab w:val="left" w:pos="851"/>
                <w:tab w:val="left" w:pos="993"/>
              </w:tabs>
              <w:spacing w:after="0" w:line="360" w:lineRule="auto"/>
              <w:jc w:val="both"/>
              <w:rPr>
                <w:rFonts w:ascii="GHEA Grapalat" w:hAnsi="GHEA Grapalat"/>
                <w:b/>
                <w:sz w:val="24"/>
                <w:szCs w:val="24"/>
                <w:u w:val="single"/>
                <w:lang w:val="hy-AM"/>
              </w:rPr>
            </w:pPr>
            <w:r w:rsidRPr="007755DB">
              <w:rPr>
                <w:rFonts w:ascii="GHEA Grapalat" w:hAnsi="GHEA Grapalat"/>
                <w:b/>
                <w:sz w:val="24"/>
                <w:szCs w:val="24"/>
                <w:u w:val="single"/>
                <w:lang w:val="hy-AM"/>
              </w:rPr>
              <w:t>Կարգավորման նպատակը</w:t>
            </w:r>
          </w:p>
          <w:p w14:paraId="6D987032" w14:textId="5D6A5BC6" w:rsidR="007755DB" w:rsidRPr="007755DB" w:rsidRDefault="007755DB" w:rsidP="007F40A6">
            <w:pPr>
              <w:tabs>
                <w:tab w:val="left" w:pos="709"/>
                <w:tab w:val="left" w:pos="851"/>
                <w:tab w:val="left" w:pos="993"/>
              </w:tabs>
              <w:spacing w:after="0" w:line="360" w:lineRule="auto"/>
              <w:jc w:val="both"/>
              <w:rPr>
                <w:rFonts w:ascii="GHEA Grapalat" w:hAnsi="GHEA Grapalat"/>
                <w:b/>
                <w:sz w:val="24"/>
                <w:szCs w:val="24"/>
                <w:lang w:val="hy-AM"/>
              </w:rPr>
            </w:pPr>
            <w:r w:rsidRPr="007755DB">
              <w:rPr>
                <w:rFonts w:ascii="GHEA Grapalat" w:hAnsi="GHEA Grapalat"/>
                <w:sz w:val="24"/>
                <w:szCs w:val="24"/>
                <w:lang w:val="hy-AM"/>
              </w:rPr>
              <w:t xml:space="preserve">Նախագծով առաջարկվում է Հայկական ատոմային էլեկտրակայանի </w:t>
            </w:r>
            <w:r w:rsidR="000E18A5" w:rsidRPr="00C30C42">
              <w:rPr>
                <w:rFonts w:ascii="GHEA Grapalat" w:eastAsia="Times New Roman" w:hAnsi="GHEA Grapalat"/>
                <w:bCs/>
                <w:color w:val="000000" w:themeColor="text1"/>
                <w:sz w:val="24"/>
                <w:szCs w:val="24"/>
                <w:lang w:val="hy-AM" w:eastAsia="ru-RU"/>
              </w:rPr>
              <w:t>N</w:t>
            </w:r>
            <w:r w:rsidR="000E18A5"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 xml:space="preserve">2 </w:t>
            </w:r>
            <w:r w:rsidRPr="007755DB">
              <w:rPr>
                <w:rFonts w:ascii="GHEA Grapalat" w:hAnsi="GHEA Grapalat"/>
                <w:sz w:val="24"/>
                <w:szCs w:val="24"/>
                <w:lang w:val="hy-AM"/>
              </w:rPr>
              <w:t>էներգաբլոկի շահագործման նախագծային ժամկետը ևս 10 տարով՝ 2026</w:t>
            </w:r>
            <w:r w:rsidR="00727686">
              <w:rPr>
                <w:rFonts w:ascii="GHEA Grapalat" w:hAnsi="GHEA Grapalat"/>
                <w:sz w:val="24"/>
                <w:szCs w:val="24"/>
                <w:lang w:val="hy-AM"/>
              </w:rPr>
              <w:t xml:space="preserve"> թվականից</w:t>
            </w:r>
            <w:r w:rsidRPr="007755DB">
              <w:rPr>
                <w:rFonts w:ascii="GHEA Grapalat" w:hAnsi="GHEA Grapalat"/>
                <w:sz w:val="24"/>
                <w:szCs w:val="24"/>
                <w:lang w:val="hy-AM"/>
              </w:rPr>
              <w:t xml:space="preserve"> մինչև 2036</w:t>
            </w:r>
            <w:r w:rsidR="00727686">
              <w:rPr>
                <w:rFonts w:ascii="GHEA Grapalat" w:hAnsi="GHEA Grapalat"/>
                <w:sz w:val="24"/>
                <w:szCs w:val="24"/>
                <w:lang w:val="hy-AM"/>
              </w:rPr>
              <w:t xml:space="preserve"> </w:t>
            </w:r>
            <w:r w:rsidRPr="007755DB">
              <w:rPr>
                <w:rFonts w:ascii="GHEA Grapalat" w:hAnsi="GHEA Grapalat"/>
                <w:sz w:val="24"/>
                <w:szCs w:val="24"/>
                <w:lang w:val="hy-AM"/>
              </w:rPr>
              <w:t>թ</w:t>
            </w:r>
            <w:r w:rsidR="00727686">
              <w:rPr>
                <w:rFonts w:ascii="GHEA Grapalat" w:hAnsi="GHEA Grapalat"/>
                <w:sz w:val="24"/>
                <w:szCs w:val="24"/>
                <w:lang w:val="hy-AM"/>
              </w:rPr>
              <w:t>վականը</w:t>
            </w:r>
            <w:r w:rsidR="0034271B" w:rsidRPr="007755DB">
              <w:rPr>
                <w:rFonts w:ascii="GHEA Grapalat" w:hAnsi="GHEA Grapalat"/>
                <w:sz w:val="24"/>
                <w:szCs w:val="24"/>
                <w:lang w:val="hy-AM"/>
              </w:rPr>
              <w:t xml:space="preserve"> </w:t>
            </w:r>
            <w:r w:rsidR="00EF5347">
              <w:rPr>
                <w:rFonts w:ascii="GHEA Grapalat" w:hAnsi="GHEA Grapalat"/>
                <w:sz w:val="24"/>
                <w:szCs w:val="24"/>
                <w:lang w:val="hy-AM"/>
              </w:rPr>
              <w:t>երկարացնե</w:t>
            </w:r>
            <w:r w:rsidR="0034271B" w:rsidRPr="007755DB">
              <w:rPr>
                <w:rFonts w:ascii="GHEA Grapalat" w:hAnsi="GHEA Grapalat"/>
                <w:sz w:val="24"/>
                <w:szCs w:val="24"/>
                <w:lang w:val="hy-AM"/>
              </w:rPr>
              <w:t>լ</w:t>
            </w:r>
            <w:r w:rsidR="0034271B">
              <w:rPr>
                <w:rFonts w:ascii="GHEA Grapalat" w:hAnsi="GHEA Grapalat"/>
                <w:sz w:val="24"/>
                <w:szCs w:val="24"/>
                <w:lang w:val="hy-AM"/>
              </w:rPr>
              <w:t>ու նպատակով ԾՐԱԳՐԻ մշակում, որը հիմք կհանդիսանա ՀՀ կառավարության կողմից հետագա ընթացքը որոշելու նպատակով</w:t>
            </w:r>
            <w:r w:rsidRPr="007755DB">
              <w:rPr>
                <w:rFonts w:ascii="GHEA Grapalat" w:hAnsi="GHEA Grapalat"/>
                <w:sz w:val="24"/>
                <w:szCs w:val="24"/>
                <w:lang w:val="hy-AM"/>
              </w:rPr>
              <w:t>:</w:t>
            </w:r>
          </w:p>
        </w:tc>
      </w:tr>
      <w:tr w:rsidR="00FB55B6" w:rsidRPr="000B5823" w14:paraId="7D2F8CF3" w14:textId="77777777" w:rsidTr="001923AF">
        <w:tc>
          <w:tcPr>
            <w:tcW w:w="249" w:type="pct"/>
          </w:tcPr>
          <w:p w14:paraId="0D47B459" w14:textId="77777777" w:rsidR="00FB55B6" w:rsidRPr="00FB21EE" w:rsidRDefault="00FB55B6" w:rsidP="007F40A6">
            <w:pPr>
              <w:spacing w:after="0" w:line="360" w:lineRule="auto"/>
              <w:jc w:val="center"/>
              <w:rPr>
                <w:rFonts w:ascii="GHEA Grapalat" w:hAnsi="GHEA Grapalat"/>
                <w:sz w:val="24"/>
                <w:szCs w:val="24"/>
                <w:lang w:val="hy-AM"/>
              </w:rPr>
            </w:pPr>
          </w:p>
        </w:tc>
        <w:tc>
          <w:tcPr>
            <w:tcW w:w="4751" w:type="pct"/>
          </w:tcPr>
          <w:p w14:paraId="12DE820B" w14:textId="6958172E" w:rsidR="00FB55B6" w:rsidRPr="00252203" w:rsidRDefault="00FB55B6" w:rsidP="007F40A6">
            <w:pPr>
              <w:pStyle w:val="NormalWeb"/>
              <w:tabs>
                <w:tab w:val="left" w:pos="284"/>
                <w:tab w:val="left" w:pos="851"/>
                <w:tab w:val="left" w:pos="993"/>
              </w:tabs>
              <w:spacing w:before="0" w:beforeAutospacing="0" w:after="0" w:afterAutospacing="0" w:line="360" w:lineRule="auto"/>
              <w:ind w:right="232"/>
              <w:jc w:val="both"/>
              <w:rPr>
                <w:rFonts w:ascii="GHEA Grapalat" w:hAnsi="GHEA Grapalat"/>
                <w:b/>
                <w:u w:val="single"/>
                <w:lang w:val="hy-AM" w:eastAsia="lt-LT"/>
              </w:rPr>
            </w:pPr>
            <w:r w:rsidRPr="00252203">
              <w:rPr>
                <w:rFonts w:ascii="GHEA Grapalat" w:hAnsi="GHEA Grapalat"/>
                <w:b/>
                <w:bCs/>
                <w:bdr w:val="none" w:sz="0" w:space="0" w:color="auto" w:frame="1"/>
                <w:shd w:val="clear" w:color="auto" w:fill="FFFFFF"/>
                <w:lang w:val="hy-AM" w:eastAsia="lt-LT"/>
              </w:rPr>
              <w:t>Նախագծի մշակման գործընթացում ներգրավված</w:t>
            </w:r>
            <w:r w:rsidRPr="00252203">
              <w:rPr>
                <w:rFonts w:ascii="Calibri" w:hAnsi="Calibri" w:cs="Calibri"/>
                <w:shd w:val="clear" w:color="auto" w:fill="FFFFFF"/>
                <w:lang w:val="hy-AM" w:eastAsia="lt-LT"/>
              </w:rPr>
              <w:t> </w:t>
            </w:r>
            <w:r w:rsidRPr="00252203">
              <w:rPr>
                <w:rFonts w:ascii="GHEA Grapalat" w:hAnsi="GHEA Grapalat"/>
                <w:b/>
                <w:bCs/>
                <w:bdr w:val="none" w:sz="0" w:space="0" w:color="auto" w:frame="1"/>
                <w:shd w:val="clear" w:color="auto" w:fill="FFFFFF"/>
                <w:lang w:val="hy-AM" w:eastAsia="lt-LT"/>
              </w:rPr>
              <w:t>ինստիտուտները և անձինք</w:t>
            </w:r>
          </w:p>
        </w:tc>
      </w:tr>
      <w:tr w:rsidR="00FB55B6" w:rsidRPr="000B5823" w14:paraId="29BE9C46" w14:textId="77777777" w:rsidTr="001923AF">
        <w:tc>
          <w:tcPr>
            <w:tcW w:w="249" w:type="pct"/>
          </w:tcPr>
          <w:p w14:paraId="243F45E2" w14:textId="77777777" w:rsidR="00FB55B6" w:rsidRPr="00252203" w:rsidRDefault="00FB55B6" w:rsidP="007F40A6">
            <w:pPr>
              <w:spacing w:after="0" w:line="360" w:lineRule="auto"/>
              <w:jc w:val="center"/>
              <w:rPr>
                <w:rFonts w:ascii="GHEA Grapalat" w:hAnsi="GHEA Grapalat"/>
                <w:sz w:val="24"/>
                <w:szCs w:val="24"/>
                <w:lang w:val="hy-AM"/>
              </w:rPr>
            </w:pPr>
          </w:p>
        </w:tc>
        <w:tc>
          <w:tcPr>
            <w:tcW w:w="4751" w:type="pct"/>
          </w:tcPr>
          <w:p w14:paraId="0D204332" w14:textId="370188D7" w:rsidR="00FB55B6" w:rsidRPr="00726E12" w:rsidRDefault="008B5158" w:rsidP="007F40A6">
            <w:pPr>
              <w:tabs>
                <w:tab w:val="left" w:pos="1830"/>
              </w:tabs>
              <w:spacing w:after="0" w:line="360" w:lineRule="auto"/>
              <w:jc w:val="both"/>
              <w:rPr>
                <w:rFonts w:ascii="GHEA Grapalat" w:hAnsi="GHEA Grapalat"/>
                <w:sz w:val="24"/>
                <w:szCs w:val="24"/>
                <w:lang w:val="hy-AM"/>
              </w:rPr>
            </w:pPr>
            <w:r w:rsidRPr="00252203">
              <w:rPr>
                <w:rFonts w:ascii="GHEA Grapalat" w:hAnsi="GHEA Grapalat"/>
                <w:sz w:val="24"/>
                <w:szCs w:val="24"/>
                <w:lang w:val="hy-AM"/>
              </w:rPr>
              <w:t>Տ</w:t>
            </w:r>
            <w:r w:rsidR="00FB55B6" w:rsidRPr="00252203">
              <w:rPr>
                <w:rFonts w:ascii="GHEA Grapalat" w:hAnsi="GHEA Grapalat"/>
                <w:sz w:val="24"/>
                <w:szCs w:val="24"/>
                <w:lang w:val="hy-AM"/>
              </w:rPr>
              <w:t>արածքային կառավարման և ենթակառուցվածքների նախարարություն</w:t>
            </w:r>
          </w:p>
        </w:tc>
      </w:tr>
      <w:tr w:rsidR="00FB55B6" w:rsidRPr="00252203" w14:paraId="30EC1BEE" w14:textId="77777777" w:rsidTr="001923AF">
        <w:tc>
          <w:tcPr>
            <w:tcW w:w="249" w:type="pct"/>
          </w:tcPr>
          <w:p w14:paraId="107DEB5F" w14:textId="77777777" w:rsidR="00FB55B6" w:rsidRPr="00726E12" w:rsidRDefault="00FB55B6" w:rsidP="007F40A6">
            <w:pPr>
              <w:spacing w:after="0" w:line="360" w:lineRule="auto"/>
              <w:jc w:val="center"/>
              <w:rPr>
                <w:rFonts w:ascii="GHEA Grapalat" w:hAnsi="GHEA Grapalat"/>
                <w:sz w:val="24"/>
                <w:szCs w:val="24"/>
                <w:lang w:val="hy-AM"/>
              </w:rPr>
            </w:pPr>
          </w:p>
        </w:tc>
        <w:tc>
          <w:tcPr>
            <w:tcW w:w="4751" w:type="pct"/>
          </w:tcPr>
          <w:p w14:paraId="49BB48FE" w14:textId="77777777" w:rsidR="00FB55B6" w:rsidRPr="00252203" w:rsidRDefault="00FB55B6" w:rsidP="007F40A6">
            <w:pPr>
              <w:spacing w:after="0" w:line="360" w:lineRule="auto"/>
              <w:jc w:val="both"/>
              <w:rPr>
                <w:rFonts w:ascii="GHEA Grapalat" w:hAnsi="GHEA Grapalat"/>
                <w:b/>
                <w:sz w:val="24"/>
                <w:szCs w:val="24"/>
              </w:rPr>
            </w:pPr>
            <w:r w:rsidRPr="00252203">
              <w:rPr>
                <w:rFonts w:ascii="GHEA Grapalat" w:hAnsi="GHEA Grapalat"/>
                <w:b/>
                <w:sz w:val="24"/>
                <w:szCs w:val="24"/>
              </w:rPr>
              <w:t>Ակնկալվող արդյունքը</w:t>
            </w:r>
          </w:p>
        </w:tc>
      </w:tr>
      <w:tr w:rsidR="00FB55B6" w:rsidRPr="00252203" w14:paraId="32E448BB" w14:textId="77777777" w:rsidTr="001923AF">
        <w:tc>
          <w:tcPr>
            <w:tcW w:w="249" w:type="pct"/>
          </w:tcPr>
          <w:p w14:paraId="6CF84343" w14:textId="77777777" w:rsidR="00FB55B6" w:rsidRPr="00252203" w:rsidRDefault="00FB55B6" w:rsidP="007F40A6">
            <w:pPr>
              <w:spacing w:after="0" w:line="360" w:lineRule="auto"/>
              <w:jc w:val="center"/>
              <w:rPr>
                <w:rFonts w:ascii="GHEA Grapalat" w:hAnsi="GHEA Grapalat"/>
                <w:sz w:val="24"/>
                <w:szCs w:val="24"/>
              </w:rPr>
            </w:pPr>
          </w:p>
        </w:tc>
        <w:tc>
          <w:tcPr>
            <w:tcW w:w="4751" w:type="pct"/>
          </w:tcPr>
          <w:p w14:paraId="0B395E53" w14:textId="2ECE6052" w:rsidR="00FB55B6" w:rsidRPr="00CF1E54" w:rsidRDefault="003A13DB" w:rsidP="007F40A6">
            <w:pPr>
              <w:spacing w:after="0" w:line="360" w:lineRule="auto"/>
              <w:jc w:val="both"/>
              <w:rPr>
                <w:rFonts w:ascii="GHEA Grapalat" w:hAnsi="GHEA Grapalat"/>
                <w:sz w:val="24"/>
                <w:szCs w:val="24"/>
              </w:rPr>
            </w:pPr>
            <w:r w:rsidRPr="001E109C">
              <w:rPr>
                <w:rFonts w:ascii="GHEA Grapalat" w:hAnsi="GHEA Grapalat"/>
                <w:sz w:val="24"/>
                <w:szCs w:val="24"/>
                <w:lang w:val="hy-AM"/>
              </w:rPr>
              <w:t xml:space="preserve">ՀՀ կառավարության որոշման </w:t>
            </w:r>
            <w:r w:rsidRPr="001E109C">
              <w:rPr>
                <w:rFonts w:ascii="GHEA Grapalat" w:hAnsi="GHEA Grapalat"/>
                <w:sz w:val="24"/>
                <w:szCs w:val="24"/>
                <w:lang w:val="af-ZA"/>
              </w:rPr>
              <w:t>նախագծի ընդունումը հնարավորություն կտա</w:t>
            </w:r>
            <w:r w:rsidR="00091957">
              <w:rPr>
                <w:rFonts w:ascii="GHEA Grapalat" w:hAnsi="GHEA Grapalat"/>
                <w:sz w:val="24"/>
                <w:szCs w:val="24"/>
                <w:lang w:val="hy-AM"/>
              </w:rPr>
              <w:t xml:space="preserve"> գնահատել</w:t>
            </w:r>
            <w:r w:rsidR="00091957" w:rsidRPr="001E109C">
              <w:rPr>
                <w:rFonts w:ascii="GHEA Grapalat" w:hAnsi="GHEA Grapalat"/>
                <w:sz w:val="24"/>
                <w:szCs w:val="24"/>
                <w:lang w:val="af-ZA"/>
              </w:rPr>
              <w:t xml:space="preserve"> </w:t>
            </w:r>
            <w:r w:rsidRPr="001E109C">
              <w:rPr>
                <w:rFonts w:ascii="GHEA Grapalat" w:hAnsi="GHEA Grapalat"/>
                <w:sz w:val="24"/>
                <w:szCs w:val="24"/>
                <w:lang w:val="hy-AM"/>
              </w:rPr>
              <w:t xml:space="preserve"> </w:t>
            </w:r>
            <w:r w:rsidR="00CF1E54" w:rsidRPr="00CF1E54">
              <w:rPr>
                <w:rFonts w:ascii="GHEA Grapalat" w:hAnsi="GHEA Grapalat"/>
                <w:sz w:val="24"/>
                <w:szCs w:val="24"/>
                <w:lang w:val="hy-AM"/>
              </w:rPr>
              <w:t xml:space="preserve">Հայկական ատոմային էլեկտրակայանի </w:t>
            </w:r>
            <w:r w:rsidR="000E18A5" w:rsidRPr="00C30C42">
              <w:rPr>
                <w:rFonts w:ascii="GHEA Grapalat" w:eastAsia="Times New Roman" w:hAnsi="GHEA Grapalat"/>
                <w:bCs/>
                <w:color w:val="000000" w:themeColor="text1"/>
                <w:sz w:val="24"/>
                <w:szCs w:val="24"/>
                <w:lang w:val="hy-AM" w:eastAsia="ru-RU"/>
              </w:rPr>
              <w:t>N</w:t>
            </w:r>
            <w:r w:rsidR="000E18A5" w:rsidRPr="002B575A">
              <w:rPr>
                <w:rFonts w:ascii="GHEA Grapalat" w:eastAsia="Times New Roman" w:hAnsi="GHEA Grapalat"/>
                <w:bCs/>
                <w:color w:val="000000" w:themeColor="text1"/>
                <w:sz w:val="24"/>
                <w:szCs w:val="24"/>
                <w:lang w:val="hy-AM" w:eastAsia="ru-RU"/>
              </w:rPr>
              <w:t xml:space="preserve"> </w:t>
            </w:r>
            <w:r w:rsidR="002B575A" w:rsidRPr="002B575A">
              <w:rPr>
                <w:rFonts w:ascii="GHEA Grapalat" w:eastAsia="Times New Roman" w:hAnsi="GHEA Grapalat"/>
                <w:bCs/>
                <w:color w:val="000000" w:themeColor="text1"/>
                <w:sz w:val="24"/>
                <w:szCs w:val="24"/>
                <w:lang w:val="hy-AM" w:eastAsia="ru-RU"/>
              </w:rPr>
              <w:t>2</w:t>
            </w:r>
            <w:r w:rsidR="002B575A" w:rsidRPr="00912C8A">
              <w:rPr>
                <w:rFonts w:ascii="GHEA Grapalat" w:eastAsia="Times New Roman" w:hAnsi="GHEA Grapalat"/>
                <w:b/>
                <w:bCs/>
                <w:color w:val="000000" w:themeColor="text1"/>
                <w:sz w:val="24"/>
                <w:szCs w:val="24"/>
                <w:lang w:val="hy-AM" w:eastAsia="ru-RU"/>
              </w:rPr>
              <w:t xml:space="preserve"> </w:t>
            </w:r>
            <w:r w:rsidR="00CF1E54" w:rsidRPr="00CF1E54">
              <w:rPr>
                <w:rFonts w:ascii="GHEA Grapalat" w:hAnsi="GHEA Grapalat"/>
                <w:sz w:val="24"/>
                <w:szCs w:val="24"/>
                <w:lang w:val="hy-AM"/>
              </w:rPr>
              <w:t>էներգաբլոկի շահագործման նախագծային ժամկետը երկարա</w:t>
            </w:r>
            <w:r w:rsidR="00F67906">
              <w:rPr>
                <w:rFonts w:ascii="GHEA Grapalat" w:hAnsi="GHEA Grapalat"/>
                <w:sz w:val="24"/>
                <w:szCs w:val="24"/>
                <w:lang w:val="hy-AM"/>
              </w:rPr>
              <w:t>ցնե</w:t>
            </w:r>
            <w:r w:rsidR="00CF1E54" w:rsidRPr="00CF1E54">
              <w:rPr>
                <w:rFonts w:ascii="GHEA Grapalat" w:hAnsi="GHEA Grapalat"/>
                <w:sz w:val="24"/>
                <w:szCs w:val="24"/>
                <w:lang w:val="hy-AM"/>
              </w:rPr>
              <w:t>լ</w:t>
            </w:r>
            <w:r w:rsidR="00291782">
              <w:rPr>
                <w:rFonts w:ascii="GHEA Grapalat" w:hAnsi="GHEA Grapalat"/>
                <w:sz w:val="24"/>
                <w:szCs w:val="24"/>
                <w:lang w:val="hy-AM"/>
              </w:rPr>
              <w:t>ու</w:t>
            </w:r>
            <w:r w:rsidR="00CF1E54" w:rsidRPr="00CF1E54">
              <w:rPr>
                <w:rFonts w:ascii="GHEA Grapalat" w:hAnsi="GHEA Grapalat"/>
                <w:sz w:val="24"/>
                <w:szCs w:val="24"/>
              </w:rPr>
              <w:t xml:space="preserve"> </w:t>
            </w:r>
            <w:r w:rsidR="00291782">
              <w:rPr>
                <w:rFonts w:ascii="GHEA Grapalat" w:hAnsi="GHEA Grapalat"/>
                <w:sz w:val="24"/>
                <w:szCs w:val="24"/>
                <w:lang w:val="hy-AM"/>
              </w:rPr>
              <w:t>տեխնիկական հնարավորությունները, անհրաժեշտ ֆինանսական ռեսուրսները և հնարավոր ներդրումների ազդեցությունը վերջնական</w:t>
            </w:r>
            <w:r w:rsidR="00C43708">
              <w:rPr>
                <w:rFonts w:ascii="GHEA Grapalat" w:hAnsi="GHEA Grapalat"/>
                <w:sz w:val="24"/>
                <w:szCs w:val="24"/>
                <w:lang w:val="hy-AM"/>
              </w:rPr>
              <w:t xml:space="preserve"> </w:t>
            </w:r>
            <w:r w:rsidR="00291782">
              <w:rPr>
                <w:rFonts w:ascii="GHEA Grapalat" w:hAnsi="GHEA Grapalat"/>
                <w:sz w:val="24"/>
                <w:szCs w:val="24"/>
                <w:lang w:val="hy-AM"/>
              </w:rPr>
              <w:t>սպառող</w:t>
            </w:r>
            <w:r w:rsidR="00C43708">
              <w:rPr>
                <w:rFonts w:ascii="GHEA Grapalat" w:hAnsi="GHEA Grapalat"/>
                <w:sz w:val="24"/>
                <w:szCs w:val="24"/>
                <w:lang w:val="hy-AM"/>
              </w:rPr>
              <w:t>ի սակագնի վրա։</w:t>
            </w:r>
            <w:r w:rsidR="00CF1E54" w:rsidRPr="00CF1E54">
              <w:rPr>
                <w:rFonts w:ascii="GHEA Grapalat" w:hAnsi="GHEA Grapalat"/>
                <w:sz w:val="24"/>
                <w:szCs w:val="24"/>
              </w:rPr>
              <w:t xml:space="preserve"> </w:t>
            </w:r>
          </w:p>
        </w:tc>
      </w:tr>
      <w:tr w:rsidR="00FB55B6" w:rsidRPr="00252203" w14:paraId="4247B163" w14:textId="77777777" w:rsidTr="001923AF">
        <w:tc>
          <w:tcPr>
            <w:tcW w:w="249" w:type="pct"/>
          </w:tcPr>
          <w:p w14:paraId="7AC6F8B5" w14:textId="77777777" w:rsidR="00FB55B6" w:rsidRPr="00252203" w:rsidRDefault="00FB55B6" w:rsidP="007F40A6">
            <w:pPr>
              <w:spacing w:after="0" w:line="360" w:lineRule="auto"/>
              <w:jc w:val="center"/>
              <w:rPr>
                <w:rFonts w:ascii="GHEA Grapalat" w:hAnsi="GHEA Grapalat"/>
                <w:sz w:val="24"/>
                <w:szCs w:val="24"/>
              </w:rPr>
            </w:pPr>
          </w:p>
        </w:tc>
        <w:tc>
          <w:tcPr>
            <w:tcW w:w="4751" w:type="pct"/>
          </w:tcPr>
          <w:p w14:paraId="3E404299" w14:textId="77777777" w:rsidR="00FB55B6" w:rsidRPr="001E109C" w:rsidRDefault="00FB55B6" w:rsidP="007F40A6">
            <w:pPr>
              <w:spacing w:after="0" w:line="360" w:lineRule="auto"/>
              <w:jc w:val="both"/>
              <w:rPr>
                <w:rFonts w:ascii="GHEA Grapalat" w:hAnsi="GHEA Grapalat"/>
                <w:b/>
                <w:sz w:val="24"/>
                <w:szCs w:val="24"/>
              </w:rPr>
            </w:pPr>
            <w:r w:rsidRPr="001E109C">
              <w:rPr>
                <w:rFonts w:ascii="GHEA Grapalat" w:hAnsi="GHEA Grapalat"/>
                <w:b/>
                <w:sz w:val="24"/>
                <w:szCs w:val="24"/>
              </w:rPr>
              <w:t xml:space="preserve">Տեղեկատվություն լրացուցիչ ֆինանսական միջոցների անհրաժեշտության, </w:t>
            </w:r>
            <w:r w:rsidRPr="001E109C">
              <w:rPr>
                <w:rFonts w:ascii="GHEA Grapalat" w:hAnsi="GHEA Grapalat"/>
                <w:b/>
                <w:sz w:val="24"/>
                <w:szCs w:val="24"/>
                <w:lang w:val="hy-AM"/>
              </w:rPr>
              <w:t>պետական բյուջեում եկամուտներ</w:t>
            </w:r>
            <w:r w:rsidRPr="001E109C">
              <w:rPr>
                <w:rFonts w:ascii="GHEA Grapalat" w:hAnsi="GHEA Grapalat"/>
                <w:b/>
                <w:sz w:val="24"/>
                <w:szCs w:val="24"/>
              </w:rPr>
              <w:t>ում</w:t>
            </w:r>
            <w:r w:rsidRPr="001E109C">
              <w:rPr>
                <w:rFonts w:ascii="GHEA Grapalat" w:hAnsi="GHEA Grapalat"/>
                <w:b/>
                <w:sz w:val="24"/>
                <w:szCs w:val="24"/>
                <w:lang w:val="hy-AM"/>
              </w:rPr>
              <w:t xml:space="preserve"> և ծախսեր</w:t>
            </w:r>
            <w:r w:rsidRPr="001E109C">
              <w:rPr>
                <w:rFonts w:ascii="GHEA Grapalat" w:hAnsi="GHEA Grapalat"/>
                <w:b/>
                <w:sz w:val="24"/>
                <w:szCs w:val="24"/>
              </w:rPr>
              <w:t>ում</w:t>
            </w:r>
            <w:r w:rsidRPr="001E109C">
              <w:rPr>
                <w:rFonts w:ascii="GHEA Grapalat" w:hAnsi="GHEA Grapalat"/>
                <w:b/>
                <w:sz w:val="24"/>
                <w:szCs w:val="24"/>
                <w:lang w:val="hy-AM"/>
              </w:rPr>
              <w:t xml:space="preserve"> </w:t>
            </w:r>
            <w:r w:rsidRPr="001E109C">
              <w:rPr>
                <w:rFonts w:ascii="GHEA Grapalat" w:hAnsi="GHEA Grapalat"/>
                <w:b/>
                <w:sz w:val="24"/>
                <w:szCs w:val="24"/>
              </w:rPr>
              <w:t>սպասվելիք փոփոխությունների մասին</w:t>
            </w:r>
          </w:p>
        </w:tc>
      </w:tr>
      <w:tr w:rsidR="00FB55B6" w:rsidRPr="00252203" w14:paraId="6AE95751" w14:textId="77777777" w:rsidTr="001923AF">
        <w:tc>
          <w:tcPr>
            <w:tcW w:w="249" w:type="pct"/>
          </w:tcPr>
          <w:p w14:paraId="536CF995" w14:textId="77777777" w:rsidR="00FB55B6" w:rsidRPr="00252203" w:rsidRDefault="00FB55B6" w:rsidP="007F40A6">
            <w:pPr>
              <w:spacing w:after="0" w:line="360" w:lineRule="auto"/>
              <w:rPr>
                <w:rFonts w:ascii="GHEA Grapalat" w:hAnsi="GHEA Grapalat"/>
                <w:sz w:val="24"/>
                <w:szCs w:val="24"/>
              </w:rPr>
            </w:pPr>
          </w:p>
        </w:tc>
        <w:tc>
          <w:tcPr>
            <w:tcW w:w="4751" w:type="pct"/>
          </w:tcPr>
          <w:p w14:paraId="16AFA212" w14:textId="0C39EDAC" w:rsidR="00FB55B6" w:rsidRPr="001E109C" w:rsidRDefault="00CF1E54" w:rsidP="007F40A6">
            <w:pPr>
              <w:tabs>
                <w:tab w:val="left" w:pos="567"/>
              </w:tabs>
              <w:spacing w:after="0" w:line="360" w:lineRule="auto"/>
              <w:jc w:val="both"/>
              <w:rPr>
                <w:rFonts w:ascii="GHEA Grapalat" w:hAnsi="GHEA Grapalat"/>
                <w:sz w:val="24"/>
                <w:szCs w:val="24"/>
                <w:lang w:val="af-ZA"/>
              </w:rPr>
            </w:pPr>
            <w:r>
              <w:rPr>
                <w:rFonts w:ascii="GHEA Grapalat" w:hAnsi="GHEA Grapalat"/>
                <w:sz w:val="24"/>
                <w:szCs w:val="24"/>
                <w:lang w:val="ru-RU"/>
              </w:rPr>
              <w:t>Ո</w:t>
            </w:r>
            <w:r w:rsidR="00FB55B6" w:rsidRPr="001E109C">
              <w:rPr>
                <w:rFonts w:ascii="GHEA Grapalat" w:hAnsi="GHEA Grapalat"/>
                <w:sz w:val="24"/>
                <w:szCs w:val="24"/>
                <w:lang w:val="hy-AM"/>
              </w:rPr>
              <w:t xml:space="preserve">րոշման նախագծի </w:t>
            </w:r>
            <w:r w:rsidR="00FB55B6" w:rsidRPr="001E109C">
              <w:rPr>
                <w:rFonts w:ascii="GHEA Grapalat" w:hAnsi="GHEA Grapalat" w:cs="Sylfaen"/>
                <w:sz w:val="24"/>
                <w:szCs w:val="24"/>
                <w:lang w:val="hy-AM"/>
              </w:rPr>
              <w:t>ընդունմա</w:t>
            </w:r>
            <w:r w:rsidR="00FB55B6" w:rsidRPr="001E109C">
              <w:rPr>
                <w:rFonts w:ascii="GHEA Grapalat" w:hAnsi="GHEA Grapalat" w:cs="Sylfaen"/>
                <w:sz w:val="24"/>
                <w:szCs w:val="24"/>
              </w:rPr>
              <w:t xml:space="preserve">մբ </w:t>
            </w:r>
            <w:r w:rsidR="00FB55B6" w:rsidRPr="001E109C">
              <w:rPr>
                <w:rFonts w:ascii="GHEA Grapalat" w:hAnsi="GHEA Grapalat" w:cs="Sylfaen"/>
                <w:sz w:val="24"/>
                <w:szCs w:val="24"/>
                <w:lang w:val="hy-AM"/>
              </w:rPr>
              <w:t>եկամուտների</w:t>
            </w:r>
            <w:r w:rsidR="00FB55B6" w:rsidRPr="001E109C">
              <w:rPr>
                <w:rFonts w:ascii="GHEA Grapalat" w:hAnsi="GHEA Grapalat" w:cs="Sylfaen"/>
                <w:sz w:val="24"/>
                <w:szCs w:val="24"/>
                <w:lang w:val="af-ZA"/>
              </w:rPr>
              <w:t xml:space="preserve"> </w:t>
            </w:r>
            <w:r w:rsidR="00FB55B6" w:rsidRPr="001E109C">
              <w:rPr>
                <w:rFonts w:ascii="GHEA Grapalat" w:hAnsi="GHEA Grapalat" w:cs="Sylfaen"/>
                <w:sz w:val="24"/>
                <w:szCs w:val="24"/>
                <w:lang w:val="hy-AM"/>
              </w:rPr>
              <w:t>և ծախսերի ավելացում</w:t>
            </w:r>
            <w:r w:rsidR="00FB55B6" w:rsidRPr="001E109C">
              <w:rPr>
                <w:rFonts w:ascii="GHEA Grapalat" w:hAnsi="GHEA Grapalat" w:cs="Sylfaen"/>
                <w:sz w:val="24"/>
                <w:szCs w:val="24"/>
                <w:lang w:val="af-ZA"/>
              </w:rPr>
              <w:t xml:space="preserve"> </w:t>
            </w:r>
            <w:r w:rsidR="00FB55B6" w:rsidRPr="001E109C">
              <w:rPr>
                <w:rFonts w:ascii="GHEA Grapalat" w:hAnsi="GHEA Grapalat" w:cs="Sylfaen"/>
                <w:sz w:val="24"/>
                <w:szCs w:val="24"/>
                <w:lang w:val="hy-AM"/>
              </w:rPr>
              <w:t>կամ</w:t>
            </w:r>
            <w:r w:rsidR="00FB55B6" w:rsidRPr="001E109C">
              <w:rPr>
                <w:rFonts w:ascii="GHEA Grapalat" w:hAnsi="GHEA Grapalat" w:cs="Sylfaen"/>
                <w:sz w:val="24"/>
                <w:szCs w:val="24"/>
                <w:lang w:val="af-ZA"/>
              </w:rPr>
              <w:t xml:space="preserve"> </w:t>
            </w:r>
            <w:r w:rsidR="00FB55B6" w:rsidRPr="001E109C">
              <w:rPr>
                <w:rFonts w:ascii="GHEA Grapalat" w:hAnsi="GHEA Grapalat" w:cs="Sylfaen"/>
                <w:sz w:val="24"/>
                <w:szCs w:val="24"/>
                <w:lang w:val="hy-AM"/>
              </w:rPr>
              <w:t>նվազեցում</w:t>
            </w:r>
            <w:r w:rsidR="00FB55B6" w:rsidRPr="001E109C">
              <w:rPr>
                <w:rFonts w:ascii="GHEA Grapalat" w:hAnsi="GHEA Grapalat" w:cs="Sylfaen"/>
                <w:sz w:val="24"/>
                <w:szCs w:val="24"/>
                <w:lang w:val="af-ZA"/>
              </w:rPr>
              <w:t xml:space="preserve"> </w:t>
            </w:r>
            <w:r w:rsidR="00801763" w:rsidRPr="001E109C">
              <w:rPr>
                <w:rFonts w:ascii="GHEA Grapalat" w:hAnsi="GHEA Grapalat" w:cs="Sylfaen"/>
                <w:sz w:val="24"/>
                <w:szCs w:val="24"/>
                <w:lang w:val="hy-AM"/>
              </w:rPr>
              <w:t>պետական</w:t>
            </w:r>
            <w:r w:rsidR="00801763" w:rsidRPr="001E109C">
              <w:rPr>
                <w:rFonts w:ascii="GHEA Grapalat" w:hAnsi="GHEA Grapalat" w:cs="Sylfaen"/>
                <w:sz w:val="24"/>
                <w:szCs w:val="24"/>
                <w:lang w:val="af-ZA"/>
              </w:rPr>
              <w:t xml:space="preserve"> </w:t>
            </w:r>
            <w:r w:rsidR="00801763" w:rsidRPr="001E109C">
              <w:rPr>
                <w:rFonts w:ascii="GHEA Grapalat" w:hAnsi="GHEA Grapalat" w:cs="Sylfaen"/>
                <w:sz w:val="24"/>
                <w:szCs w:val="24"/>
                <w:lang w:val="hy-AM"/>
              </w:rPr>
              <w:t>բյուջեում</w:t>
            </w:r>
            <w:r w:rsidR="00291782">
              <w:rPr>
                <w:rFonts w:ascii="GHEA Grapalat" w:hAnsi="GHEA Grapalat" w:cs="Sylfaen"/>
                <w:sz w:val="24"/>
                <w:szCs w:val="24"/>
                <w:lang w:val="hy-AM"/>
              </w:rPr>
              <w:t xml:space="preserve"> չի նախատեսվում</w:t>
            </w:r>
            <w:r w:rsidR="00FB55B6" w:rsidRPr="001E109C">
              <w:rPr>
                <w:rFonts w:ascii="GHEA Grapalat" w:hAnsi="GHEA Grapalat" w:cs="Sylfaen"/>
                <w:sz w:val="24"/>
                <w:szCs w:val="24"/>
                <w:lang w:val="af-ZA"/>
              </w:rPr>
              <w:t>:</w:t>
            </w:r>
          </w:p>
        </w:tc>
      </w:tr>
      <w:tr w:rsidR="00FB55B6" w:rsidRPr="000B5823" w14:paraId="1BC2EA9D" w14:textId="77777777" w:rsidTr="001923AF">
        <w:tc>
          <w:tcPr>
            <w:tcW w:w="249" w:type="pct"/>
          </w:tcPr>
          <w:p w14:paraId="14C7A2E8" w14:textId="77777777" w:rsidR="00FB55B6" w:rsidRPr="00252203" w:rsidRDefault="00FB55B6" w:rsidP="007F40A6">
            <w:pPr>
              <w:spacing w:after="0" w:line="360" w:lineRule="auto"/>
              <w:rPr>
                <w:rFonts w:ascii="GHEA Grapalat" w:hAnsi="GHEA Grapalat"/>
                <w:sz w:val="24"/>
                <w:szCs w:val="24"/>
                <w:lang w:val="hy-AM"/>
              </w:rPr>
            </w:pPr>
          </w:p>
        </w:tc>
        <w:tc>
          <w:tcPr>
            <w:tcW w:w="4751" w:type="pct"/>
          </w:tcPr>
          <w:p w14:paraId="3761B780" w14:textId="5EEE7D6A" w:rsidR="00F43DD1" w:rsidRPr="001E109C" w:rsidRDefault="00FB55B6" w:rsidP="007F40A6">
            <w:pPr>
              <w:spacing w:after="0" w:line="360" w:lineRule="auto"/>
              <w:rPr>
                <w:rFonts w:ascii="GHEA Grapalat" w:hAnsi="GHEA Grapalat"/>
                <w:sz w:val="24"/>
                <w:szCs w:val="24"/>
                <w:lang w:val="hy-AM"/>
              </w:rPr>
            </w:pPr>
            <w:r w:rsidRPr="001E109C">
              <w:rPr>
                <w:rFonts w:ascii="GHEA Grapalat" w:hAnsi="GHEA Grapalat" w:cs="Sylfaen"/>
                <w:b/>
                <w:sz w:val="24"/>
                <w:szCs w:val="24"/>
                <w:lang w:val="hy-AM"/>
              </w:rPr>
              <w:t>Նախագծի կապը ռազմավարական փաստաթղթերի հետ</w:t>
            </w:r>
            <w:r w:rsidRPr="001E109C">
              <w:rPr>
                <w:rFonts w:ascii="GHEA Grapalat" w:hAnsi="GHEA Grapalat"/>
                <w:sz w:val="24"/>
                <w:szCs w:val="24"/>
                <w:lang w:val="hy-AM"/>
              </w:rPr>
              <w:t xml:space="preserve"> </w:t>
            </w:r>
          </w:p>
          <w:p w14:paraId="49C16816" w14:textId="60C8A6BF" w:rsidR="00FB55B6" w:rsidRPr="00726E12" w:rsidRDefault="00F43DD1" w:rsidP="007F40A6">
            <w:pPr>
              <w:spacing w:after="0" w:line="360" w:lineRule="auto"/>
              <w:jc w:val="both"/>
              <w:rPr>
                <w:rFonts w:ascii="GHEA Grapalat" w:hAnsi="GHEA Grapalat" w:cs="Sylfaen"/>
                <w:sz w:val="24"/>
                <w:szCs w:val="24"/>
                <w:lang w:val="hy-AM"/>
              </w:rPr>
            </w:pPr>
            <w:r w:rsidRPr="00726E12">
              <w:rPr>
                <w:rFonts w:ascii="GHEA Grapalat" w:hAnsi="GHEA Grapalat"/>
                <w:sz w:val="24"/>
                <w:szCs w:val="24"/>
                <w:lang w:val="hy-AM"/>
              </w:rPr>
              <w:t>ՀՀ կառավարության սույն որոշման նախագիծը առնչվում</w:t>
            </w:r>
            <w:r w:rsidR="00CF1E54" w:rsidRPr="00726E12">
              <w:rPr>
                <w:rFonts w:ascii="GHEA Grapalat" w:hAnsi="GHEA Grapalat"/>
                <w:sz w:val="24"/>
                <w:szCs w:val="24"/>
                <w:lang w:val="hy-AM"/>
              </w:rPr>
              <w:t xml:space="preserve"> է</w:t>
            </w:r>
            <w:r w:rsidRPr="00726E12">
              <w:rPr>
                <w:rFonts w:ascii="GHEA Grapalat" w:hAnsi="GHEA Grapalat"/>
                <w:sz w:val="24"/>
                <w:szCs w:val="24"/>
                <w:lang w:val="hy-AM"/>
              </w:rPr>
              <w:t xml:space="preserve"> ՀՀ կառավարության</w:t>
            </w:r>
            <w:r w:rsidR="00311D43">
              <w:rPr>
                <w:rFonts w:ascii="GHEA Grapalat" w:hAnsi="GHEA Grapalat"/>
                <w:sz w:val="24"/>
                <w:szCs w:val="24"/>
                <w:lang w:val="hy-AM"/>
              </w:rPr>
              <w:t xml:space="preserve"> </w:t>
            </w:r>
            <w:r w:rsidRPr="00726E12">
              <w:rPr>
                <w:rFonts w:ascii="GHEA Grapalat" w:hAnsi="GHEA Grapalat"/>
                <w:sz w:val="24"/>
                <w:szCs w:val="24"/>
                <w:lang w:val="hy-AM"/>
              </w:rPr>
              <w:t>ռազմավարական փաստաթղթերի հիմնադրույթներին:</w:t>
            </w:r>
          </w:p>
        </w:tc>
      </w:tr>
      <w:tr w:rsidR="00FB55B6" w:rsidRPr="000B5823" w14:paraId="1F87D00B" w14:textId="77777777" w:rsidTr="001923AF">
        <w:tc>
          <w:tcPr>
            <w:tcW w:w="249" w:type="pct"/>
          </w:tcPr>
          <w:p w14:paraId="1FAF3B9D" w14:textId="77777777" w:rsidR="00FB55B6" w:rsidRPr="00252203" w:rsidRDefault="00FB55B6" w:rsidP="007F40A6">
            <w:pPr>
              <w:spacing w:after="0" w:line="360" w:lineRule="auto"/>
              <w:jc w:val="center"/>
              <w:rPr>
                <w:rFonts w:ascii="GHEA Grapalat" w:hAnsi="GHEA Grapalat"/>
                <w:sz w:val="24"/>
                <w:szCs w:val="24"/>
                <w:lang w:val="hy-AM"/>
              </w:rPr>
            </w:pPr>
          </w:p>
        </w:tc>
        <w:tc>
          <w:tcPr>
            <w:tcW w:w="4751" w:type="pct"/>
          </w:tcPr>
          <w:p w14:paraId="208EC0D1" w14:textId="2D88A564" w:rsidR="00FB55B6" w:rsidRPr="001E109C" w:rsidRDefault="00FB55B6" w:rsidP="007F40A6">
            <w:pPr>
              <w:spacing w:after="0" w:line="360" w:lineRule="auto"/>
              <w:jc w:val="both"/>
              <w:rPr>
                <w:rFonts w:ascii="GHEA Grapalat" w:hAnsi="GHEA Grapalat" w:cs="Sylfaen"/>
                <w:b/>
                <w:sz w:val="24"/>
                <w:szCs w:val="24"/>
                <w:lang w:val="hy-AM"/>
              </w:rPr>
            </w:pPr>
            <w:r w:rsidRPr="001E109C">
              <w:rPr>
                <w:rFonts w:ascii="GHEA Grapalat" w:hAnsi="GHEA Grapalat"/>
                <w:sz w:val="24"/>
                <w:szCs w:val="24"/>
                <w:lang w:val="hy-AM"/>
              </w:rPr>
              <w:t>Հայաստանի Հանրապետության կառավարության որոշման նախագիծը բխում</w:t>
            </w:r>
            <w:r w:rsidR="00CF1E54" w:rsidRPr="00CF1E54">
              <w:rPr>
                <w:rFonts w:ascii="GHEA Grapalat" w:hAnsi="GHEA Grapalat"/>
                <w:sz w:val="24"/>
                <w:szCs w:val="24"/>
                <w:lang w:val="hy-AM"/>
              </w:rPr>
              <w:t xml:space="preserve"> է</w:t>
            </w:r>
            <w:r w:rsidRPr="001E109C">
              <w:rPr>
                <w:rFonts w:ascii="GHEA Grapalat" w:hAnsi="GHEA Grapalat"/>
                <w:sz w:val="24"/>
                <w:szCs w:val="24"/>
                <w:lang w:val="hy-AM"/>
              </w:rPr>
              <w:t xml:space="preserve"> </w:t>
            </w:r>
            <w:r w:rsidRPr="001E109C">
              <w:rPr>
                <w:rFonts w:ascii="GHEA Grapalat" w:eastAsia="Times New Roman" w:hAnsi="GHEA Grapalat" w:cs="Sylfaen"/>
                <w:bCs/>
                <w:sz w:val="24"/>
                <w:szCs w:val="24"/>
                <w:lang w:val="hy-AM" w:eastAsia="ru-RU"/>
              </w:rPr>
              <w:t>Հայաստանի Հանրապետության էներգետիկայի բնագավառի զարգացման ռազմավարական ծրագ</w:t>
            </w:r>
            <w:r w:rsidR="00CF1E54" w:rsidRPr="00CF1E54">
              <w:rPr>
                <w:rFonts w:ascii="GHEA Grapalat" w:eastAsia="Times New Roman" w:hAnsi="GHEA Grapalat" w:cs="Sylfaen"/>
                <w:bCs/>
                <w:sz w:val="24"/>
                <w:szCs w:val="24"/>
                <w:lang w:val="hy-AM" w:eastAsia="ru-RU"/>
              </w:rPr>
              <w:t>իր</w:t>
            </w:r>
            <w:r w:rsidRPr="001E109C">
              <w:rPr>
                <w:rFonts w:ascii="GHEA Grapalat" w:eastAsia="Times New Roman" w:hAnsi="GHEA Grapalat" w:cs="Sylfaen"/>
                <w:bCs/>
                <w:sz w:val="24"/>
                <w:szCs w:val="24"/>
                <w:lang w:val="hy-AM" w:eastAsia="ru-RU"/>
              </w:rPr>
              <w:t xml:space="preserve"> մինչև 2040 թվականը փաստաթ</w:t>
            </w:r>
            <w:r w:rsidR="00CF1E54">
              <w:rPr>
                <w:rFonts w:ascii="GHEA Grapalat" w:eastAsia="Times New Roman" w:hAnsi="GHEA Grapalat" w:cs="Sylfaen"/>
                <w:bCs/>
                <w:sz w:val="24"/>
                <w:szCs w:val="24"/>
                <w:lang w:val="hy-AM" w:eastAsia="ru-RU"/>
              </w:rPr>
              <w:t>ղթ</w:t>
            </w:r>
            <w:r w:rsidRPr="001E109C">
              <w:rPr>
                <w:rFonts w:ascii="GHEA Grapalat" w:eastAsia="Times New Roman" w:hAnsi="GHEA Grapalat" w:cs="Sylfaen"/>
                <w:bCs/>
                <w:sz w:val="24"/>
                <w:szCs w:val="24"/>
                <w:lang w:val="hy-AM" w:eastAsia="ru-RU"/>
              </w:rPr>
              <w:t>ից:</w:t>
            </w:r>
          </w:p>
        </w:tc>
      </w:tr>
    </w:tbl>
    <w:p w14:paraId="3D4BA2B3" w14:textId="62460B67" w:rsidR="00C01A99" w:rsidRPr="00252203" w:rsidRDefault="00C01A99" w:rsidP="007F40A6">
      <w:pPr>
        <w:tabs>
          <w:tab w:val="left" w:pos="2898"/>
        </w:tabs>
        <w:spacing w:after="0" w:line="360" w:lineRule="auto"/>
        <w:rPr>
          <w:rFonts w:ascii="GHEA Grapalat" w:hAnsi="GHEA Grapalat"/>
          <w:sz w:val="24"/>
          <w:szCs w:val="24"/>
          <w:lang w:val="hy-AM"/>
        </w:rPr>
      </w:pPr>
    </w:p>
    <w:sectPr w:rsidR="00C01A99" w:rsidRPr="00252203" w:rsidSect="007F40A6">
      <w:pgSz w:w="11906" w:h="16838"/>
      <w:pgMar w:top="72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ACD6" w14:textId="77777777" w:rsidR="003A0221" w:rsidRDefault="003A0221" w:rsidP="00983F85">
      <w:pPr>
        <w:spacing w:after="0" w:line="240" w:lineRule="auto"/>
      </w:pPr>
      <w:r>
        <w:separator/>
      </w:r>
    </w:p>
  </w:endnote>
  <w:endnote w:type="continuationSeparator" w:id="0">
    <w:p w14:paraId="69694C58" w14:textId="77777777" w:rsidR="003A0221" w:rsidRDefault="003A0221" w:rsidP="009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FAAB" w14:textId="77777777" w:rsidR="003A0221" w:rsidRDefault="003A0221" w:rsidP="00983F85">
      <w:pPr>
        <w:spacing w:after="0" w:line="240" w:lineRule="auto"/>
      </w:pPr>
      <w:r>
        <w:separator/>
      </w:r>
    </w:p>
  </w:footnote>
  <w:footnote w:type="continuationSeparator" w:id="0">
    <w:p w14:paraId="4373D67C" w14:textId="77777777" w:rsidR="003A0221" w:rsidRDefault="003A0221" w:rsidP="0098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BDF"/>
    <w:multiLevelType w:val="multilevel"/>
    <w:tmpl w:val="9432D21A"/>
    <w:lvl w:ilvl="0">
      <w:start w:val="1"/>
      <w:numFmt w:val="decimal"/>
      <w:lvlText w:val="%1."/>
      <w:lvlJc w:val="left"/>
      <w:pPr>
        <w:ind w:left="1778" w:hanging="360"/>
      </w:pPr>
    </w:lvl>
    <w:lvl w:ilvl="1">
      <w:start w:val="1"/>
      <w:numFmt w:val="lowerLetter"/>
      <w:lvlText w:val="%2)"/>
      <w:lvlJc w:val="left"/>
      <w:pPr>
        <w:ind w:left="2988" w:hanging="360"/>
      </w:pPr>
    </w:lvl>
    <w:lvl w:ilvl="2">
      <w:start w:val="1"/>
      <w:numFmt w:val="lowerRoman"/>
      <w:lvlText w:val="%3)"/>
      <w:lvlJc w:val="left"/>
      <w:pPr>
        <w:ind w:left="3348" w:hanging="360"/>
      </w:p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 w15:restartNumberingAfterBreak="0">
    <w:nsid w:val="40F37B90"/>
    <w:multiLevelType w:val="hybridMultilevel"/>
    <w:tmpl w:val="05504392"/>
    <w:lvl w:ilvl="0" w:tplc="0419000D">
      <w:start w:val="1"/>
      <w:numFmt w:val="bullet"/>
      <w:lvlText w:val=""/>
      <w:lvlJc w:val="left"/>
      <w:pPr>
        <w:tabs>
          <w:tab w:val="num" w:pos="720"/>
        </w:tabs>
        <w:ind w:left="720" w:hanging="360"/>
      </w:pPr>
      <w:rPr>
        <w:rFonts w:ascii="Wingdings" w:hAnsi="Wingdings" w:hint="default"/>
      </w:rPr>
    </w:lvl>
    <w:lvl w:ilvl="1" w:tplc="549EA454" w:tentative="1">
      <w:start w:val="1"/>
      <w:numFmt w:val="bullet"/>
      <w:lvlText w:val="•"/>
      <w:lvlJc w:val="left"/>
      <w:pPr>
        <w:tabs>
          <w:tab w:val="num" w:pos="1440"/>
        </w:tabs>
        <w:ind w:left="1440" w:hanging="360"/>
      </w:pPr>
      <w:rPr>
        <w:rFonts w:ascii="Arial" w:hAnsi="Arial" w:hint="default"/>
      </w:rPr>
    </w:lvl>
    <w:lvl w:ilvl="2" w:tplc="B622C008" w:tentative="1">
      <w:start w:val="1"/>
      <w:numFmt w:val="bullet"/>
      <w:lvlText w:val="•"/>
      <w:lvlJc w:val="left"/>
      <w:pPr>
        <w:tabs>
          <w:tab w:val="num" w:pos="2160"/>
        </w:tabs>
        <w:ind w:left="2160" w:hanging="360"/>
      </w:pPr>
      <w:rPr>
        <w:rFonts w:ascii="Arial" w:hAnsi="Arial" w:hint="default"/>
      </w:rPr>
    </w:lvl>
    <w:lvl w:ilvl="3" w:tplc="A4BE86BE" w:tentative="1">
      <w:start w:val="1"/>
      <w:numFmt w:val="bullet"/>
      <w:lvlText w:val="•"/>
      <w:lvlJc w:val="left"/>
      <w:pPr>
        <w:tabs>
          <w:tab w:val="num" w:pos="2880"/>
        </w:tabs>
        <w:ind w:left="2880" w:hanging="360"/>
      </w:pPr>
      <w:rPr>
        <w:rFonts w:ascii="Arial" w:hAnsi="Arial" w:hint="default"/>
      </w:rPr>
    </w:lvl>
    <w:lvl w:ilvl="4" w:tplc="B59008C2" w:tentative="1">
      <w:start w:val="1"/>
      <w:numFmt w:val="bullet"/>
      <w:lvlText w:val="•"/>
      <w:lvlJc w:val="left"/>
      <w:pPr>
        <w:tabs>
          <w:tab w:val="num" w:pos="3600"/>
        </w:tabs>
        <w:ind w:left="3600" w:hanging="360"/>
      </w:pPr>
      <w:rPr>
        <w:rFonts w:ascii="Arial" w:hAnsi="Arial" w:hint="default"/>
      </w:rPr>
    </w:lvl>
    <w:lvl w:ilvl="5" w:tplc="62887444" w:tentative="1">
      <w:start w:val="1"/>
      <w:numFmt w:val="bullet"/>
      <w:lvlText w:val="•"/>
      <w:lvlJc w:val="left"/>
      <w:pPr>
        <w:tabs>
          <w:tab w:val="num" w:pos="4320"/>
        </w:tabs>
        <w:ind w:left="4320" w:hanging="360"/>
      </w:pPr>
      <w:rPr>
        <w:rFonts w:ascii="Arial" w:hAnsi="Arial" w:hint="default"/>
      </w:rPr>
    </w:lvl>
    <w:lvl w:ilvl="6" w:tplc="D55E1168" w:tentative="1">
      <w:start w:val="1"/>
      <w:numFmt w:val="bullet"/>
      <w:lvlText w:val="•"/>
      <w:lvlJc w:val="left"/>
      <w:pPr>
        <w:tabs>
          <w:tab w:val="num" w:pos="5040"/>
        </w:tabs>
        <w:ind w:left="5040" w:hanging="360"/>
      </w:pPr>
      <w:rPr>
        <w:rFonts w:ascii="Arial" w:hAnsi="Arial" w:hint="default"/>
      </w:rPr>
    </w:lvl>
    <w:lvl w:ilvl="7" w:tplc="FF6EEB14" w:tentative="1">
      <w:start w:val="1"/>
      <w:numFmt w:val="bullet"/>
      <w:lvlText w:val="•"/>
      <w:lvlJc w:val="left"/>
      <w:pPr>
        <w:tabs>
          <w:tab w:val="num" w:pos="5760"/>
        </w:tabs>
        <w:ind w:left="5760" w:hanging="360"/>
      </w:pPr>
      <w:rPr>
        <w:rFonts w:ascii="Arial" w:hAnsi="Arial" w:hint="default"/>
      </w:rPr>
    </w:lvl>
    <w:lvl w:ilvl="8" w:tplc="F2A66E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D6B5E"/>
    <w:multiLevelType w:val="hybridMultilevel"/>
    <w:tmpl w:val="828A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31035"/>
    <w:multiLevelType w:val="hybridMultilevel"/>
    <w:tmpl w:val="F1DE9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80505C"/>
    <w:multiLevelType w:val="hybridMultilevel"/>
    <w:tmpl w:val="31587D8A"/>
    <w:lvl w:ilvl="0" w:tplc="EB18934C">
      <w:start w:val="3"/>
      <w:numFmt w:val="bullet"/>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6E004180"/>
    <w:multiLevelType w:val="hybridMultilevel"/>
    <w:tmpl w:val="CA9C7992"/>
    <w:lvl w:ilvl="0" w:tplc="33BC20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F"/>
    <w:rsid w:val="000009B1"/>
    <w:rsid w:val="00025335"/>
    <w:rsid w:val="00031A3D"/>
    <w:rsid w:val="0004056D"/>
    <w:rsid w:val="00051205"/>
    <w:rsid w:val="0006229A"/>
    <w:rsid w:val="000648B8"/>
    <w:rsid w:val="00071AB7"/>
    <w:rsid w:val="00076E28"/>
    <w:rsid w:val="00077A73"/>
    <w:rsid w:val="00081B24"/>
    <w:rsid w:val="00083436"/>
    <w:rsid w:val="0008725F"/>
    <w:rsid w:val="00091425"/>
    <w:rsid w:val="000914AE"/>
    <w:rsid w:val="00091957"/>
    <w:rsid w:val="00095528"/>
    <w:rsid w:val="000B5823"/>
    <w:rsid w:val="000C2765"/>
    <w:rsid w:val="000C4B44"/>
    <w:rsid w:val="000C4C84"/>
    <w:rsid w:val="000C4C88"/>
    <w:rsid w:val="000D37F2"/>
    <w:rsid w:val="000D3D91"/>
    <w:rsid w:val="000D60CE"/>
    <w:rsid w:val="000E18A5"/>
    <w:rsid w:val="000E4ABC"/>
    <w:rsid w:val="0010615A"/>
    <w:rsid w:val="00120289"/>
    <w:rsid w:val="00132CAF"/>
    <w:rsid w:val="0014426C"/>
    <w:rsid w:val="00144947"/>
    <w:rsid w:val="00147819"/>
    <w:rsid w:val="00160929"/>
    <w:rsid w:val="00162FFA"/>
    <w:rsid w:val="001744DC"/>
    <w:rsid w:val="001923AF"/>
    <w:rsid w:val="00195C64"/>
    <w:rsid w:val="00196FFD"/>
    <w:rsid w:val="001B6737"/>
    <w:rsid w:val="001B7B84"/>
    <w:rsid w:val="001C09F4"/>
    <w:rsid w:val="001D70C4"/>
    <w:rsid w:val="001E109C"/>
    <w:rsid w:val="001E1108"/>
    <w:rsid w:val="001F40B5"/>
    <w:rsid w:val="001F43D4"/>
    <w:rsid w:val="001F485D"/>
    <w:rsid w:val="00204C6A"/>
    <w:rsid w:val="00205C44"/>
    <w:rsid w:val="0020620D"/>
    <w:rsid w:val="0023138B"/>
    <w:rsid w:val="00232874"/>
    <w:rsid w:val="00234660"/>
    <w:rsid w:val="00235B85"/>
    <w:rsid w:val="0024582E"/>
    <w:rsid w:val="00252203"/>
    <w:rsid w:val="002620AF"/>
    <w:rsid w:val="002719E4"/>
    <w:rsid w:val="00273E4D"/>
    <w:rsid w:val="00274915"/>
    <w:rsid w:val="0027639B"/>
    <w:rsid w:val="0027644A"/>
    <w:rsid w:val="00285A48"/>
    <w:rsid w:val="00290CD4"/>
    <w:rsid w:val="00291782"/>
    <w:rsid w:val="002925A1"/>
    <w:rsid w:val="00292799"/>
    <w:rsid w:val="002953A2"/>
    <w:rsid w:val="002977E5"/>
    <w:rsid w:val="002A3BA8"/>
    <w:rsid w:val="002A5D11"/>
    <w:rsid w:val="002A7169"/>
    <w:rsid w:val="002B075B"/>
    <w:rsid w:val="002B5418"/>
    <w:rsid w:val="002B575A"/>
    <w:rsid w:val="002B6CE5"/>
    <w:rsid w:val="002C3886"/>
    <w:rsid w:val="002C4177"/>
    <w:rsid w:val="002C5689"/>
    <w:rsid w:val="002D5298"/>
    <w:rsid w:val="002D62E5"/>
    <w:rsid w:val="002E427D"/>
    <w:rsid w:val="002F2BA7"/>
    <w:rsid w:val="002F6E86"/>
    <w:rsid w:val="002F722C"/>
    <w:rsid w:val="002F7BC1"/>
    <w:rsid w:val="00311D43"/>
    <w:rsid w:val="0031388C"/>
    <w:rsid w:val="003229B5"/>
    <w:rsid w:val="00323134"/>
    <w:rsid w:val="0032344D"/>
    <w:rsid w:val="003274AC"/>
    <w:rsid w:val="003276A9"/>
    <w:rsid w:val="00331B8B"/>
    <w:rsid w:val="0034271B"/>
    <w:rsid w:val="00347AAD"/>
    <w:rsid w:val="003513E1"/>
    <w:rsid w:val="00351A41"/>
    <w:rsid w:val="00352D63"/>
    <w:rsid w:val="00361574"/>
    <w:rsid w:val="0036470D"/>
    <w:rsid w:val="00372F59"/>
    <w:rsid w:val="003813EF"/>
    <w:rsid w:val="00391366"/>
    <w:rsid w:val="00396BC4"/>
    <w:rsid w:val="003A0221"/>
    <w:rsid w:val="003A13DB"/>
    <w:rsid w:val="003A6A02"/>
    <w:rsid w:val="003B0E44"/>
    <w:rsid w:val="003B7B96"/>
    <w:rsid w:val="003C48B3"/>
    <w:rsid w:val="003C4FE4"/>
    <w:rsid w:val="003D3271"/>
    <w:rsid w:val="003D79F6"/>
    <w:rsid w:val="003E4A53"/>
    <w:rsid w:val="003E736C"/>
    <w:rsid w:val="003F52A0"/>
    <w:rsid w:val="004016BC"/>
    <w:rsid w:val="00401A44"/>
    <w:rsid w:val="004031D5"/>
    <w:rsid w:val="0040742F"/>
    <w:rsid w:val="00412E66"/>
    <w:rsid w:val="004224F6"/>
    <w:rsid w:val="00430D2B"/>
    <w:rsid w:val="00431FCF"/>
    <w:rsid w:val="00432723"/>
    <w:rsid w:val="00446473"/>
    <w:rsid w:val="0044669E"/>
    <w:rsid w:val="00452E9B"/>
    <w:rsid w:val="004551A1"/>
    <w:rsid w:val="0045785F"/>
    <w:rsid w:val="00473EFB"/>
    <w:rsid w:val="00482F9E"/>
    <w:rsid w:val="0048533B"/>
    <w:rsid w:val="004945D1"/>
    <w:rsid w:val="00494715"/>
    <w:rsid w:val="0049693F"/>
    <w:rsid w:val="00497025"/>
    <w:rsid w:val="004A326B"/>
    <w:rsid w:val="004A6698"/>
    <w:rsid w:val="004B4F9E"/>
    <w:rsid w:val="004B65E5"/>
    <w:rsid w:val="004D0B95"/>
    <w:rsid w:val="004E0E59"/>
    <w:rsid w:val="004E1878"/>
    <w:rsid w:val="004E27AE"/>
    <w:rsid w:val="004E5821"/>
    <w:rsid w:val="004E5CB6"/>
    <w:rsid w:val="004E60EA"/>
    <w:rsid w:val="004F33E5"/>
    <w:rsid w:val="004F4127"/>
    <w:rsid w:val="00500E87"/>
    <w:rsid w:val="005026FF"/>
    <w:rsid w:val="00503ABA"/>
    <w:rsid w:val="00513237"/>
    <w:rsid w:val="005366F0"/>
    <w:rsid w:val="00542905"/>
    <w:rsid w:val="00552856"/>
    <w:rsid w:val="005570CA"/>
    <w:rsid w:val="00564BBA"/>
    <w:rsid w:val="0056608C"/>
    <w:rsid w:val="00567588"/>
    <w:rsid w:val="00582EA3"/>
    <w:rsid w:val="00583204"/>
    <w:rsid w:val="005855F7"/>
    <w:rsid w:val="005A1CDA"/>
    <w:rsid w:val="005A282E"/>
    <w:rsid w:val="005A4919"/>
    <w:rsid w:val="005A7400"/>
    <w:rsid w:val="005A7F98"/>
    <w:rsid w:val="005B2635"/>
    <w:rsid w:val="005E7FCC"/>
    <w:rsid w:val="005F0D2C"/>
    <w:rsid w:val="00601111"/>
    <w:rsid w:val="00606367"/>
    <w:rsid w:val="00613A30"/>
    <w:rsid w:val="00615CC0"/>
    <w:rsid w:val="00632F68"/>
    <w:rsid w:val="00634C89"/>
    <w:rsid w:val="0063604B"/>
    <w:rsid w:val="006479F2"/>
    <w:rsid w:val="006510F7"/>
    <w:rsid w:val="00651EFC"/>
    <w:rsid w:val="00653E65"/>
    <w:rsid w:val="0065401A"/>
    <w:rsid w:val="006612E4"/>
    <w:rsid w:val="0066597B"/>
    <w:rsid w:val="00666EF9"/>
    <w:rsid w:val="00675B1E"/>
    <w:rsid w:val="00680B2D"/>
    <w:rsid w:val="0068495B"/>
    <w:rsid w:val="00684E17"/>
    <w:rsid w:val="00692D25"/>
    <w:rsid w:val="00693235"/>
    <w:rsid w:val="006A2FE1"/>
    <w:rsid w:val="006B2EDF"/>
    <w:rsid w:val="006C21F3"/>
    <w:rsid w:val="006D6740"/>
    <w:rsid w:val="006E72A0"/>
    <w:rsid w:val="006F1149"/>
    <w:rsid w:val="0070532A"/>
    <w:rsid w:val="00711A9C"/>
    <w:rsid w:val="00717382"/>
    <w:rsid w:val="00723DB0"/>
    <w:rsid w:val="00726E12"/>
    <w:rsid w:val="00727686"/>
    <w:rsid w:val="00732726"/>
    <w:rsid w:val="007351D9"/>
    <w:rsid w:val="0074587F"/>
    <w:rsid w:val="00750544"/>
    <w:rsid w:val="007527FA"/>
    <w:rsid w:val="00752C7F"/>
    <w:rsid w:val="00760040"/>
    <w:rsid w:val="00774D1D"/>
    <w:rsid w:val="0077507B"/>
    <w:rsid w:val="007755DB"/>
    <w:rsid w:val="00775EAC"/>
    <w:rsid w:val="0077700C"/>
    <w:rsid w:val="00780C5D"/>
    <w:rsid w:val="00785A2A"/>
    <w:rsid w:val="00791128"/>
    <w:rsid w:val="00792831"/>
    <w:rsid w:val="00796172"/>
    <w:rsid w:val="00796422"/>
    <w:rsid w:val="007969F9"/>
    <w:rsid w:val="007A1E84"/>
    <w:rsid w:val="007A288C"/>
    <w:rsid w:val="007A6ECB"/>
    <w:rsid w:val="007B49FB"/>
    <w:rsid w:val="007B63F8"/>
    <w:rsid w:val="007B7371"/>
    <w:rsid w:val="007B76CC"/>
    <w:rsid w:val="007C6C22"/>
    <w:rsid w:val="007D44A4"/>
    <w:rsid w:val="007D4672"/>
    <w:rsid w:val="007E0452"/>
    <w:rsid w:val="007E0BE6"/>
    <w:rsid w:val="007E443D"/>
    <w:rsid w:val="007E484B"/>
    <w:rsid w:val="007F40A6"/>
    <w:rsid w:val="007F42C2"/>
    <w:rsid w:val="00801763"/>
    <w:rsid w:val="008022CE"/>
    <w:rsid w:val="00813064"/>
    <w:rsid w:val="00815C9A"/>
    <w:rsid w:val="008239FE"/>
    <w:rsid w:val="00833FAE"/>
    <w:rsid w:val="00842510"/>
    <w:rsid w:val="00851505"/>
    <w:rsid w:val="008515B0"/>
    <w:rsid w:val="00853485"/>
    <w:rsid w:val="0085751F"/>
    <w:rsid w:val="008578B5"/>
    <w:rsid w:val="008626CF"/>
    <w:rsid w:val="008666E0"/>
    <w:rsid w:val="0087273D"/>
    <w:rsid w:val="00873EB2"/>
    <w:rsid w:val="0087623C"/>
    <w:rsid w:val="008829EC"/>
    <w:rsid w:val="00886877"/>
    <w:rsid w:val="00893F39"/>
    <w:rsid w:val="008A0E4E"/>
    <w:rsid w:val="008A1F46"/>
    <w:rsid w:val="008A3010"/>
    <w:rsid w:val="008B2362"/>
    <w:rsid w:val="008B4481"/>
    <w:rsid w:val="008B4D17"/>
    <w:rsid w:val="008B5158"/>
    <w:rsid w:val="008B557E"/>
    <w:rsid w:val="008E5B0E"/>
    <w:rsid w:val="008E7230"/>
    <w:rsid w:val="00902028"/>
    <w:rsid w:val="00902CA8"/>
    <w:rsid w:val="00906E48"/>
    <w:rsid w:val="00910525"/>
    <w:rsid w:val="00914B5F"/>
    <w:rsid w:val="00916D17"/>
    <w:rsid w:val="00921F3F"/>
    <w:rsid w:val="00923521"/>
    <w:rsid w:val="00926661"/>
    <w:rsid w:val="00930AB8"/>
    <w:rsid w:val="0093398E"/>
    <w:rsid w:val="009343F1"/>
    <w:rsid w:val="00940BEB"/>
    <w:rsid w:val="00943CC1"/>
    <w:rsid w:val="00944510"/>
    <w:rsid w:val="00957EDF"/>
    <w:rsid w:val="00960B35"/>
    <w:rsid w:val="00960C6A"/>
    <w:rsid w:val="00962491"/>
    <w:rsid w:val="00962F34"/>
    <w:rsid w:val="00967172"/>
    <w:rsid w:val="00977BF9"/>
    <w:rsid w:val="00982E43"/>
    <w:rsid w:val="00983F85"/>
    <w:rsid w:val="00992319"/>
    <w:rsid w:val="00992FBA"/>
    <w:rsid w:val="0099395A"/>
    <w:rsid w:val="00994BB7"/>
    <w:rsid w:val="009A302D"/>
    <w:rsid w:val="009A62F5"/>
    <w:rsid w:val="009B0BFC"/>
    <w:rsid w:val="009B4652"/>
    <w:rsid w:val="009B473B"/>
    <w:rsid w:val="009C0D56"/>
    <w:rsid w:val="009C3A02"/>
    <w:rsid w:val="009C47A8"/>
    <w:rsid w:val="009D4175"/>
    <w:rsid w:val="009D7603"/>
    <w:rsid w:val="009F5291"/>
    <w:rsid w:val="00A0447F"/>
    <w:rsid w:val="00A06FD7"/>
    <w:rsid w:val="00A26655"/>
    <w:rsid w:val="00A26D0F"/>
    <w:rsid w:val="00A4030F"/>
    <w:rsid w:val="00A4758C"/>
    <w:rsid w:val="00A53779"/>
    <w:rsid w:val="00A63C79"/>
    <w:rsid w:val="00A76D7A"/>
    <w:rsid w:val="00A80072"/>
    <w:rsid w:val="00A85ACC"/>
    <w:rsid w:val="00A92183"/>
    <w:rsid w:val="00AA57E4"/>
    <w:rsid w:val="00AA589E"/>
    <w:rsid w:val="00AA69CB"/>
    <w:rsid w:val="00AA7351"/>
    <w:rsid w:val="00AC7ADA"/>
    <w:rsid w:val="00AD0145"/>
    <w:rsid w:val="00AD0BCC"/>
    <w:rsid w:val="00AD4353"/>
    <w:rsid w:val="00AE14FC"/>
    <w:rsid w:val="00AE2FA0"/>
    <w:rsid w:val="00AE31DF"/>
    <w:rsid w:val="00AE7A85"/>
    <w:rsid w:val="00AF6B17"/>
    <w:rsid w:val="00AF6C4D"/>
    <w:rsid w:val="00AF7E19"/>
    <w:rsid w:val="00B12638"/>
    <w:rsid w:val="00B13C02"/>
    <w:rsid w:val="00B16A48"/>
    <w:rsid w:val="00B23CED"/>
    <w:rsid w:val="00B301C5"/>
    <w:rsid w:val="00B307D0"/>
    <w:rsid w:val="00B310E1"/>
    <w:rsid w:val="00B313D3"/>
    <w:rsid w:val="00B41310"/>
    <w:rsid w:val="00B51928"/>
    <w:rsid w:val="00B546CB"/>
    <w:rsid w:val="00B62AA1"/>
    <w:rsid w:val="00B71E46"/>
    <w:rsid w:val="00B80692"/>
    <w:rsid w:val="00B814DF"/>
    <w:rsid w:val="00B82FF2"/>
    <w:rsid w:val="00B84210"/>
    <w:rsid w:val="00B853FF"/>
    <w:rsid w:val="00B86086"/>
    <w:rsid w:val="00B87AD5"/>
    <w:rsid w:val="00BA0065"/>
    <w:rsid w:val="00BA336D"/>
    <w:rsid w:val="00BA72CB"/>
    <w:rsid w:val="00BB0342"/>
    <w:rsid w:val="00BB09EC"/>
    <w:rsid w:val="00BB5FE6"/>
    <w:rsid w:val="00BB76BA"/>
    <w:rsid w:val="00BC170A"/>
    <w:rsid w:val="00BD2C5E"/>
    <w:rsid w:val="00BD3AAC"/>
    <w:rsid w:val="00BE5867"/>
    <w:rsid w:val="00BE607C"/>
    <w:rsid w:val="00BF0578"/>
    <w:rsid w:val="00BF131D"/>
    <w:rsid w:val="00BF27E7"/>
    <w:rsid w:val="00BF37F4"/>
    <w:rsid w:val="00BF3AD0"/>
    <w:rsid w:val="00C01A99"/>
    <w:rsid w:val="00C02D7C"/>
    <w:rsid w:val="00C03019"/>
    <w:rsid w:val="00C033E0"/>
    <w:rsid w:val="00C05C10"/>
    <w:rsid w:val="00C21525"/>
    <w:rsid w:val="00C21CD2"/>
    <w:rsid w:val="00C4169C"/>
    <w:rsid w:val="00C41BF3"/>
    <w:rsid w:val="00C43708"/>
    <w:rsid w:val="00C543C9"/>
    <w:rsid w:val="00C55B79"/>
    <w:rsid w:val="00C627BE"/>
    <w:rsid w:val="00C64BE8"/>
    <w:rsid w:val="00C747E9"/>
    <w:rsid w:val="00CA0242"/>
    <w:rsid w:val="00CA3578"/>
    <w:rsid w:val="00CA7AD2"/>
    <w:rsid w:val="00CB4E7E"/>
    <w:rsid w:val="00CC0CD7"/>
    <w:rsid w:val="00CD1B5E"/>
    <w:rsid w:val="00CD637D"/>
    <w:rsid w:val="00CD6A70"/>
    <w:rsid w:val="00CE43B4"/>
    <w:rsid w:val="00CF1E54"/>
    <w:rsid w:val="00CF3D96"/>
    <w:rsid w:val="00CF501C"/>
    <w:rsid w:val="00D10D10"/>
    <w:rsid w:val="00D12313"/>
    <w:rsid w:val="00D165F8"/>
    <w:rsid w:val="00D17161"/>
    <w:rsid w:val="00D17465"/>
    <w:rsid w:val="00D252D7"/>
    <w:rsid w:val="00D4605F"/>
    <w:rsid w:val="00D54219"/>
    <w:rsid w:val="00D5468F"/>
    <w:rsid w:val="00D62AE3"/>
    <w:rsid w:val="00D80156"/>
    <w:rsid w:val="00D803AC"/>
    <w:rsid w:val="00D84A89"/>
    <w:rsid w:val="00D9092C"/>
    <w:rsid w:val="00D94F05"/>
    <w:rsid w:val="00DB121B"/>
    <w:rsid w:val="00DB2F5F"/>
    <w:rsid w:val="00DB6990"/>
    <w:rsid w:val="00DC0632"/>
    <w:rsid w:val="00DC67C9"/>
    <w:rsid w:val="00DD1C90"/>
    <w:rsid w:val="00DD3394"/>
    <w:rsid w:val="00DE06F7"/>
    <w:rsid w:val="00DE4149"/>
    <w:rsid w:val="00DE5A7B"/>
    <w:rsid w:val="00DF02EA"/>
    <w:rsid w:val="00DF0F5C"/>
    <w:rsid w:val="00DF3407"/>
    <w:rsid w:val="00E00C5A"/>
    <w:rsid w:val="00E10560"/>
    <w:rsid w:val="00E13FE1"/>
    <w:rsid w:val="00E20A37"/>
    <w:rsid w:val="00E2672B"/>
    <w:rsid w:val="00E30F9D"/>
    <w:rsid w:val="00E317B8"/>
    <w:rsid w:val="00E35928"/>
    <w:rsid w:val="00E66188"/>
    <w:rsid w:val="00E91D97"/>
    <w:rsid w:val="00E95703"/>
    <w:rsid w:val="00E95CA0"/>
    <w:rsid w:val="00EA0EFD"/>
    <w:rsid w:val="00EA2507"/>
    <w:rsid w:val="00EA5740"/>
    <w:rsid w:val="00EA5958"/>
    <w:rsid w:val="00EB5BF0"/>
    <w:rsid w:val="00ED58FF"/>
    <w:rsid w:val="00EF214D"/>
    <w:rsid w:val="00EF5347"/>
    <w:rsid w:val="00EF6DD3"/>
    <w:rsid w:val="00F006AF"/>
    <w:rsid w:val="00F01A33"/>
    <w:rsid w:val="00F0632E"/>
    <w:rsid w:val="00F10227"/>
    <w:rsid w:val="00F14C97"/>
    <w:rsid w:val="00F204CE"/>
    <w:rsid w:val="00F20937"/>
    <w:rsid w:val="00F22B34"/>
    <w:rsid w:val="00F236CB"/>
    <w:rsid w:val="00F31AF9"/>
    <w:rsid w:val="00F34BAC"/>
    <w:rsid w:val="00F43DD1"/>
    <w:rsid w:val="00F43E34"/>
    <w:rsid w:val="00F45FAF"/>
    <w:rsid w:val="00F604E0"/>
    <w:rsid w:val="00F605CF"/>
    <w:rsid w:val="00F62900"/>
    <w:rsid w:val="00F66372"/>
    <w:rsid w:val="00F6764B"/>
    <w:rsid w:val="00F67906"/>
    <w:rsid w:val="00F72578"/>
    <w:rsid w:val="00F937BB"/>
    <w:rsid w:val="00F94885"/>
    <w:rsid w:val="00F955CB"/>
    <w:rsid w:val="00F95A64"/>
    <w:rsid w:val="00F96899"/>
    <w:rsid w:val="00FA12C5"/>
    <w:rsid w:val="00FA2733"/>
    <w:rsid w:val="00FB1641"/>
    <w:rsid w:val="00FB21EE"/>
    <w:rsid w:val="00FB55B6"/>
    <w:rsid w:val="00FB68F8"/>
    <w:rsid w:val="00FC5F49"/>
    <w:rsid w:val="00FE145F"/>
    <w:rsid w:val="00FE3F31"/>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95F3"/>
  <w15:docId w15:val="{38D809A6-00B2-4B1B-B012-C16141A7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59"/>
    <w:pPr>
      <w:spacing w:line="256" w:lineRule="auto"/>
    </w:pPr>
    <w:rPr>
      <w:rFonts w:asciiTheme="minorHAnsi" w:hAnsiTheme="minorHAnsi"/>
      <w:sz w:val="22"/>
      <w:lang w:val="en-US"/>
    </w:rPr>
  </w:style>
  <w:style w:type="paragraph" w:styleId="Heading1">
    <w:name w:val="heading 1"/>
    <w:basedOn w:val="Normal"/>
    <w:next w:val="Normal"/>
    <w:link w:val="Heading1Char"/>
    <w:uiPriority w:val="9"/>
    <w:qFormat/>
    <w:rsid w:val="00396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Über 2"/>
    <w:basedOn w:val="Normal"/>
    <w:next w:val="Normal"/>
    <w:link w:val="Heading2Char"/>
    <w:uiPriority w:val="1"/>
    <w:semiHidden/>
    <w:unhideWhenUsed/>
    <w:qFormat/>
    <w:rsid w:val="004945D1"/>
    <w:pPr>
      <w:keepNext/>
      <w:keepLines/>
      <w:spacing w:before="200" w:after="0" w:line="276" w:lineRule="auto"/>
      <w:outlineLvl w:val="1"/>
    </w:pPr>
    <w:rPr>
      <w:rFonts w:asciiTheme="majorHAnsi" w:eastAsiaTheme="majorEastAsia" w:hAnsiTheme="majorHAnsi" w:cstheme="majorBidi"/>
      <w:color w:val="4472C4" w:themeColor="accent1"/>
      <w:sz w:val="26"/>
      <w:szCs w:val="26"/>
      <w:lang w:val="ru-RU" w:eastAsia="ru-RU"/>
    </w:rPr>
  </w:style>
  <w:style w:type="paragraph" w:styleId="Heading5">
    <w:name w:val="heading 5"/>
    <w:basedOn w:val="Normal"/>
    <w:next w:val="Normal"/>
    <w:link w:val="Heading5Char"/>
    <w:uiPriority w:val="9"/>
    <w:semiHidden/>
    <w:unhideWhenUsed/>
    <w:qFormat/>
    <w:rsid w:val="00391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72F59"/>
    <w:pPr>
      <w:spacing w:after="0" w:line="240" w:lineRule="auto"/>
      <w:jc w:val="center"/>
    </w:pPr>
    <w:rPr>
      <w:rFonts w:ascii="ArTarumianTimes" w:eastAsia="Times New Roman" w:hAnsi="ArTarumianTimes" w:cs="Times New Roman"/>
      <w:sz w:val="24"/>
      <w:szCs w:val="24"/>
      <w:lang w:val="ru-RU" w:eastAsia="ru-RU"/>
    </w:rPr>
  </w:style>
  <w:style w:type="character" w:customStyle="1" w:styleId="BodyText3Char">
    <w:name w:val="Body Text 3 Char"/>
    <w:basedOn w:val="DefaultParagraphFont"/>
    <w:link w:val="BodyText3"/>
    <w:uiPriority w:val="99"/>
    <w:semiHidden/>
    <w:rsid w:val="00372F59"/>
    <w:rPr>
      <w:rFonts w:ascii="ArTarumianTimes" w:eastAsia="Times New Roman" w:hAnsi="ArTarumianTimes" w:cs="Times New Roman"/>
      <w:szCs w:val="24"/>
      <w:lang w:eastAsia="ru-RU"/>
    </w:rPr>
  </w:style>
  <w:style w:type="character" w:customStyle="1" w:styleId="mechtexChar">
    <w:name w:val="mechtex Char"/>
    <w:link w:val="mechtex"/>
    <w:uiPriority w:val="99"/>
    <w:locked/>
    <w:rsid w:val="00372F59"/>
    <w:rPr>
      <w:rFonts w:ascii="Arial Armenian" w:hAnsi="Arial Armenian"/>
      <w:lang w:eastAsia="ru-RU"/>
    </w:rPr>
  </w:style>
  <w:style w:type="paragraph" w:customStyle="1" w:styleId="mechtex">
    <w:name w:val="mechtex"/>
    <w:basedOn w:val="Normal"/>
    <w:link w:val="mechtexChar"/>
    <w:uiPriority w:val="99"/>
    <w:rsid w:val="00372F59"/>
    <w:pPr>
      <w:spacing w:after="0" w:line="240" w:lineRule="auto"/>
      <w:jc w:val="center"/>
    </w:pPr>
    <w:rPr>
      <w:rFonts w:ascii="Arial Armenian" w:hAnsi="Arial Armenian"/>
      <w:sz w:val="24"/>
      <w:lang w:val="ru-RU" w:eastAsia="ru-RU"/>
    </w:rPr>
  </w:style>
  <w:style w:type="table" w:styleId="TableGrid">
    <w:name w:val="Table Grid"/>
    <w:basedOn w:val="TableNormal"/>
    <w:uiPriority w:val="39"/>
    <w:rsid w:val="00372F5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A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1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02"/>
    <w:rPr>
      <w:rFonts w:ascii="Segoe UI" w:hAnsi="Segoe UI" w:cs="Segoe UI"/>
      <w:sz w:val="18"/>
      <w:szCs w:val="18"/>
      <w:lang w:val="en-US"/>
    </w:rPr>
  </w:style>
  <w:style w:type="paragraph" w:styleId="Header">
    <w:name w:val="header"/>
    <w:basedOn w:val="Normal"/>
    <w:link w:val="HeaderChar"/>
    <w:uiPriority w:val="99"/>
    <w:unhideWhenUsed/>
    <w:rsid w:val="00983F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F85"/>
    <w:rPr>
      <w:rFonts w:asciiTheme="minorHAnsi" w:hAnsiTheme="minorHAnsi"/>
      <w:sz w:val="22"/>
      <w:lang w:val="en-US"/>
    </w:rPr>
  </w:style>
  <w:style w:type="paragraph" w:styleId="Footer">
    <w:name w:val="footer"/>
    <w:basedOn w:val="Normal"/>
    <w:link w:val="FooterChar"/>
    <w:uiPriority w:val="99"/>
    <w:unhideWhenUsed/>
    <w:rsid w:val="00983F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3F85"/>
    <w:rPr>
      <w:rFonts w:asciiTheme="minorHAnsi" w:hAnsiTheme="minorHAnsi"/>
      <w:sz w:val="22"/>
      <w:lang w:val="en-US"/>
    </w:rPr>
  </w:style>
  <w:style w:type="paragraph" w:styleId="ListParagraph">
    <w:name w:val="List Paragraph"/>
    <w:aliases w:val="Citation List,본문(내용),List Paragraph (numbered (a))"/>
    <w:basedOn w:val="Normal"/>
    <w:link w:val="ListParagraphChar"/>
    <w:qFormat/>
    <w:rsid w:val="007B7371"/>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081B2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81B24"/>
    <w:rPr>
      <w:rFonts w:asciiTheme="minorHAnsi" w:hAnsiTheme="minorHAnsi"/>
      <w:sz w:val="20"/>
      <w:szCs w:val="20"/>
      <w:lang w:val="en-US"/>
    </w:rPr>
  </w:style>
  <w:style w:type="character" w:styleId="FootnoteReference">
    <w:name w:val="footnote reference"/>
    <w:basedOn w:val="DefaultParagraphFont"/>
    <w:uiPriority w:val="99"/>
    <w:unhideWhenUsed/>
    <w:rsid w:val="00081B24"/>
    <w:rPr>
      <w:vertAlign w:val="superscript"/>
    </w:rPr>
  </w:style>
  <w:style w:type="character" w:customStyle="1" w:styleId="ListParagraphChar">
    <w:name w:val="List Paragraph Char"/>
    <w:aliases w:val="Citation List Char,본문(내용) Char,List Paragraph (numbered (a)) Char"/>
    <w:link w:val="ListParagraph"/>
    <w:uiPriority w:val="34"/>
    <w:locked/>
    <w:rsid w:val="00AD4353"/>
    <w:rPr>
      <w:rFonts w:asciiTheme="minorHAnsi" w:hAnsiTheme="minorHAnsi"/>
      <w:sz w:val="22"/>
      <w:lang w:val="en-US"/>
    </w:rPr>
  </w:style>
  <w:style w:type="character" w:customStyle="1" w:styleId="Heading2Char">
    <w:name w:val="Heading 2 Char"/>
    <w:aliases w:val="Über 2 Char"/>
    <w:basedOn w:val="DefaultParagraphFont"/>
    <w:link w:val="Heading2"/>
    <w:uiPriority w:val="1"/>
    <w:semiHidden/>
    <w:rsid w:val="004945D1"/>
    <w:rPr>
      <w:rFonts w:asciiTheme="majorHAnsi" w:eastAsiaTheme="majorEastAsia" w:hAnsiTheme="majorHAnsi" w:cstheme="majorBidi"/>
      <w:color w:val="4472C4" w:themeColor="accent1"/>
      <w:sz w:val="26"/>
      <w:szCs w:val="26"/>
      <w:lang w:eastAsia="ru-RU"/>
    </w:rPr>
  </w:style>
  <w:style w:type="paragraph" w:customStyle="1" w:styleId="titulo">
    <w:name w:val="titulo"/>
    <w:basedOn w:val="Heading5"/>
    <w:uiPriority w:val="99"/>
    <w:rsid w:val="00391366"/>
    <w:pPr>
      <w:keepNext w:val="0"/>
      <w:keepLines w:val="0"/>
      <w:spacing w:before="0" w:after="240" w:line="240" w:lineRule="auto"/>
      <w:jc w:val="center"/>
    </w:pPr>
    <w:rPr>
      <w:rFonts w:ascii="Times New Roman Bold" w:eastAsia="Times New Roman" w:hAnsi="Times New Roman Bold" w:cs="Times New Roman"/>
      <w:b/>
      <w:color w:val="auto"/>
      <w:sz w:val="24"/>
      <w:szCs w:val="20"/>
    </w:rPr>
  </w:style>
  <w:style w:type="paragraph" w:styleId="BodyText">
    <w:name w:val="Body Text"/>
    <w:basedOn w:val="Normal"/>
    <w:link w:val="BodyTextChar"/>
    <w:uiPriority w:val="99"/>
    <w:semiHidden/>
    <w:unhideWhenUsed/>
    <w:rsid w:val="00391366"/>
    <w:pPr>
      <w:spacing w:after="120" w:line="259" w:lineRule="auto"/>
    </w:pPr>
    <w:rPr>
      <w:lang w:val="ru-RU"/>
    </w:rPr>
  </w:style>
  <w:style w:type="character" w:customStyle="1" w:styleId="BodyTextChar">
    <w:name w:val="Body Text Char"/>
    <w:basedOn w:val="DefaultParagraphFont"/>
    <w:link w:val="BodyText"/>
    <w:uiPriority w:val="99"/>
    <w:semiHidden/>
    <w:rsid w:val="00391366"/>
    <w:rPr>
      <w:rFonts w:asciiTheme="minorHAnsi" w:hAnsiTheme="minorHAnsi"/>
      <w:sz w:val="22"/>
    </w:rPr>
  </w:style>
  <w:style w:type="paragraph" w:customStyle="1" w:styleId="Subtitle2">
    <w:name w:val="Subtitle 2"/>
    <w:basedOn w:val="Footer"/>
    <w:autoRedefine/>
    <w:uiPriority w:val="99"/>
    <w:rsid w:val="00391366"/>
    <w:pPr>
      <w:tabs>
        <w:tab w:val="clear" w:pos="4677"/>
        <w:tab w:val="clear" w:pos="9355"/>
        <w:tab w:val="right" w:leader="underscore" w:pos="9504"/>
      </w:tabs>
      <w:ind w:left="59"/>
      <w:jc w:val="right"/>
      <w:outlineLvl w:val="1"/>
    </w:pPr>
    <w:rPr>
      <w:rFonts w:ascii="GHEA Grapalat" w:eastAsia="Times New Roman" w:hAnsi="GHEA Grapalat" w:cs="Times New Roman"/>
      <w:b/>
      <w:sz w:val="24"/>
      <w:szCs w:val="24"/>
      <w:lang w:val="af-ZA"/>
    </w:rPr>
  </w:style>
  <w:style w:type="character" w:customStyle="1" w:styleId="Heading5Char">
    <w:name w:val="Heading 5 Char"/>
    <w:basedOn w:val="DefaultParagraphFont"/>
    <w:link w:val="Heading5"/>
    <w:uiPriority w:val="9"/>
    <w:semiHidden/>
    <w:rsid w:val="00391366"/>
    <w:rPr>
      <w:rFonts w:asciiTheme="majorHAnsi" w:eastAsiaTheme="majorEastAsia" w:hAnsiTheme="majorHAnsi" w:cstheme="majorBidi"/>
      <w:color w:val="2F5496" w:themeColor="accent1" w:themeShade="BF"/>
      <w:sz w:val="22"/>
      <w:lang w:val="en-US"/>
    </w:rPr>
  </w:style>
  <w:style w:type="paragraph" w:styleId="NoSpacing">
    <w:name w:val="No Spacing"/>
    <w:uiPriority w:val="1"/>
    <w:qFormat/>
    <w:rsid w:val="009C0D56"/>
    <w:pPr>
      <w:spacing w:after="0" w:line="240" w:lineRule="auto"/>
    </w:pPr>
    <w:rPr>
      <w:rFonts w:asciiTheme="minorHAnsi" w:hAnsiTheme="minorHAnsi"/>
      <w:sz w:val="22"/>
      <w:lang w:val="en-US"/>
    </w:rPr>
  </w:style>
  <w:style w:type="character" w:customStyle="1" w:styleId="Heading1Char">
    <w:name w:val="Heading 1 Char"/>
    <w:basedOn w:val="DefaultParagraphFont"/>
    <w:link w:val="Heading1"/>
    <w:uiPriority w:val="9"/>
    <w:rsid w:val="00396BC4"/>
    <w:rPr>
      <w:rFonts w:asciiTheme="majorHAnsi" w:eastAsiaTheme="majorEastAsia" w:hAnsiTheme="majorHAnsi" w:cstheme="majorBidi"/>
      <w:color w:val="2F5496" w:themeColor="accent1" w:themeShade="BF"/>
      <w:sz w:val="32"/>
      <w:szCs w:val="32"/>
      <w:lang w:val="en-US"/>
    </w:rPr>
  </w:style>
  <w:style w:type="paragraph" w:styleId="BodyTextIndent">
    <w:name w:val="Body Text Indent"/>
    <w:basedOn w:val="Normal"/>
    <w:link w:val="BodyTextIndentChar"/>
    <w:uiPriority w:val="99"/>
    <w:semiHidden/>
    <w:unhideWhenUsed/>
    <w:rsid w:val="00396BC4"/>
    <w:pPr>
      <w:spacing w:after="120"/>
      <w:ind w:left="360"/>
    </w:pPr>
  </w:style>
  <w:style w:type="character" w:customStyle="1" w:styleId="BodyTextIndentChar">
    <w:name w:val="Body Text Indent Char"/>
    <w:basedOn w:val="DefaultParagraphFont"/>
    <w:link w:val="BodyTextIndent"/>
    <w:uiPriority w:val="99"/>
    <w:semiHidden/>
    <w:rsid w:val="00396BC4"/>
    <w:rPr>
      <w:rFonts w:asciiTheme="minorHAnsi" w:hAnsiTheme="minorHAnsi"/>
      <w:sz w:val="22"/>
      <w:lang w:val="en-US"/>
    </w:rPr>
  </w:style>
  <w:style w:type="paragraph" w:styleId="ListNumber">
    <w:name w:val="List Number"/>
    <w:basedOn w:val="Normal"/>
    <w:uiPriority w:val="99"/>
    <w:rsid w:val="00396BC4"/>
    <w:pPr>
      <w:tabs>
        <w:tab w:val="num" w:pos="360"/>
      </w:tabs>
      <w:suppressAutoHyphens/>
      <w:spacing w:after="0" w:line="240" w:lineRule="auto"/>
      <w:ind w:left="360" w:hanging="360"/>
      <w:jc w:val="both"/>
    </w:pPr>
    <w:rPr>
      <w:rFonts w:ascii="Tms Rmn" w:eastAsia="Times New Roman" w:hAnsi="Tms Rmn" w:cs="Times New Roman"/>
      <w:sz w:val="24"/>
      <w:szCs w:val="20"/>
    </w:rPr>
  </w:style>
  <w:style w:type="paragraph" w:customStyle="1" w:styleId="Outline">
    <w:name w:val="Outline"/>
    <w:basedOn w:val="Normal"/>
    <w:uiPriority w:val="99"/>
    <w:rsid w:val="00396BC4"/>
    <w:pPr>
      <w:spacing w:before="240" w:after="0" w:line="240" w:lineRule="auto"/>
    </w:pPr>
    <w:rPr>
      <w:rFonts w:ascii="Times New Roman" w:eastAsia="Times New Roman" w:hAnsi="Times New Roman" w:cs="Times New Roman"/>
      <w:kern w:val="28"/>
      <w:sz w:val="24"/>
      <w:szCs w:val="20"/>
    </w:rPr>
  </w:style>
  <w:style w:type="character" w:styleId="CommentReference">
    <w:name w:val="annotation reference"/>
    <w:basedOn w:val="DefaultParagraphFont"/>
    <w:uiPriority w:val="99"/>
    <w:semiHidden/>
    <w:unhideWhenUsed/>
    <w:rsid w:val="00723DB0"/>
    <w:rPr>
      <w:sz w:val="16"/>
      <w:szCs w:val="16"/>
    </w:rPr>
  </w:style>
  <w:style w:type="paragraph" w:styleId="CommentText">
    <w:name w:val="annotation text"/>
    <w:basedOn w:val="Normal"/>
    <w:link w:val="CommentTextChar"/>
    <w:uiPriority w:val="99"/>
    <w:semiHidden/>
    <w:unhideWhenUsed/>
    <w:rsid w:val="00723DB0"/>
    <w:pPr>
      <w:spacing w:line="240" w:lineRule="auto"/>
    </w:pPr>
    <w:rPr>
      <w:sz w:val="20"/>
      <w:szCs w:val="20"/>
    </w:rPr>
  </w:style>
  <w:style w:type="character" w:customStyle="1" w:styleId="CommentTextChar">
    <w:name w:val="Comment Text Char"/>
    <w:basedOn w:val="DefaultParagraphFont"/>
    <w:link w:val="CommentText"/>
    <w:uiPriority w:val="99"/>
    <w:semiHidden/>
    <w:rsid w:val="00723DB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723DB0"/>
    <w:rPr>
      <w:b/>
      <w:bCs/>
    </w:rPr>
  </w:style>
  <w:style w:type="character" w:customStyle="1" w:styleId="CommentSubjectChar">
    <w:name w:val="Comment Subject Char"/>
    <w:basedOn w:val="CommentTextChar"/>
    <w:link w:val="CommentSubject"/>
    <w:uiPriority w:val="99"/>
    <w:semiHidden/>
    <w:rsid w:val="00723DB0"/>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330">
      <w:bodyDiv w:val="1"/>
      <w:marLeft w:val="0"/>
      <w:marRight w:val="0"/>
      <w:marTop w:val="0"/>
      <w:marBottom w:val="0"/>
      <w:divBdr>
        <w:top w:val="none" w:sz="0" w:space="0" w:color="auto"/>
        <w:left w:val="none" w:sz="0" w:space="0" w:color="auto"/>
        <w:bottom w:val="none" w:sz="0" w:space="0" w:color="auto"/>
        <w:right w:val="none" w:sz="0" w:space="0" w:color="auto"/>
      </w:divBdr>
    </w:div>
    <w:div w:id="130482543">
      <w:bodyDiv w:val="1"/>
      <w:marLeft w:val="0"/>
      <w:marRight w:val="0"/>
      <w:marTop w:val="0"/>
      <w:marBottom w:val="0"/>
      <w:divBdr>
        <w:top w:val="none" w:sz="0" w:space="0" w:color="auto"/>
        <w:left w:val="none" w:sz="0" w:space="0" w:color="auto"/>
        <w:bottom w:val="none" w:sz="0" w:space="0" w:color="auto"/>
        <w:right w:val="none" w:sz="0" w:space="0" w:color="auto"/>
      </w:divBdr>
    </w:div>
    <w:div w:id="152647252">
      <w:bodyDiv w:val="1"/>
      <w:marLeft w:val="0"/>
      <w:marRight w:val="0"/>
      <w:marTop w:val="0"/>
      <w:marBottom w:val="0"/>
      <w:divBdr>
        <w:top w:val="none" w:sz="0" w:space="0" w:color="auto"/>
        <w:left w:val="none" w:sz="0" w:space="0" w:color="auto"/>
        <w:bottom w:val="none" w:sz="0" w:space="0" w:color="auto"/>
        <w:right w:val="none" w:sz="0" w:space="0" w:color="auto"/>
      </w:divBdr>
    </w:div>
    <w:div w:id="206263418">
      <w:bodyDiv w:val="1"/>
      <w:marLeft w:val="0"/>
      <w:marRight w:val="0"/>
      <w:marTop w:val="0"/>
      <w:marBottom w:val="0"/>
      <w:divBdr>
        <w:top w:val="none" w:sz="0" w:space="0" w:color="auto"/>
        <w:left w:val="none" w:sz="0" w:space="0" w:color="auto"/>
        <w:bottom w:val="none" w:sz="0" w:space="0" w:color="auto"/>
        <w:right w:val="none" w:sz="0" w:space="0" w:color="auto"/>
      </w:divBdr>
    </w:div>
    <w:div w:id="788665300">
      <w:bodyDiv w:val="1"/>
      <w:marLeft w:val="0"/>
      <w:marRight w:val="0"/>
      <w:marTop w:val="0"/>
      <w:marBottom w:val="0"/>
      <w:divBdr>
        <w:top w:val="none" w:sz="0" w:space="0" w:color="auto"/>
        <w:left w:val="none" w:sz="0" w:space="0" w:color="auto"/>
        <w:bottom w:val="none" w:sz="0" w:space="0" w:color="auto"/>
        <w:right w:val="none" w:sz="0" w:space="0" w:color="auto"/>
      </w:divBdr>
    </w:div>
    <w:div w:id="897281517">
      <w:bodyDiv w:val="1"/>
      <w:marLeft w:val="0"/>
      <w:marRight w:val="0"/>
      <w:marTop w:val="0"/>
      <w:marBottom w:val="0"/>
      <w:divBdr>
        <w:top w:val="none" w:sz="0" w:space="0" w:color="auto"/>
        <w:left w:val="none" w:sz="0" w:space="0" w:color="auto"/>
        <w:bottom w:val="none" w:sz="0" w:space="0" w:color="auto"/>
        <w:right w:val="none" w:sz="0" w:space="0" w:color="auto"/>
      </w:divBdr>
    </w:div>
    <w:div w:id="971255257">
      <w:bodyDiv w:val="1"/>
      <w:marLeft w:val="0"/>
      <w:marRight w:val="0"/>
      <w:marTop w:val="0"/>
      <w:marBottom w:val="0"/>
      <w:divBdr>
        <w:top w:val="none" w:sz="0" w:space="0" w:color="auto"/>
        <w:left w:val="none" w:sz="0" w:space="0" w:color="auto"/>
        <w:bottom w:val="none" w:sz="0" w:space="0" w:color="auto"/>
        <w:right w:val="none" w:sz="0" w:space="0" w:color="auto"/>
      </w:divBdr>
    </w:div>
    <w:div w:id="1071317933">
      <w:bodyDiv w:val="1"/>
      <w:marLeft w:val="0"/>
      <w:marRight w:val="0"/>
      <w:marTop w:val="0"/>
      <w:marBottom w:val="0"/>
      <w:divBdr>
        <w:top w:val="none" w:sz="0" w:space="0" w:color="auto"/>
        <w:left w:val="none" w:sz="0" w:space="0" w:color="auto"/>
        <w:bottom w:val="none" w:sz="0" w:space="0" w:color="auto"/>
        <w:right w:val="none" w:sz="0" w:space="0" w:color="auto"/>
      </w:divBdr>
    </w:div>
    <w:div w:id="1106539008">
      <w:bodyDiv w:val="1"/>
      <w:marLeft w:val="0"/>
      <w:marRight w:val="0"/>
      <w:marTop w:val="0"/>
      <w:marBottom w:val="0"/>
      <w:divBdr>
        <w:top w:val="none" w:sz="0" w:space="0" w:color="auto"/>
        <w:left w:val="none" w:sz="0" w:space="0" w:color="auto"/>
        <w:bottom w:val="none" w:sz="0" w:space="0" w:color="auto"/>
        <w:right w:val="none" w:sz="0" w:space="0" w:color="auto"/>
      </w:divBdr>
    </w:div>
    <w:div w:id="1347173219">
      <w:bodyDiv w:val="1"/>
      <w:marLeft w:val="0"/>
      <w:marRight w:val="0"/>
      <w:marTop w:val="0"/>
      <w:marBottom w:val="0"/>
      <w:divBdr>
        <w:top w:val="none" w:sz="0" w:space="0" w:color="auto"/>
        <w:left w:val="none" w:sz="0" w:space="0" w:color="auto"/>
        <w:bottom w:val="none" w:sz="0" w:space="0" w:color="auto"/>
        <w:right w:val="none" w:sz="0" w:space="0" w:color="auto"/>
      </w:divBdr>
    </w:div>
    <w:div w:id="1381251234">
      <w:bodyDiv w:val="1"/>
      <w:marLeft w:val="0"/>
      <w:marRight w:val="0"/>
      <w:marTop w:val="0"/>
      <w:marBottom w:val="0"/>
      <w:divBdr>
        <w:top w:val="none" w:sz="0" w:space="0" w:color="auto"/>
        <w:left w:val="none" w:sz="0" w:space="0" w:color="auto"/>
        <w:bottom w:val="none" w:sz="0" w:space="0" w:color="auto"/>
        <w:right w:val="none" w:sz="0" w:space="0" w:color="auto"/>
      </w:divBdr>
    </w:div>
    <w:div w:id="1526478305">
      <w:bodyDiv w:val="1"/>
      <w:marLeft w:val="0"/>
      <w:marRight w:val="0"/>
      <w:marTop w:val="0"/>
      <w:marBottom w:val="0"/>
      <w:divBdr>
        <w:top w:val="none" w:sz="0" w:space="0" w:color="auto"/>
        <w:left w:val="none" w:sz="0" w:space="0" w:color="auto"/>
        <w:bottom w:val="none" w:sz="0" w:space="0" w:color="auto"/>
        <w:right w:val="none" w:sz="0" w:space="0" w:color="auto"/>
      </w:divBdr>
    </w:div>
    <w:div w:id="1794712991">
      <w:bodyDiv w:val="1"/>
      <w:marLeft w:val="0"/>
      <w:marRight w:val="0"/>
      <w:marTop w:val="0"/>
      <w:marBottom w:val="0"/>
      <w:divBdr>
        <w:top w:val="none" w:sz="0" w:space="0" w:color="auto"/>
        <w:left w:val="none" w:sz="0" w:space="0" w:color="auto"/>
        <w:bottom w:val="none" w:sz="0" w:space="0" w:color="auto"/>
        <w:right w:val="none" w:sz="0" w:space="0" w:color="auto"/>
      </w:divBdr>
    </w:div>
    <w:div w:id="1804497800">
      <w:bodyDiv w:val="1"/>
      <w:marLeft w:val="0"/>
      <w:marRight w:val="0"/>
      <w:marTop w:val="0"/>
      <w:marBottom w:val="0"/>
      <w:divBdr>
        <w:top w:val="none" w:sz="0" w:space="0" w:color="auto"/>
        <w:left w:val="none" w:sz="0" w:space="0" w:color="auto"/>
        <w:bottom w:val="none" w:sz="0" w:space="0" w:color="auto"/>
        <w:right w:val="none" w:sz="0" w:space="0" w:color="auto"/>
      </w:divBdr>
    </w:div>
    <w:div w:id="1817337256">
      <w:bodyDiv w:val="1"/>
      <w:marLeft w:val="0"/>
      <w:marRight w:val="0"/>
      <w:marTop w:val="0"/>
      <w:marBottom w:val="0"/>
      <w:divBdr>
        <w:top w:val="none" w:sz="0" w:space="0" w:color="auto"/>
        <w:left w:val="none" w:sz="0" w:space="0" w:color="auto"/>
        <w:bottom w:val="none" w:sz="0" w:space="0" w:color="auto"/>
        <w:right w:val="none" w:sz="0" w:space="0" w:color="auto"/>
      </w:divBdr>
    </w:div>
    <w:div w:id="1827621650">
      <w:bodyDiv w:val="1"/>
      <w:marLeft w:val="0"/>
      <w:marRight w:val="0"/>
      <w:marTop w:val="0"/>
      <w:marBottom w:val="0"/>
      <w:divBdr>
        <w:top w:val="none" w:sz="0" w:space="0" w:color="auto"/>
        <w:left w:val="none" w:sz="0" w:space="0" w:color="auto"/>
        <w:bottom w:val="none" w:sz="0" w:space="0" w:color="auto"/>
        <w:right w:val="none" w:sz="0" w:space="0" w:color="auto"/>
      </w:divBdr>
    </w:div>
    <w:div w:id="183849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3507-5269-4D32-834F-B6307F4F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2325</Characters>
  <Application>Microsoft Office Word</Application>
  <DocSecurity>0</DocSecurity>
  <Lines>57</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Vahe Martirosyan</dc:creator>
  <cp:keywords>https://mul2.gov.am/tasks/761720/oneclick/2Himnavorum.docx?token=459767579e1e5e12b742651cd4582c16</cp:keywords>
  <cp:lastModifiedBy>Astghik Melkonyan</cp:lastModifiedBy>
  <cp:revision>11</cp:revision>
  <cp:lastPrinted>2023-01-30T05:13:00Z</cp:lastPrinted>
  <dcterms:created xsi:type="dcterms:W3CDTF">2023-03-14T10:46:00Z</dcterms:created>
  <dcterms:modified xsi:type="dcterms:W3CDTF">2023-03-22T10:36:00Z</dcterms:modified>
</cp:coreProperties>
</file>