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63" w:rsidRPr="007861C4" w:rsidRDefault="00944463" w:rsidP="0094446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en-US" w:eastAsia="en-US"/>
        </w:rPr>
      </w:pPr>
      <w:r w:rsidRPr="007861C4">
        <w:rPr>
          <w:rFonts w:ascii="GHEA Grapalat" w:hAnsi="GHEA Grapalat"/>
          <w:b/>
          <w:bCs/>
          <w:color w:val="000000"/>
          <w:lang w:val="en-US" w:eastAsia="en-US"/>
        </w:rPr>
        <w:t>ԱՄՓՈՓԱԹԵՐԹ</w:t>
      </w:r>
      <w:r w:rsidRPr="007861C4">
        <w:rPr>
          <w:rFonts w:ascii="Calibri" w:hAnsi="Calibri" w:cs="Calibri"/>
          <w:color w:val="000000"/>
          <w:lang w:val="en-US" w:eastAsia="en-US"/>
        </w:rPr>
        <w:t>  </w:t>
      </w:r>
    </w:p>
    <w:p w:rsidR="00944463" w:rsidRPr="001D4EE6" w:rsidRDefault="00944463" w:rsidP="001D4EE6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lang w:val="en-US" w:eastAsia="en-US"/>
        </w:rPr>
      </w:pPr>
      <w:r w:rsidRPr="001D4EE6">
        <w:rPr>
          <w:rFonts w:ascii="GHEA Grapalat" w:hAnsi="GHEA Grapalat"/>
          <w:b/>
          <w:bCs/>
          <w:color w:val="000000"/>
          <w:lang w:val="en-US" w:eastAsia="en-US"/>
        </w:rPr>
        <w:t>«</w:t>
      </w:r>
      <w:r w:rsidR="001D4EE6" w:rsidRPr="001D4EE6">
        <w:rPr>
          <w:rFonts w:ascii="GHEA Grapalat" w:hAnsi="GHEA Grapalat"/>
          <w:b/>
          <w:bCs/>
          <w:color w:val="000000"/>
          <w:lang w:val="en-US" w:eastAsia="en-US"/>
        </w:rPr>
        <w:t>ԳՈՒՅՔ ՓՈԽԱՆՑԵԼՈՒ ԵՎ ՆՎԻՐԱԲԵՐՈՒԹՅԱՄԲ ՀԱՆՁՆԵԼՈՒ ՄԱՍԻՆ</w:t>
      </w:r>
      <w:r w:rsidRPr="001D4EE6">
        <w:rPr>
          <w:rFonts w:ascii="GHEA Grapalat" w:hAnsi="GHEA Grapalat"/>
          <w:b/>
          <w:bCs/>
          <w:color w:val="000000"/>
          <w:lang w:val="en-US" w:eastAsia="en-US"/>
        </w:rPr>
        <w:t xml:space="preserve">» </w:t>
      </w:r>
    </w:p>
    <w:p w:rsidR="00944463" w:rsidRPr="007861C4" w:rsidRDefault="00944463" w:rsidP="00944463">
      <w:pPr>
        <w:shd w:val="clear" w:color="auto" w:fill="FFFFFF"/>
        <w:spacing w:line="360" w:lineRule="auto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7861C4">
        <w:rPr>
          <w:rFonts w:ascii="GHEA Grapalat" w:hAnsi="GHEA Grapalat"/>
          <w:b/>
          <w:color w:val="000000"/>
          <w:shd w:val="clear" w:color="auto" w:fill="FFFFFF"/>
          <w:lang w:val="hy-AM"/>
        </w:rPr>
        <w:t>ՀՀ ԿԱՌԱՎԱՐՈՒԹՅԱՆ ՈՐՈՇՄԱՆ ՆԱԽԱԳԾԻ</w:t>
      </w:r>
    </w:p>
    <w:p w:rsidR="00944463" w:rsidRPr="007861C4" w:rsidRDefault="00944463" w:rsidP="00944463">
      <w:pPr>
        <w:shd w:val="clear" w:color="auto" w:fill="FFFFFF"/>
        <w:spacing w:line="360" w:lineRule="auto"/>
        <w:jc w:val="center"/>
        <w:rPr>
          <w:rFonts w:ascii="GHEA Grapalat" w:hAnsi="GHEA Grapalat"/>
          <w:bCs/>
          <w:lang w:val="hy-AM"/>
        </w:rPr>
      </w:pPr>
    </w:p>
    <w:tbl>
      <w:tblPr>
        <w:tblStyle w:val="TableGrid"/>
        <w:tblW w:w="13248" w:type="dxa"/>
        <w:tblLook w:val="04A0"/>
      </w:tblPr>
      <w:tblGrid>
        <w:gridCol w:w="7578"/>
        <w:gridCol w:w="5670"/>
      </w:tblGrid>
      <w:tr w:rsidR="00944463" w:rsidRPr="007861C4" w:rsidTr="00BB5899">
        <w:trPr>
          <w:trHeight w:val="458"/>
        </w:trPr>
        <w:tc>
          <w:tcPr>
            <w:tcW w:w="7578" w:type="dxa"/>
            <w:vMerge w:val="restart"/>
            <w:shd w:val="clear" w:color="auto" w:fill="D9D9D9" w:themeFill="background1" w:themeFillShade="D9"/>
            <w:vAlign w:val="center"/>
          </w:tcPr>
          <w:p w:rsidR="00944463" w:rsidRPr="007861C4" w:rsidRDefault="00E45683" w:rsidP="00746916">
            <w:pPr>
              <w:jc w:val="center"/>
              <w:rPr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1</w:t>
            </w:r>
            <w:r w:rsidR="00944463" w:rsidRPr="007861C4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 xml:space="preserve">. </w:t>
            </w:r>
            <w:r w:rsidR="00944463" w:rsidRPr="007861C4">
              <w:rPr>
                <w:rFonts w:ascii="GHEA Grapalat" w:hAnsi="GHEA Grapalat" w:cs="Sylfaen"/>
                <w:sz w:val="24"/>
                <w:szCs w:val="24"/>
              </w:rPr>
              <w:t xml:space="preserve"> ՀՀ արդարադատության նախարարություն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944463" w:rsidRPr="007861C4" w:rsidRDefault="00E45683" w:rsidP="007861C4">
            <w:pPr>
              <w:jc w:val="center"/>
              <w:rPr>
                <w:sz w:val="24"/>
                <w:szCs w:val="24"/>
              </w:rPr>
            </w:pPr>
            <w:r w:rsidRPr="00E45683">
              <w:rPr>
                <w:rFonts w:ascii="GHEA Grapalat" w:hAnsi="GHEA Grapalat" w:cs="Sylfaen"/>
                <w:sz w:val="24"/>
                <w:szCs w:val="24"/>
              </w:rPr>
              <w:t>26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01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.202</w:t>
            </w:r>
            <w:r w:rsidR="001E7437">
              <w:rPr>
                <w:rFonts w:ascii="GHEA Grapalat" w:hAnsi="GHEA Grapalat" w:cs="Sylfaen"/>
                <w:sz w:val="24"/>
                <w:szCs w:val="24"/>
                <w:lang w:val="en-US"/>
              </w:rPr>
              <w:t>3</w:t>
            </w:r>
            <w:r w:rsidR="00944463" w:rsidRPr="007861C4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</w:tc>
      </w:tr>
      <w:tr w:rsidR="00944463" w:rsidRPr="007861C4" w:rsidTr="00BB5899">
        <w:trPr>
          <w:trHeight w:val="278"/>
        </w:trPr>
        <w:tc>
          <w:tcPr>
            <w:tcW w:w="7578" w:type="dxa"/>
            <w:vMerge/>
            <w:shd w:val="clear" w:color="auto" w:fill="D9D9D9" w:themeFill="background1" w:themeFillShade="D9"/>
          </w:tcPr>
          <w:p w:rsidR="00944463" w:rsidRPr="007861C4" w:rsidRDefault="00944463" w:rsidP="0094446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944463" w:rsidRPr="007861C4" w:rsidRDefault="00944463" w:rsidP="00E45683">
            <w:pPr>
              <w:jc w:val="center"/>
              <w:rPr>
                <w:sz w:val="24"/>
                <w:szCs w:val="24"/>
              </w:rPr>
            </w:pPr>
            <w:r w:rsidRPr="007861C4">
              <w:rPr>
                <w:rFonts w:ascii="GHEA Grapalat" w:hAnsi="GHEA Grapalat" w:cs="Sylfaen"/>
                <w:sz w:val="24"/>
                <w:szCs w:val="24"/>
                <w:lang w:val="hy-AM"/>
              </w:rPr>
              <w:t>№</w:t>
            </w:r>
            <w:r w:rsidR="009560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ED0F68" w:rsidRPr="00ED0F68">
              <w:rPr>
                <w:rFonts w:ascii="GHEA Grapalat" w:hAnsi="GHEA Grapalat" w:cs="Sylfaen"/>
                <w:sz w:val="24"/>
                <w:szCs w:val="24"/>
                <w:lang w:val="hy-AM"/>
              </w:rPr>
              <w:t>01/27.1/4070-2023</w:t>
            </w:r>
          </w:p>
        </w:tc>
      </w:tr>
      <w:tr w:rsidR="00944463" w:rsidRPr="00D16858" w:rsidTr="00BB5899">
        <w:trPr>
          <w:trHeight w:val="609"/>
        </w:trPr>
        <w:tc>
          <w:tcPr>
            <w:tcW w:w="7578" w:type="dxa"/>
          </w:tcPr>
          <w:p w:rsidR="00FC2EB3" w:rsidRPr="001717C8" w:rsidRDefault="00FC2EB3" w:rsidP="00E10E80">
            <w:pPr>
              <w:spacing w:line="276" w:lineRule="auto"/>
              <w:ind w:firstLine="61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Հայտնում են</w:t>
            </w:r>
            <w:r w:rsidRPr="001717C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որ Հայաստանի Հանրապետության կառավարության 2021 թվականի փետրվարի 25-ի թիվ 252-Լ որոշմամբ հաստատված աշխատակարգի 15-րդ կետում ամրագրված կարգավորման համաձայն՝ նախագծերը նախապես կարծիքի են ուղարկվում </w:t>
            </w:r>
            <w:r w:rsidRPr="001717C8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շահագրգիռ մարմիններին</w:t>
            </w:r>
            <w:r w:rsidRPr="001717C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նախագիծը ներկայացնողի կողմից: </w:t>
            </w:r>
            <w:r w:rsidRPr="001717C8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Ոչ նորմատիվ բնույթի նախագծերը կարծիքի են ուղարկվում նաև </w:t>
            </w:r>
            <w:r w:rsidRPr="001717C8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արդարադատության նախարարություն</w:t>
            </w:r>
            <w:r w:rsidRPr="001717C8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, բացառությամբ օրենքի կիրարկումն ապահովող միջոցառումների մասին, աշխատանքային խմբերի (հանձնաժողովների, հանձնախմբերի) մասին, </w:t>
            </w:r>
            <w:r w:rsidRPr="001717C8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գույք հետ վերցնելու կամ ամրացնելու մասին նախագծերի</w:t>
            </w:r>
            <w:r w:rsidRPr="001717C8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: </w:t>
            </w:r>
          </w:p>
          <w:p w:rsidR="00944463" w:rsidRPr="00FC2EB3" w:rsidRDefault="00FC2EB3" w:rsidP="00E10E80">
            <w:pPr>
              <w:shd w:val="clear" w:color="auto" w:fill="FFFFFF"/>
              <w:spacing w:line="276" w:lineRule="auto"/>
              <w:ind w:firstLine="618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1717C8">
              <w:rPr>
                <w:rFonts w:ascii="GHEA Grapalat" w:hAnsi="GHEA Grapalat"/>
                <w:sz w:val="24"/>
                <w:szCs w:val="24"/>
                <w:lang w:val="hy-AM"/>
              </w:rPr>
              <w:t>«Նվիրաբերությամբ գույք հանձնելու մասին» ՀՀ կառավարության</w:t>
            </w:r>
            <w:r w:rsidRPr="001717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1717C8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 նախագծի (այսուհետ՝ նախագիծ) առումով անհրաժեշտ է նկատի ունենալով այն հանգամանքը, որ ներկայացված նախագիծը վերաբերում է գույք հանձնելուն, իսկ ՀՀ արդարադատության նախարարությունն էլ ըստ էության տվյալ նախագծով շահագրգիռ մարմին</w:t>
            </w:r>
            <w:r w:rsidRPr="00FC2E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717C8">
              <w:rPr>
                <w:rFonts w:ascii="GHEA Grapalat" w:hAnsi="GHEA Grapalat" w:cs="Sylfaen"/>
                <w:sz w:val="24"/>
                <w:szCs w:val="24"/>
                <w:lang w:val="hy-AM"/>
              </w:rPr>
              <w:t>չի հանդիսանում՝ ուստի ղեկավարվելով Հայաստանի Հ</w:t>
            </w:r>
            <w:bookmarkStart w:id="0" w:name="_GoBack"/>
            <w:bookmarkEnd w:id="0"/>
            <w:r w:rsidRPr="001717C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անրապետության կառավարության </w:t>
            </w:r>
            <w:r w:rsidRPr="001717C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2021 թվականի փետրվարի 25-ի թիվ 252-Լ որոշմամբ հաստատված աշխատակարգի 15-րդ կետի պահանջներով՝ հա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րկ են</w:t>
            </w:r>
            <w:r w:rsidRPr="001717C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համարում նշել, որ ներկայացված նախագծի վերաբերյալ ՀՀ արդարադատության նախարարության կողմից կարծիք չի ներկայացվելու:</w:t>
            </w:r>
          </w:p>
        </w:tc>
        <w:tc>
          <w:tcPr>
            <w:tcW w:w="5670" w:type="dxa"/>
          </w:tcPr>
          <w:p w:rsidR="005A0759" w:rsidRDefault="005A0759" w:rsidP="00E10E80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274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Ընդունվել է ի գիտություն:</w:t>
            </w:r>
          </w:p>
          <w:p w:rsidR="00710047" w:rsidRPr="00710047" w:rsidRDefault="00710047" w:rsidP="00E45683">
            <w:pPr>
              <w:spacing w:line="360" w:lineRule="auto"/>
              <w:rPr>
                <w:sz w:val="24"/>
                <w:szCs w:val="24"/>
                <w:lang w:val="hy-AM"/>
              </w:rPr>
            </w:pPr>
          </w:p>
        </w:tc>
      </w:tr>
      <w:tr w:rsidR="00944463" w:rsidRPr="007861C4" w:rsidTr="00BB5899">
        <w:trPr>
          <w:trHeight w:val="512"/>
        </w:trPr>
        <w:tc>
          <w:tcPr>
            <w:tcW w:w="7578" w:type="dxa"/>
            <w:vMerge w:val="restart"/>
            <w:shd w:val="clear" w:color="auto" w:fill="D9D9D9" w:themeFill="background1" w:themeFillShade="D9"/>
            <w:vAlign w:val="center"/>
          </w:tcPr>
          <w:p w:rsidR="00944463" w:rsidRPr="002477C9" w:rsidRDefault="00E45683" w:rsidP="00634300">
            <w:pPr>
              <w:jc w:val="center"/>
              <w:rPr>
                <w:sz w:val="24"/>
                <w:szCs w:val="24"/>
              </w:rPr>
            </w:pPr>
            <w:r w:rsidRPr="00E45683">
              <w:rPr>
                <w:rFonts w:ascii="GHEA Grapalat" w:hAnsi="GHEA Grapalat"/>
                <w:sz w:val="24"/>
                <w:szCs w:val="24"/>
                <w:lang w:eastAsia="en-US"/>
              </w:rPr>
              <w:lastRenderedPageBreak/>
              <w:t>2</w:t>
            </w:r>
            <w:r w:rsidR="00944463" w:rsidRPr="002477C9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. </w:t>
            </w:r>
            <w:r w:rsidR="00944463" w:rsidRPr="002477C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525753" w:rsidRPr="00FA2B35"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r w:rsidR="00525753" w:rsidRPr="00FA2B35">
              <w:rPr>
                <w:rFonts w:ascii="GHEA Grapalat" w:hAnsi="GHEA Grapalat" w:cs="Sylfaen"/>
                <w:sz w:val="24"/>
                <w:szCs w:val="24"/>
                <w:lang w:val="hy-AM"/>
              </w:rPr>
              <w:t>արտաքին գործերի</w:t>
            </w:r>
            <w:r w:rsidR="00525753" w:rsidRPr="00FA2B35">
              <w:rPr>
                <w:rFonts w:ascii="GHEA Grapalat" w:hAnsi="GHEA Grapalat" w:cs="Sylfaen"/>
                <w:sz w:val="24"/>
                <w:szCs w:val="24"/>
              </w:rPr>
              <w:t xml:space="preserve"> նախարարություն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944463" w:rsidRPr="007861C4" w:rsidRDefault="002A18D1" w:rsidP="002477C9">
            <w:pPr>
              <w:jc w:val="center"/>
              <w:rPr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27</w:t>
            </w:r>
            <w:r w:rsidR="007861C4" w:rsidRPr="007861C4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1E7437">
              <w:rPr>
                <w:rFonts w:ascii="GHEA Grapalat" w:hAnsi="GHEA Grapalat" w:cs="Sylfaen"/>
                <w:sz w:val="24"/>
                <w:szCs w:val="24"/>
                <w:lang w:val="en-US"/>
              </w:rPr>
              <w:t>01</w:t>
            </w:r>
            <w:r w:rsidR="001E7437">
              <w:rPr>
                <w:rFonts w:ascii="GHEA Grapalat" w:hAnsi="GHEA Grapalat" w:cs="Sylfaen"/>
                <w:sz w:val="24"/>
                <w:szCs w:val="24"/>
                <w:lang w:val="hy-AM"/>
              </w:rPr>
              <w:t>.202</w:t>
            </w:r>
            <w:r w:rsidR="001E7437" w:rsidRPr="001E7437">
              <w:rPr>
                <w:rFonts w:ascii="GHEA Grapalat" w:hAnsi="GHEA Grapalat" w:cs="Sylfaen"/>
                <w:sz w:val="24"/>
                <w:szCs w:val="24"/>
              </w:rPr>
              <w:t>3</w:t>
            </w:r>
            <w:r w:rsidR="007861C4" w:rsidRPr="007861C4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</w:tc>
      </w:tr>
      <w:tr w:rsidR="00944463" w:rsidRPr="007861C4" w:rsidTr="00BB5899">
        <w:trPr>
          <w:trHeight w:val="332"/>
        </w:trPr>
        <w:tc>
          <w:tcPr>
            <w:tcW w:w="7578" w:type="dxa"/>
            <w:vMerge/>
            <w:shd w:val="clear" w:color="auto" w:fill="D9D9D9" w:themeFill="background1" w:themeFillShade="D9"/>
          </w:tcPr>
          <w:p w:rsidR="00944463" w:rsidRPr="007861C4" w:rsidRDefault="00944463" w:rsidP="0094446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944463" w:rsidRPr="002477C9" w:rsidRDefault="00F67885" w:rsidP="001E7437">
            <w:pPr>
              <w:jc w:val="center"/>
              <w:rPr>
                <w:sz w:val="24"/>
                <w:szCs w:val="24"/>
              </w:rPr>
            </w:pPr>
            <w:r w:rsidRPr="002A18D1">
              <w:rPr>
                <w:rFonts w:ascii="GHEA Grapalat" w:hAnsi="GHEA Grapalat" w:cs="Sylfaen"/>
                <w:sz w:val="24"/>
                <w:szCs w:val="24"/>
                <w:lang w:val="en-US"/>
              </w:rPr>
              <w:t>№</w:t>
            </w:r>
            <w:r w:rsidR="00B12E69" w:rsidRPr="002A18D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2A18D1" w:rsidRPr="002A18D1">
              <w:rPr>
                <w:rFonts w:ascii="GHEA Grapalat" w:hAnsi="GHEA Grapalat" w:cs="Sylfaen"/>
                <w:sz w:val="24"/>
                <w:szCs w:val="24"/>
                <w:lang w:val="en-US"/>
              </w:rPr>
              <w:t>1111/4087-23</w:t>
            </w:r>
          </w:p>
        </w:tc>
      </w:tr>
      <w:tr w:rsidR="00944463" w:rsidRPr="004E6B31" w:rsidTr="00BB5899">
        <w:trPr>
          <w:trHeight w:val="609"/>
        </w:trPr>
        <w:tc>
          <w:tcPr>
            <w:tcW w:w="7578" w:type="dxa"/>
          </w:tcPr>
          <w:p w:rsidR="00944463" w:rsidRPr="00BB64C3" w:rsidRDefault="00204AA6" w:rsidP="00E10E80">
            <w:pPr>
              <w:tabs>
                <w:tab w:val="left" w:pos="851"/>
              </w:tabs>
              <w:spacing w:line="276" w:lineRule="auto"/>
              <w:ind w:firstLine="630"/>
              <w:contextualSpacing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  <w:r w:rsidRPr="00BB64C3">
              <w:rPr>
                <w:rFonts w:ascii="GHEA Grapalat" w:hAnsi="GHEA Grapalat"/>
                <w:sz w:val="24"/>
                <w:szCs w:val="24"/>
                <w:lang w:val="hy-AM"/>
              </w:rPr>
              <w:t>Առաջարկում են նախագծի 3-րդ կետում «հանձման-ընդունման» բառից հետո ավելացնել «և գույքի նվիրաբերության պայմանագրի նոտարական վավերացման» բառերը:</w:t>
            </w:r>
            <w:r w:rsidRPr="00BB64C3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BB64C3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</w:p>
        </w:tc>
        <w:tc>
          <w:tcPr>
            <w:tcW w:w="5670" w:type="dxa"/>
          </w:tcPr>
          <w:p w:rsidR="00944463" w:rsidRPr="00D36B44" w:rsidRDefault="00ED22EA" w:rsidP="00E10E80">
            <w:pPr>
              <w:spacing w:line="276" w:lineRule="auto"/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</w:pPr>
            <w:r w:rsidRPr="00D36B44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Չի ընդունվել, հաշվի առնելով, որ </w:t>
            </w:r>
            <w:r w:rsidR="00DD43FA" w:rsidRPr="00D36B44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շարժական գույքի նվիրաբերության պայմանագրերի  </w:t>
            </w:r>
            <w:r w:rsidR="00DD43FA" w:rsidRPr="00D36B44">
              <w:rPr>
                <w:rFonts w:ascii="GHEA Grapalat" w:hAnsi="GHEA Grapalat"/>
                <w:sz w:val="24"/>
                <w:szCs w:val="24"/>
                <w:lang w:val="hy-AM"/>
              </w:rPr>
              <w:t>նոտարական վավերացման պարտադիր պահանջ</w:t>
            </w:r>
            <w:r w:rsidR="00DD43FA" w:rsidRPr="00D36B44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D36B44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ՀՀ օրենսդրությամբ </w:t>
            </w:r>
            <w:r w:rsidR="00DD43FA" w:rsidRPr="00D36B44">
              <w:rPr>
                <w:rFonts w:ascii="GHEA Grapalat" w:hAnsi="GHEA Grapalat"/>
                <w:sz w:val="24"/>
                <w:szCs w:val="24"/>
                <w:lang w:val="hy-AM"/>
              </w:rPr>
              <w:t>նախատեսված չէ</w:t>
            </w:r>
            <w:r w:rsidRPr="00D36B44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0729EA" w:rsidRPr="00AC792C" w:rsidRDefault="000729EA" w:rsidP="00E10E80">
            <w:pPr>
              <w:spacing w:line="276" w:lineRule="auto"/>
              <w:rPr>
                <w:rFonts w:ascii="Sylfaen" w:hAnsi="Sylfaen"/>
                <w:color w:val="0070C0"/>
                <w:sz w:val="24"/>
                <w:szCs w:val="24"/>
                <w:lang w:val="hy-AM"/>
              </w:rPr>
            </w:pPr>
          </w:p>
        </w:tc>
      </w:tr>
      <w:tr w:rsidR="00944463" w:rsidRPr="007861C4" w:rsidTr="00BB5899">
        <w:trPr>
          <w:trHeight w:val="350"/>
        </w:trPr>
        <w:tc>
          <w:tcPr>
            <w:tcW w:w="7578" w:type="dxa"/>
            <w:vMerge w:val="restart"/>
            <w:shd w:val="clear" w:color="auto" w:fill="D9D9D9" w:themeFill="background1" w:themeFillShade="D9"/>
            <w:vAlign w:val="center"/>
          </w:tcPr>
          <w:p w:rsidR="00944463" w:rsidRPr="00901FCB" w:rsidRDefault="00B91BF0" w:rsidP="005448D7">
            <w:pPr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901FCB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="00944463" w:rsidRPr="007861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  <w:r w:rsidR="00944463" w:rsidRPr="00901F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41C4A" w:rsidRPr="00901F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</w:t>
            </w:r>
            <w:r w:rsidR="00C41C4A" w:rsidRPr="007861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կրթության, գիտության, մշակույթի և սպորտի</w:t>
            </w:r>
            <w:r w:rsidR="00C41C4A" w:rsidRPr="00901F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նախարարություն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944463" w:rsidRPr="007861C4" w:rsidRDefault="00677215" w:rsidP="007861C4">
            <w:pPr>
              <w:jc w:val="center"/>
              <w:rPr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30</w:t>
            </w:r>
            <w:r w:rsidR="00B1417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B1417A">
              <w:rPr>
                <w:rFonts w:ascii="GHEA Grapalat" w:hAnsi="GHEA Grapalat" w:cs="Sylfaen"/>
                <w:sz w:val="24"/>
                <w:szCs w:val="24"/>
                <w:lang w:val="en-US"/>
              </w:rPr>
              <w:t>01</w:t>
            </w:r>
            <w:r w:rsidR="00B1417A">
              <w:rPr>
                <w:rFonts w:ascii="GHEA Grapalat" w:hAnsi="GHEA Grapalat" w:cs="Sylfaen"/>
                <w:sz w:val="24"/>
                <w:szCs w:val="24"/>
                <w:lang w:val="hy-AM"/>
              </w:rPr>
              <w:t>.202</w:t>
            </w:r>
            <w:r w:rsidR="00B1417A">
              <w:rPr>
                <w:rFonts w:ascii="GHEA Grapalat" w:hAnsi="GHEA Grapalat" w:cs="Sylfaen"/>
                <w:sz w:val="24"/>
                <w:szCs w:val="24"/>
                <w:lang w:val="en-US"/>
              </w:rPr>
              <w:t>3</w:t>
            </w:r>
            <w:r w:rsidR="007861C4" w:rsidRPr="007861C4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</w:tc>
      </w:tr>
      <w:tr w:rsidR="00944463" w:rsidRPr="007861C4" w:rsidTr="00BB5899">
        <w:trPr>
          <w:trHeight w:val="323"/>
        </w:trPr>
        <w:tc>
          <w:tcPr>
            <w:tcW w:w="7578" w:type="dxa"/>
            <w:vMerge/>
            <w:shd w:val="clear" w:color="auto" w:fill="D9D9D9" w:themeFill="background1" w:themeFillShade="D9"/>
          </w:tcPr>
          <w:p w:rsidR="00944463" w:rsidRPr="007861C4" w:rsidRDefault="00944463" w:rsidP="0094446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944463" w:rsidRPr="00AE6362" w:rsidRDefault="00F67885" w:rsidP="00B1417A">
            <w:pPr>
              <w:jc w:val="center"/>
              <w:rPr>
                <w:color w:val="FF0000"/>
                <w:sz w:val="24"/>
                <w:szCs w:val="24"/>
              </w:rPr>
            </w:pPr>
            <w:r w:rsidRPr="00A677EC">
              <w:rPr>
                <w:rFonts w:ascii="GHEA Grapalat" w:hAnsi="GHEA Grapalat" w:cs="Sylfaen"/>
                <w:sz w:val="24"/>
                <w:szCs w:val="24"/>
                <w:lang w:val="hy-AM"/>
              </w:rPr>
              <w:t>№</w:t>
            </w:r>
            <w:r w:rsidR="00120A44" w:rsidRPr="00A039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039E4" w:rsidRPr="00A039E4">
              <w:rPr>
                <w:rFonts w:ascii="GHEA Grapalat" w:hAnsi="GHEA Grapalat" w:cs="Sylfaen"/>
                <w:sz w:val="24"/>
                <w:szCs w:val="24"/>
                <w:lang w:val="hy-AM"/>
              </w:rPr>
              <w:t>01/20.1/1906-2023</w:t>
            </w:r>
          </w:p>
        </w:tc>
      </w:tr>
      <w:tr w:rsidR="00944463" w:rsidRPr="007861C4" w:rsidTr="00BB5899">
        <w:trPr>
          <w:trHeight w:val="1088"/>
        </w:trPr>
        <w:tc>
          <w:tcPr>
            <w:tcW w:w="7578" w:type="dxa"/>
          </w:tcPr>
          <w:p w:rsidR="00C41C4A" w:rsidRDefault="003C7E2F" w:rsidP="00E10E80">
            <w:pPr>
              <w:shd w:val="clear" w:color="auto" w:fill="FFFFFF"/>
              <w:tabs>
                <w:tab w:val="left" w:pos="720"/>
                <w:tab w:val="left" w:pos="1215"/>
              </w:tabs>
              <w:spacing w:line="276" w:lineRule="auto"/>
              <w:ind w:firstLine="567"/>
              <w:jc w:val="both"/>
              <w:rPr>
                <w:rFonts w:ascii="GHEA Grapalat" w:hAnsi="GHEA Grapalat" w:cs="Times Armenian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noProof/>
                <w:sz w:val="24"/>
                <w:szCs w:val="24"/>
                <w:lang w:val="hy-AM"/>
              </w:rPr>
              <w:t>Ն</w:t>
            </w:r>
            <w:r w:rsidR="00C41C4A">
              <w:rPr>
                <w:rFonts w:ascii="GHEA Grapalat" w:hAnsi="GHEA Grapalat" w:cs="Times Armenian"/>
                <w:noProof/>
                <w:sz w:val="24"/>
                <w:szCs w:val="24"/>
                <w:lang w:val="hy-AM"/>
              </w:rPr>
              <w:t>ախագծի վերաբերյալ առաջարկություններ ու առարկություններ չունեն:</w:t>
            </w:r>
          </w:p>
          <w:p w:rsidR="00944463" w:rsidRPr="00C41C4A" w:rsidRDefault="00944463" w:rsidP="00E10E80">
            <w:pPr>
              <w:autoSpaceDE w:val="0"/>
              <w:autoSpaceDN w:val="0"/>
              <w:adjustRightInd w:val="0"/>
              <w:spacing w:line="276" w:lineRule="auto"/>
              <w:ind w:right="-18" w:firstLine="72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70" w:type="dxa"/>
          </w:tcPr>
          <w:p w:rsidR="00944463" w:rsidRPr="007861C4" w:rsidRDefault="00B3145B" w:rsidP="00615537">
            <w:pPr>
              <w:spacing w:line="276" w:lineRule="auto"/>
              <w:rPr>
                <w:sz w:val="24"/>
                <w:szCs w:val="24"/>
              </w:rPr>
            </w:pPr>
            <w:r w:rsidRPr="007861C4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Ընդունվել է</w:t>
            </w:r>
            <w:r w:rsidR="00615537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 xml:space="preserve"> </w:t>
            </w:r>
            <w:r w:rsidRPr="007861C4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ի գիտություն:</w:t>
            </w:r>
          </w:p>
        </w:tc>
      </w:tr>
      <w:tr w:rsidR="00944463" w:rsidRPr="007861C4" w:rsidTr="00BB5899">
        <w:trPr>
          <w:trHeight w:val="440"/>
        </w:trPr>
        <w:tc>
          <w:tcPr>
            <w:tcW w:w="7578" w:type="dxa"/>
            <w:vMerge w:val="restart"/>
            <w:shd w:val="clear" w:color="auto" w:fill="D9D9D9" w:themeFill="background1" w:themeFillShade="D9"/>
            <w:vAlign w:val="center"/>
          </w:tcPr>
          <w:p w:rsidR="00944463" w:rsidRPr="007861C4" w:rsidRDefault="00B91BF0" w:rsidP="00634300">
            <w:pPr>
              <w:jc w:val="center"/>
              <w:rPr>
                <w:sz w:val="24"/>
                <w:szCs w:val="24"/>
              </w:rPr>
            </w:pPr>
            <w:r w:rsidRPr="00B91BF0">
              <w:rPr>
                <w:rFonts w:ascii="GHEA Grapalat" w:hAnsi="GHEA Grapalat" w:cs="Sylfaen"/>
                <w:sz w:val="24"/>
                <w:szCs w:val="24"/>
              </w:rPr>
              <w:t>4</w:t>
            </w:r>
            <w:r w:rsidR="00944463" w:rsidRPr="007861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  <w:r w:rsidR="00C41C4A" w:rsidRPr="007861C4"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r w:rsidR="00C41C4A" w:rsidRPr="007861C4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 միջավայրի</w:t>
            </w:r>
            <w:r w:rsidR="00C41C4A" w:rsidRPr="007861C4">
              <w:rPr>
                <w:rFonts w:ascii="GHEA Grapalat" w:hAnsi="GHEA Grapalat" w:cs="Sylfaen"/>
                <w:sz w:val="24"/>
                <w:szCs w:val="24"/>
              </w:rPr>
              <w:t xml:space="preserve"> նախարարություն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944463" w:rsidRPr="007861C4" w:rsidRDefault="000A4A02" w:rsidP="007861C4">
            <w:pPr>
              <w:jc w:val="center"/>
              <w:rPr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07</w:t>
            </w:r>
            <w:r w:rsidR="003017BC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="003017BC">
              <w:rPr>
                <w:rFonts w:ascii="GHEA Grapalat" w:hAnsi="GHEA Grapalat" w:cs="Sylfaen"/>
                <w:sz w:val="24"/>
                <w:szCs w:val="24"/>
                <w:lang w:val="hy-AM"/>
              </w:rPr>
              <w:t>.202</w:t>
            </w:r>
            <w:r w:rsidR="003017BC" w:rsidRPr="003017BC">
              <w:rPr>
                <w:rFonts w:ascii="GHEA Grapalat" w:hAnsi="GHEA Grapalat" w:cs="Sylfaen"/>
                <w:sz w:val="24"/>
                <w:szCs w:val="24"/>
              </w:rPr>
              <w:t>3</w:t>
            </w:r>
            <w:r w:rsidR="007861C4" w:rsidRPr="007861C4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</w:tc>
      </w:tr>
      <w:tr w:rsidR="00944463" w:rsidRPr="007861C4" w:rsidTr="00BB5899">
        <w:trPr>
          <w:trHeight w:val="350"/>
        </w:trPr>
        <w:tc>
          <w:tcPr>
            <w:tcW w:w="7578" w:type="dxa"/>
            <w:vMerge/>
            <w:shd w:val="clear" w:color="auto" w:fill="D9D9D9" w:themeFill="background1" w:themeFillShade="D9"/>
          </w:tcPr>
          <w:p w:rsidR="00944463" w:rsidRPr="007861C4" w:rsidRDefault="00944463" w:rsidP="0094446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944463" w:rsidRPr="007861C4" w:rsidRDefault="00F67885" w:rsidP="003017BC">
            <w:pPr>
              <w:jc w:val="center"/>
              <w:rPr>
                <w:sz w:val="24"/>
                <w:szCs w:val="24"/>
              </w:rPr>
            </w:pPr>
            <w:r w:rsidRPr="007861C4">
              <w:rPr>
                <w:rFonts w:ascii="GHEA Grapalat" w:hAnsi="GHEA Grapalat" w:cs="Sylfaen"/>
                <w:sz w:val="24"/>
                <w:szCs w:val="24"/>
                <w:lang w:val="hy-AM"/>
              </w:rPr>
              <w:t>№</w:t>
            </w:r>
            <w:r w:rsidR="009560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24A6F" w:rsidRPr="00924A6F">
              <w:rPr>
                <w:rFonts w:ascii="GHEA Grapalat" w:hAnsi="GHEA Grapalat" w:cs="Sylfaen"/>
                <w:sz w:val="24"/>
                <w:szCs w:val="24"/>
                <w:lang w:val="hy-AM"/>
              </w:rPr>
              <w:t>1/04.8/1122-2023</w:t>
            </w:r>
          </w:p>
        </w:tc>
      </w:tr>
      <w:tr w:rsidR="00944463" w:rsidRPr="004E6B31" w:rsidTr="00BB5899">
        <w:trPr>
          <w:trHeight w:val="573"/>
        </w:trPr>
        <w:tc>
          <w:tcPr>
            <w:tcW w:w="7578" w:type="dxa"/>
          </w:tcPr>
          <w:p w:rsidR="00020980" w:rsidRDefault="00020980" w:rsidP="00E10E80">
            <w:pPr>
              <w:spacing w:line="276" w:lineRule="auto"/>
              <w:ind w:right="-22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ռաջարկում են Նախագծի 1-ին կետում նշված «բնապահպանական» բառը փոխարինել «շրջակա միջավայրի» բառերով։</w:t>
            </w:r>
          </w:p>
          <w:p w:rsidR="00944463" w:rsidRPr="00020980" w:rsidRDefault="00944463" w:rsidP="00E10E80">
            <w:pPr>
              <w:shd w:val="clear" w:color="auto" w:fill="FFFFFF"/>
              <w:spacing w:line="276" w:lineRule="auto"/>
              <w:ind w:firstLine="720"/>
              <w:jc w:val="both"/>
              <w:rPr>
                <w:sz w:val="24"/>
                <w:szCs w:val="24"/>
                <w:lang w:val="hy-AM"/>
              </w:rPr>
            </w:pPr>
          </w:p>
        </w:tc>
        <w:tc>
          <w:tcPr>
            <w:tcW w:w="5670" w:type="dxa"/>
          </w:tcPr>
          <w:p w:rsidR="00F91B66" w:rsidRDefault="00020980" w:rsidP="00E10E80">
            <w:pPr>
              <w:spacing w:line="276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9274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br/>
            </w:r>
            <w:r w:rsidRPr="00443EA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Նախագծում </w:t>
            </w:r>
            <w:r w:rsidR="0095543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և հիմնավորման մեջ կատարվել են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համապատսխան փոփոխություն</w:t>
            </w:r>
            <w:r w:rsidR="0095543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ներ:</w:t>
            </w:r>
          </w:p>
          <w:p w:rsidR="00E41055" w:rsidRPr="00FA696C" w:rsidRDefault="00E41055" w:rsidP="00E10E80">
            <w:pPr>
              <w:spacing w:line="276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944463" w:rsidRPr="007861C4" w:rsidTr="00BB5899">
        <w:trPr>
          <w:trHeight w:val="395"/>
        </w:trPr>
        <w:tc>
          <w:tcPr>
            <w:tcW w:w="7578" w:type="dxa"/>
            <w:vMerge w:val="restart"/>
            <w:shd w:val="clear" w:color="auto" w:fill="D9D9D9" w:themeFill="background1" w:themeFillShade="D9"/>
            <w:vAlign w:val="center"/>
          </w:tcPr>
          <w:p w:rsidR="00944463" w:rsidRPr="00FA2B35" w:rsidRDefault="00B91BF0" w:rsidP="00634300">
            <w:pPr>
              <w:jc w:val="center"/>
              <w:rPr>
                <w:sz w:val="24"/>
                <w:szCs w:val="24"/>
              </w:rPr>
            </w:pPr>
            <w:r w:rsidRPr="003017BC">
              <w:rPr>
                <w:rFonts w:ascii="GHEA Grapalat" w:hAnsi="GHEA Grapalat" w:cs="Sylfaen"/>
                <w:sz w:val="24"/>
                <w:szCs w:val="24"/>
              </w:rPr>
              <w:t>5</w:t>
            </w:r>
            <w:r w:rsidR="00944463" w:rsidRPr="00FA2B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  <w:r w:rsidR="00525753" w:rsidRPr="002477C9"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r w:rsidR="00525753" w:rsidRPr="002477C9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ֆինանսների</w:t>
            </w:r>
            <w:r w:rsidR="00525753" w:rsidRPr="002477C9">
              <w:rPr>
                <w:rFonts w:ascii="GHEA Grapalat" w:hAnsi="GHEA Grapalat" w:cs="Sylfaen"/>
                <w:sz w:val="24"/>
                <w:szCs w:val="24"/>
              </w:rPr>
              <w:t xml:space="preserve"> նախարարություն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944463" w:rsidRPr="007861C4" w:rsidRDefault="007163AA" w:rsidP="007861C4">
            <w:pPr>
              <w:jc w:val="center"/>
              <w:rPr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07</w:t>
            </w:r>
            <w:r w:rsidR="00B91BF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</w:rPr>
              <w:t>0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="00B91BF0">
              <w:rPr>
                <w:rFonts w:ascii="GHEA Grapalat" w:hAnsi="GHEA Grapalat" w:cs="Sylfaen"/>
                <w:sz w:val="24"/>
                <w:szCs w:val="24"/>
                <w:lang w:val="hy-AM"/>
              </w:rPr>
              <w:t>.202</w:t>
            </w:r>
            <w:r w:rsidR="00B91BF0" w:rsidRPr="003017BC">
              <w:rPr>
                <w:rFonts w:ascii="GHEA Grapalat" w:hAnsi="GHEA Grapalat" w:cs="Sylfaen"/>
                <w:sz w:val="24"/>
                <w:szCs w:val="24"/>
              </w:rPr>
              <w:t>3</w:t>
            </w:r>
            <w:r w:rsidR="007861C4" w:rsidRPr="007861C4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</w:tc>
      </w:tr>
      <w:tr w:rsidR="00944463" w:rsidRPr="007861C4" w:rsidTr="00BB5899">
        <w:trPr>
          <w:trHeight w:val="350"/>
        </w:trPr>
        <w:tc>
          <w:tcPr>
            <w:tcW w:w="7578" w:type="dxa"/>
            <w:vMerge/>
            <w:shd w:val="clear" w:color="auto" w:fill="D9D9D9" w:themeFill="background1" w:themeFillShade="D9"/>
          </w:tcPr>
          <w:p w:rsidR="00944463" w:rsidRPr="007861C4" w:rsidRDefault="00944463" w:rsidP="0094446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B336F2" w:rsidRPr="00AE6362" w:rsidRDefault="00F67885" w:rsidP="003017BC">
            <w:pPr>
              <w:jc w:val="center"/>
              <w:rPr>
                <w:rFonts w:ascii="Sylfaen" w:hAnsi="Sylfaen"/>
                <w:color w:val="FF0000"/>
                <w:sz w:val="24"/>
                <w:szCs w:val="24"/>
                <w:lang w:val="hy-AM"/>
              </w:rPr>
            </w:pPr>
            <w:r w:rsidRPr="00E845A7">
              <w:rPr>
                <w:rFonts w:ascii="GHEA Grapalat" w:hAnsi="GHEA Grapalat" w:cs="Sylfaen"/>
                <w:sz w:val="24"/>
                <w:szCs w:val="24"/>
                <w:lang w:val="hy-AM"/>
              </w:rPr>
              <w:t>№</w:t>
            </w:r>
            <w:r w:rsidR="009560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52A94" w:rsidRPr="00252A94">
              <w:rPr>
                <w:rFonts w:ascii="GHEA Grapalat" w:hAnsi="GHEA Grapalat" w:cs="Sylfaen"/>
                <w:sz w:val="24"/>
                <w:szCs w:val="24"/>
                <w:lang w:val="hy-AM"/>
              </w:rPr>
              <w:t>01/9-2/1955-2023</w:t>
            </w:r>
          </w:p>
        </w:tc>
      </w:tr>
      <w:tr w:rsidR="00944463" w:rsidRPr="004E6B31" w:rsidTr="00BB5899">
        <w:trPr>
          <w:trHeight w:val="609"/>
        </w:trPr>
        <w:tc>
          <w:tcPr>
            <w:tcW w:w="7578" w:type="dxa"/>
          </w:tcPr>
          <w:p w:rsidR="00E41055" w:rsidRPr="00A44F66" w:rsidRDefault="007163AA" w:rsidP="004D4202">
            <w:pPr>
              <w:spacing w:line="276" w:lineRule="auto"/>
              <w:ind w:firstLine="720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</w:pPr>
            <w:r w:rsidRPr="00A44F66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lastRenderedPageBreak/>
              <w:t>Նախագծի</w:t>
            </w:r>
            <w:r w:rsidRPr="00A44F66">
              <w:rPr>
                <w:rFonts w:ascii="GHEA Grapalat" w:hAnsi="GHEA Grapalat" w:cs="Arial"/>
                <w:bCs/>
                <w:kern w:val="32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վերաբերյալ</w:t>
            </w:r>
            <w:r w:rsidRPr="00A44F66">
              <w:rPr>
                <w:rFonts w:ascii="GHEA Grapalat" w:hAnsi="GHEA Grapalat" w:cs="Arial"/>
                <w:bCs/>
                <w:kern w:val="32"/>
                <w:sz w:val="24"/>
                <w:szCs w:val="24"/>
                <w:lang w:val="af-ZA"/>
              </w:rPr>
              <w:t xml:space="preserve"> </w:t>
            </w:r>
            <w:r w:rsidRPr="00A44F66">
              <w:rPr>
                <w:rFonts w:ascii="GHEA Grapalat" w:hAnsi="GHEA Grapalat" w:cs="Arial"/>
                <w:bCs/>
                <w:kern w:val="32"/>
                <w:sz w:val="24"/>
                <w:szCs w:val="24"/>
              </w:rPr>
              <w:t>հայտնում</w:t>
            </w:r>
            <w:r w:rsidRPr="00A44F66">
              <w:rPr>
                <w:rFonts w:ascii="GHEA Grapalat" w:hAnsi="GHEA Grapalat" w:cs="Arial"/>
                <w:bCs/>
                <w:kern w:val="32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են</w:t>
            </w:r>
            <w:r w:rsidRPr="00A44F66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հետևյալը.</w:t>
            </w:r>
          </w:p>
          <w:p w:rsidR="007163AA" w:rsidRPr="00A44F66" w:rsidRDefault="007163AA" w:rsidP="004D4202">
            <w:pPr>
              <w:spacing w:line="276" w:lineRule="auto"/>
              <w:ind w:firstLine="720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</w:pPr>
            <w:r w:rsidRPr="00A44F66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Նախագծով նախատեսվում է </w:t>
            </w:r>
            <w:r w:rsidRPr="00A44F66">
              <w:rPr>
                <w:rFonts w:ascii="GHEA Grapalat" w:hAnsi="GHEA Grapalat" w:cs="Arial"/>
                <w:bCs/>
                <w:kern w:val="32"/>
                <w:sz w:val="24"/>
                <w:szCs w:val="24"/>
                <w:lang w:val="af-ZA"/>
              </w:rPr>
              <w:t xml:space="preserve">Lիտվական «ՋեյԷսՍի Սոլիթ Թեքնիքս» ընկերության կողմից «Դի Օհմ Էներջի» սահմանափակ պատասխանատվությամբ ընկերության անունով ստացված, ապա «Հրաժարում՝ հօգուտ պետության» մաքսային ընթացակարգով ձևակերպված և պետական սեփականությանը փոխանցված արևային վահանակներն ու այլ սարքավորումները փոխանցել </w:t>
            </w:r>
            <w:r w:rsidRPr="00A44F66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ՀՀ</w:t>
            </w:r>
            <w:r w:rsidRPr="00A44F66">
              <w:rPr>
                <w:rFonts w:ascii="GHEA Grapalat" w:hAnsi="GHEA Grapalat" w:cs="Arial"/>
                <w:bCs/>
                <w:kern w:val="32"/>
                <w:sz w:val="24"/>
                <w:szCs w:val="24"/>
                <w:lang w:val="af-ZA"/>
              </w:rPr>
              <w:t xml:space="preserve"> տարածքային կառավարման և ենթակառուցվածքների նախարարությանը, և վերջինիս կողմից՝  նվիրաբերության պայմանագրի հիման վրա, հանձնել սույն որոշման հավելվածում նշված նվիրառուներին</w:t>
            </w:r>
            <w:r w:rsidRPr="00A44F66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 xml:space="preserve"> (թվով 13 դպրոց, 4 մանկապարտեզ, մշակույթի տուն և արվեստի դպրոց</w:t>
            </w:r>
            <w:r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/>
              </w:rPr>
              <w:t>)</w:t>
            </w:r>
            <w:r w:rsidRPr="00A44F66">
              <w:rPr>
                <w:rFonts w:ascii="GHEA Grapalat" w:hAnsi="GHEA Grapalat" w:cs="Arial"/>
                <w:bCs/>
                <w:kern w:val="32"/>
                <w:sz w:val="24"/>
                <w:szCs w:val="24"/>
                <w:lang w:val="af-ZA"/>
              </w:rPr>
              <w:t>:</w:t>
            </w:r>
          </w:p>
          <w:p w:rsidR="007163AA" w:rsidRPr="00A44F66" w:rsidRDefault="007163AA" w:rsidP="004D4202">
            <w:pPr>
              <w:shd w:val="clear" w:color="auto" w:fill="FFFFFF"/>
              <w:spacing w:line="276" w:lineRule="auto"/>
              <w:ind w:firstLine="720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A44F66">
              <w:rPr>
                <w:rFonts w:ascii="GHEA Grapalat" w:hAnsi="GHEA Grapalat"/>
                <w:sz w:val="24"/>
                <w:lang w:val="hy-AM"/>
              </w:rPr>
              <w:t xml:space="preserve">Հարկ է նկատել, որ </w:t>
            </w:r>
            <w:r w:rsidRPr="00A44F66">
              <w:rPr>
                <w:rFonts w:ascii="GHEA Grapalat" w:hAnsi="GHEA Grapalat" w:cs="Sylfaen"/>
                <w:sz w:val="24"/>
                <w:lang w:val="hy-AM"/>
              </w:rPr>
              <w:t>առաջարկվող մեխանիզմն առերևույթ տպավորություն է ստեղծում, որ նպատակ ունի ազատել ապրանքների ներմուծման համար ավելացված արժեքի հարկի գծով ՀՀ սահմանին առաջացող հարկային պարտավորություններից, ինչը որևէ պարագայում ընդունելի համարվել չի կարող:</w:t>
            </w:r>
          </w:p>
          <w:p w:rsidR="00585529" w:rsidRPr="00E41055" w:rsidRDefault="007163AA" w:rsidP="004D4202">
            <w:pPr>
              <w:shd w:val="clear" w:color="auto" w:fill="FFFFFF"/>
              <w:spacing w:line="276" w:lineRule="auto"/>
              <w:ind w:firstLine="720"/>
              <w:jc w:val="both"/>
              <w:rPr>
                <w:rFonts w:ascii="GHEA Grapalat" w:hAnsi="GHEA Grapalat"/>
                <w:b/>
                <w:i/>
                <w:sz w:val="24"/>
                <w:lang w:val="hy-AM"/>
              </w:rPr>
            </w:pPr>
            <w:r w:rsidRPr="00A44F66">
              <w:rPr>
                <w:rFonts w:ascii="GHEA Grapalat" w:hAnsi="GHEA Grapalat" w:cs="Sylfaen"/>
                <w:sz w:val="24"/>
                <w:lang w:val="hy-AM"/>
              </w:rPr>
              <w:t xml:space="preserve">Ընդ որում, </w:t>
            </w:r>
            <w:r w:rsidRPr="00A44F66">
              <w:rPr>
                <w:rFonts w:ascii="GHEA Grapalat" w:hAnsi="GHEA Grapalat"/>
                <w:sz w:val="24"/>
                <w:lang w:val="hy-AM"/>
              </w:rPr>
              <w:t xml:space="preserve">նույնաբովանդակ նախաձեռնության վերաբերյալ 2021 թվականի մայիսի 4-ի ֆինանսատնտեսական նախարարակական կոմիտեի նիստի արձանագրությամբ պետական կառավարման համակարգի մարմինների ղեկավարներին առաջարկվել է ընդունել ի գիտություն, որ </w:t>
            </w:r>
            <w:r w:rsidRPr="00A44F66">
              <w:rPr>
                <w:rFonts w:ascii="GHEA Grapalat" w:hAnsi="GHEA Grapalat"/>
                <w:b/>
                <w:i/>
                <w:sz w:val="24"/>
                <w:lang w:val="hy-AM"/>
              </w:rPr>
              <w:t xml:space="preserve">պետք է ձեռնպահ մնալ պետական մարմիններին 3-րդ երկրներից ուղարկված ապրանքները (այդ թվում՝ շարժական գույքը) «Մաքսային կարգավորման մասին» օրենքով սահմանված՝ </w:t>
            </w:r>
            <w:r w:rsidRPr="00A44F66">
              <w:rPr>
                <w:rFonts w:ascii="GHEA Grapalat" w:hAnsi="GHEA Grapalat"/>
                <w:b/>
                <w:i/>
                <w:sz w:val="24"/>
                <w:lang w:val="hy-AM"/>
              </w:rPr>
              <w:lastRenderedPageBreak/>
              <w:t xml:space="preserve">«Հրաժարում հօգուտ պետության» մաքսային ընթացակարգով ձևակերպելուց կամ սույն արձանագրության 12-րդ կետով ներկայացված որոշման նախագծի օրինակով նշված մաքսային ընթացակարգով արդեն իսկ ձևակերպված ապրանքները (այդ թվում՝ շարժական գույքը) հետագայում համապատասխան կազմակերպությանը կամ ֆիզիկական անձանց ամրացնելուց կամ նվիրաբերելուց և ներմուծումը կազմակերպել ընդհանուր ընթացակարգով: </w:t>
            </w:r>
          </w:p>
        </w:tc>
        <w:tc>
          <w:tcPr>
            <w:tcW w:w="5670" w:type="dxa"/>
          </w:tcPr>
          <w:p w:rsidR="00944463" w:rsidRPr="00D36B44" w:rsidRDefault="007163AA" w:rsidP="00E41055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36B4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</w:t>
            </w:r>
            <w:r w:rsidR="00111F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36B44">
              <w:rPr>
                <w:rFonts w:ascii="GHEA Grapalat" w:hAnsi="GHEA Grapalat"/>
                <w:sz w:val="24"/>
                <w:szCs w:val="24"/>
                <w:lang w:val="hy-AM"/>
              </w:rPr>
              <w:t>ի գիտություն:</w:t>
            </w:r>
          </w:p>
          <w:p w:rsidR="007F4555" w:rsidRPr="00D36B44" w:rsidRDefault="00D36B44" w:rsidP="00E41055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36B44">
              <w:rPr>
                <w:rFonts w:ascii="GHEA Grapalat" w:hAnsi="GHEA Grapalat"/>
                <w:sz w:val="24"/>
                <w:szCs w:val="24"/>
                <w:lang w:val="hy-AM"/>
              </w:rPr>
              <w:t>Ինչպես նշված է Նախագծի հիմնավորման մեջ՝</w:t>
            </w:r>
          </w:p>
          <w:p w:rsidR="007F4555" w:rsidRPr="007F4555" w:rsidRDefault="007F4555" w:rsidP="00E41055">
            <w:pPr>
              <w:spacing w:line="276" w:lineRule="auto"/>
              <w:rPr>
                <w:sz w:val="24"/>
                <w:szCs w:val="24"/>
                <w:lang w:val="hy-AM"/>
              </w:rPr>
            </w:pPr>
            <w:r w:rsidRPr="007F455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Գեղարքունիքի, Շիրակի, և Կոտայքի մարզերում գործող ոչ առևտրային 19 շահառու (նվիրառու) կազմակերպություններին </w:t>
            </w:r>
            <w:r w:rsidR="00D36B44">
              <w:rPr>
                <w:rFonts w:ascii="GHEA Grapalat" w:hAnsi="GHEA Grapalat"/>
                <w:sz w:val="24"/>
                <w:szCs w:val="24"/>
                <w:lang w:val="hy-AM"/>
              </w:rPr>
              <w:t>արևային վահանակներն ու այլ սարքավորումները</w:t>
            </w:r>
            <w:r w:rsidRPr="007F4555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հանձն</w:t>
            </w:r>
            <w:r w:rsidR="00D36B44">
              <w:rPr>
                <w:rFonts w:ascii="GHEA Grapalat" w:hAnsi="GHEA Grapalat"/>
                <w:sz w:val="24"/>
                <w:szCs w:val="24"/>
                <w:lang w:val="hy-AM"/>
              </w:rPr>
              <w:t>վում են</w:t>
            </w:r>
            <w:r w:rsidRPr="007F4555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ոչ առևտրային նպատակներով օգտագործելու համար:</w:t>
            </w:r>
          </w:p>
        </w:tc>
      </w:tr>
      <w:tr w:rsidR="00585529" w:rsidRPr="004E6B31" w:rsidTr="00BB5899">
        <w:trPr>
          <w:trHeight w:val="609"/>
        </w:trPr>
        <w:tc>
          <w:tcPr>
            <w:tcW w:w="7578" w:type="dxa"/>
          </w:tcPr>
          <w:p w:rsidR="00585529" w:rsidRPr="00585529" w:rsidRDefault="00585529" w:rsidP="004D4202">
            <w:pPr>
              <w:shd w:val="clear" w:color="auto" w:fill="FFFFFF"/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lastRenderedPageBreak/>
              <w:t>Միաժամանակ խմբագրական առումով</w:t>
            </w:r>
            <w:r w:rsidRPr="00A44F66">
              <w:rPr>
                <w:rFonts w:ascii="GHEA Grapalat" w:hAnsi="GHEA Grapalat"/>
                <w:sz w:val="24"/>
                <w:lang w:val="hy-AM"/>
              </w:rPr>
              <w:t xml:space="preserve"> առաջարկո</w:t>
            </w:r>
            <w:r>
              <w:rPr>
                <w:rFonts w:ascii="GHEA Grapalat" w:hAnsi="GHEA Grapalat"/>
                <w:sz w:val="24"/>
                <w:lang w:val="hy-AM"/>
              </w:rPr>
              <w:t>ւմ են</w:t>
            </w:r>
            <w:r w:rsidRPr="00A44F66">
              <w:rPr>
                <w:rFonts w:ascii="GHEA Grapalat" w:hAnsi="GHEA Grapalat"/>
                <w:sz w:val="24"/>
                <w:lang w:val="hy-AM"/>
              </w:rPr>
              <w:t xml:space="preserve"> նախաբանում «Մաքսային կարգավորման մասին» օրենքի 143-րդ հոդվածի 1-ին մասի 3-րդ կետին և 145-րդ հոդվածին </w:t>
            </w:r>
            <w:r>
              <w:rPr>
                <w:rFonts w:ascii="GHEA Grapalat" w:hAnsi="GHEA Grapalat"/>
                <w:sz w:val="24"/>
                <w:lang w:val="hy-AM"/>
              </w:rPr>
              <w:t>կա</w:t>
            </w:r>
            <w:r w:rsidRPr="00A44F66">
              <w:rPr>
                <w:rFonts w:ascii="GHEA Grapalat" w:hAnsi="GHEA Grapalat"/>
                <w:sz w:val="24"/>
                <w:lang w:val="hy-AM"/>
              </w:rPr>
              <w:t>տ</w:t>
            </w:r>
            <w:r>
              <w:rPr>
                <w:rFonts w:ascii="GHEA Grapalat" w:hAnsi="GHEA Grapalat"/>
                <w:sz w:val="24"/>
                <w:lang w:val="hy-AM"/>
              </w:rPr>
              <w:t>ա</w:t>
            </w:r>
            <w:r w:rsidRPr="00A44F66">
              <w:rPr>
                <w:rFonts w:ascii="GHEA Grapalat" w:hAnsi="GHEA Grapalat"/>
                <w:sz w:val="24"/>
                <w:lang w:val="hy-AM"/>
              </w:rPr>
              <w:t>րված հղումները փոխարինել Օրենքի 245-րդ հոդվածի 1-ին մասի 3-րդ կետով և 247-րդ հոդվածով:</w:t>
            </w:r>
          </w:p>
          <w:p w:rsidR="00585529" w:rsidRPr="00A44F66" w:rsidRDefault="00585529" w:rsidP="004D4202">
            <w:pPr>
              <w:spacing w:line="276" w:lineRule="auto"/>
              <w:ind w:firstLine="720"/>
              <w:jc w:val="both"/>
              <w:rPr>
                <w:rFonts w:ascii="GHEA Grapalat" w:hAnsi="GHEA Grapalat" w:cs="Arial"/>
                <w:bCs/>
                <w:kern w:val="32"/>
                <w:lang w:val="hy-AM"/>
              </w:rPr>
            </w:pPr>
          </w:p>
        </w:tc>
        <w:tc>
          <w:tcPr>
            <w:tcW w:w="5670" w:type="dxa"/>
          </w:tcPr>
          <w:p w:rsidR="00585529" w:rsidRPr="00585529" w:rsidRDefault="009B5ECC" w:rsidP="00E41055">
            <w:pPr>
              <w:spacing w:line="276" w:lineRule="auto"/>
              <w:rPr>
                <w:rFonts w:ascii="GHEA Grapalat" w:hAnsi="GHEA Grapalat" w:cs="Calibri"/>
                <w:color w:val="FF0000"/>
                <w:lang w:val="hy-AM" w:eastAsia="en-US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Ընդու</w:t>
            </w:r>
            <w:r w:rsidR="00585529" w:rsidRPr="00585529">
              <w:rPr>
                <w:rFonts w:ascii="GHEA Grapalat" w:hAnsi="GHEA Grapalat"/>
                <w:sz w:val="24"/>
                <w:lang w:val="hy-AM"/>
              </w:rPr>
              <w:t>նվել է, Նախագծի նախաբանում կատարվել է համապատասխան փոփոխություն:</w:t>
            </w:r>
          </w:p>
        </w:tc>
      </w:tr>
      <w:tr w:rsidR="00944463" w:rsidRPr="007861C4" w:rsidTr="00BB5899">
        <w:trPr>
          <w:trHeight w:val="458"/>
        </w:trPr>
        <w:tc>
          <w:tcPr>
            <w:tcW w:w="7578" w:type="dxa"/>
            <w:vMerge w:val="restart"/>
            <w:shd w:val="clear" w:color="auto" w:fill="D9D9D9" w:themeFill="background1" w:themeFillShade="D9"/>
            <w:vAlign w:val="center"/>
          </w:tcPr>
          <w:p w:rsidR="00944463" w:rsidRPr="007861C4" w:rsidRDefault="003017BC" w:rsidP="004D42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6</w:t>
            </w:r>
            <w:r w:rsidR="00944463" w:rsidRPr="007861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  <w:r w:rsidR="00944463" w:rsidRPr="007861C4"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r w:rsidR="00944463" w:rsidRPr="007861C4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եկամուտների կոմիտե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944463" w:rsidRPr="007861C4" w:rsidRDefault="00817DEA" w:rsidP="007861C4">
            <w:pPr>
              <w:jc w:val="center"/>
              <w:rPr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01</w:t>
            </w:r>
            <w:r w:rsidR="003017BC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="003017BC">
              <w:rPr>
                <w:rFonts w:ascii="GHEA Grapalat" w:hAnsi="GHEA Grapalat" w:cs="Sylfaen"/>
                <w:sz w:val="24"/>
                <w:szCs w:val="24"/>
                <w:lang w:val="hy-AM"/>
              </w:rPr>
              <w:t>.202</w:t>
            </w:r>
            <w:r w:rsidR="003017BC">
              <w:rPr>
                <w:rFonts w:ascii="GHEA Grapalat" w:hAnsi="GHEA Grapalat" w:cs="Sylfaen"/>
                <w:sz w:val="24"/>
                <w:szCs w:val="24"/>
                <w:lang w:val="en-US"/>
              </w:rPr>
              <w:t>3</w:t>
            </w:r>
            <w:r w:rsidR="007861C4" w:rsidRPr="007861C4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</w:tc>
      </w:tr>
      <w:tr w:rsidR="00944463" w:rsidRPr="007861C4" w:rsidTr="00BB5899">
        <w:trPr>
          <w:trHeight w:val="377"/>
        </w:trPr>
        <w:tc>
          <w:tcPr>
            <w:tcW w:w="7578" w:type="dxa"/>
            <w:vMerge/>
            <w:shd w:val="clear" w:color="auto" w:fill="D9D9D9" w:themeFill="background1" w:themeFillShade="D9"/>
          </w:tcPr>
          <w:p w:rsidR="00944463" w:rsidRPr="007861C4" w:rsidRDefault="00944463" w:rsidP="004D42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944463" w:rsidRPr="007861C4" w:rsidRDefault="00F67885" w:rsidP="003017BC">
            <w:pPr>
              <w:jc w:val="center"/>
              <w:rPr>
                <w:sz w:val="24"/>
                <w:szCs w:val="24"/>
              </w:rPr>
            </w:pPr>
            <w:r w:rsidRPr="000840B9">
              <w:rPr>
                <w:rFonts w:ascii="GHEA Grapalat" w:hAnsi="GHEA Grapalat" w:cs="Sylfaen"/>
                <w:sz w:val="24"/>
                <w:szCs w:val="24"/>
                <w:lang w:val="en-US"/>
              </w:rPr>
              <w:t>№</w:t>
            </w:r>
            <w:r w:rsidR="0095602D" w:rsidRPr="000840B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0840B9" w:rsidRPr="000840B9">
              <w:rPr>
                <w:rFonts w:ascii="GHEA Grapalat" w:hAnsi="GHEA Grapalat" w:cs="Sylfaen"/>
                <w:sz w:val="24"/>
                <w:szCs w:val="24"/>
                <w:lang w:val="en-US"/>
              </w:rPr>
              <w:t>01/3-2/6415-2023</w:t>
            </w:r>
          </w:p>
        </w:tc>
      </w:tr>
      <w:tr w:rsidR="00944463" w:rsidRPr="004E6B31" w:rsidTr="00BB5899">
        <w:trPr>
          <w:trHeight w:val="609"/>
        </w:trPr>
        <w:tc>
          <w:tcPr>
            <w:tcW w:w="7578" w:type="dxa"/>
          </w:tcPr>
          <w:p w:rsidR="00901FCB" w:rsidRPr="008357C5" w:rsidRDefault="00901FCB" w:rsidP="004D4202">
            <w:pPr>
              <w:spacing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357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Նախագծի վերնագրում առաջարկում են «Նվիրաբերությամբ գույք հանձնելու մասին» բառերը փոխարինել «Գույք փոխանցելու և նվիրաբերությամբ հանձնելու մասին» բառերով՝ համապատասխանեցնելով նախագծի 1-ին կետի բովանդակությանը։</w:t>
            </w:r>
          </w:p>
          <w:p w:rsidR="00901FCB" w:rsidRPr="008357C5" w:rsidRDefault="00901FCB" w:rsidP="004D4202">
            <w:pPr>
              <w:spacing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357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Առաջարկում են Նախագծի նախաբանում «Մաքսային կարգավորման մասին» օրենքի 143-րդ հոդվածի 1-ին մասի 3-րդ կետը և 145-րդ հոդվածը» բառերը փոխարինել «Մաքսային կարգավորման մասին օրենքի 247-րդ հոդվածը» բառերով։</w:t>
            </w:r>
          </w:p>
          <w:p w:rsidR="00901FCB" w:rsidRPr="008357C5" w:rsidRDefault="00901FCB" w:rsidP="004D4202">
            <w:pPr>
              <w:spacing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357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Միաժամանակ, առաջարկում են նախագծի 1-ին կետում նշել նշված յուրաքանչյուր ապրանքների հայտարարագրի ապրանքների քաշը և արժեքը։ </w:t>
            </w:r>
          </w:p>
          <w:p w:rsidR="009E006E" w:rsidRPr="00E41055" w:rsidRDefault="00901FCB" w:rsidP="004D4202">
            <w:pPr>
              <w:spacing w:line="276" w:lineRule="auto"/>
              <w:ind w:firstLine="567"/>
              <w:jc w:val="both"/>
              <w:rPr>
                <w:rFonts w:ascii="GHEA Grapalat" w:eastAsia="Calibri" w:hAnsi="GHEA Grapalat"/>
                <w:lang w:val="hy-AM"/>
              </w:rPr>
            </w:pPr>
            <w:r w:rsidRPr="008357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Նախագծով ներկայացված համապատասխան ապրանքների հայտարարագրերով հայտարարագրված ապրանքների նկարագրությանը համապատասխանեցնելու նպատակով՝ առաջարկում են Նախագծի հավելվածով սահմանված ցանկում Մետաղական կոնստրուկցիաների հավաքածու արևային համակարգի հավաքման համար բառերը փոխարինել Մետաղական կոնստրուկցիաների հավաքածու արևային համակարգի հավաքման համար (առանց մակնշման) բառերով, Միակցիչներ լարերի և մալուխների համար (զույգ) բառերը փոխարինել Միակցիչներ լարերի և մալուխների համար (զույգ), WEIDMULLER բառերով, Արևային լուսազգայուն պանելներ "SOLET 410MH5-54" բառերը փոխարինել Արևային լուսազգայուն ֆոտոգալվանային պանելներ "SOLET 410MH5-54" բառերով, Արևային մալուխ H 1Z2Z2-K 1x4 բառերը փոխարինել Արևային մալուխ պղնձյա հաղորդիչներով առանց միացնող հարմարանքների (ոչ Ա/Մ-ի), 1000 Վ-ից ավել լարումով (Solar H 1Z2Z2-K 1x4 (Reel)) բառերով, Արևային կերպափոխիչ «Solax X3-PRO-25K-G2» բառերը փոխարինել Արևային կերպափոխիչ (ինվերտոր) «Solax X3-PRO-25K-G2» 25 ԿՎԱ բառերով, Արևային կերպափոխիչ «Solax X3-PRO-20K-G2» բառերը փոխարինել Արևային կերպափոխիչ (ինվերտոր) «Solax X3-PRO-20K-G2» 20 ԿՎԱ բառերով, Արևային կերպափոխիչ «Solax X3-MIC-10K-G2» բառերը փոխարինել Արևային կերպափոխիչ (ինվերտոր) «Solax </w:t>
            </w:r>
            <w:r w:rsidRPr="008357C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X3-MIC-10K-G2» 10 ԿՎԱ բառերով, Արևային կերպափոխիչ «Solax X3-MIC-8K-G2» բառերը փոխարինել Արևային կերպափոխիչ (ինվերտոր) «Solax X3-MIC-8K-G2» 8 ԿՎԱ բառերով, Արևային կերպափոխիչ «Solax X3-MIC-15K-G2» բառերը փոխարինել Արևային կերպափոխիչ (ինվերտոր) «Solax X3-MIC-15K-G2» 15 ԿՎԱ բառերով, Արևային կերպափոխիչ «Solax X3-PRO-10K-G2» բառերը փոխարինել Արևային կերպափոխիչ (ինվերտոր) «Solax X3-PRO-10K-G2» 10 ԿՎԱ բառերով, Արևային կերպափոխիչ «Solax X3-MGA-40K-G2» բառերը փոխարինել Արևային կերպափոխիչ (ինվերտոր) «Solax X3-MGA-40K-G2» 40 ԿՎԱ բառերով, Արևային կերպափոխիչ «Solax X3-PRO-30K-G2» բառերը փոխարինել Արևային կերպափոխիչ (ինվերտոր) «Solax X3-PRO-30K-G2» 30 ԿՎԱ բառերով և Արևային կերպափոխիչ «Solax X3-MIC-6K-G2» բառերը փոխարինել Արևային կերպափոխիչ (ինվերտոր) «Solax X3-MIC-6K-G2» 6 ԿՎԱ բառերով։</w:t>
            </w:r>
          </w:p>
        </w:tc>
        <w:tc>
          <w:tcPr>
            <w:tcW w:w="5670" w:type="dxa"/>
          </w:tcPr>
          <w:p w:rsidR="009274F3" w:rsidRPr="00443EA0" w:rsidRDefault="009274F3" w:rsidP="00E41055">
            <w:pPr>
              <w:spacing w:line="276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9274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Ընդունվել է</w:t>
            </w:r>
            <w:r w:rsidR="006A03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="006A03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br/>
            </w:r>
            <w:r w:rsidR="00AC38F7" w:rsidRPr="00443EA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Նախագծում և հավելվածում</w:t>
            </w:r>
            <w:r w:rsidR="008357C5" w:rsidRPr="00443EA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կատարվել են համապատսխան փոփոխություններ:</w:t>
            </w:r>
          </w:p>
          <w:p w:rsidR="009274F3" w:rsidRPr="009274F3" w:rsidRDefault="009274F3" w:rsidP="009274F3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634300" w:rsidRPr="00634300" w:rsidTr="00BB5899">
        <w:trPr>
          <w:trHeight w:val="503"/>
        </w:trPr>
        <w:tc>
          <w:tcPr>
            <w:tcW w:w="7578" w:type="dxa"/>
            <w:vMerge w:val="restart"/>
            <w:shd w:val="clear" w:color="auto" w:fill="D9D9D9" w:themeFill="background1" w:themeFillShade="D9"/>
            <w:vAlign w:val="center"/>
          </w:tcPr>
          <w:p w:rsidR="00634300" w:rsidRPr="00634300" w:rsidRDefault="00634300" w:rsidP="004D4202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430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7.</w:t>
            </w:r>
            <w:r w:rsidR="00A409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C6B46">
              <w:rPr>
                <w:rFonts w:ascii="GHEA Grapalat" w:hAnsi="GHEA Grapalat" w:cs="Sylfaen"/>
                <w:sz w:val="24"/>
                <w:szCs w:val="24"/>
                <w:lang w:val="hy-AM"/>
              </w:rPr>
              <w:t>ՀՀ վ</w:t>
            </w:r>
            <w:r w:rsidRPr="00634300">
              <w:rPr>
                <w:rFonts w:ascii="GHEA Grapalat" w:hAnsi="GHEA Grapalat" w:cs="Sylfaen"/>
                <w:sz w:val="24"/>
                <w:szCs w:val="24"/>
                <w:lang w:val="hy-AM"/>
              </w:rPr>
              <w:t>արչապետի աշխատակազմի տարածքային զարգացման և շրջակա միջավայրի հարցերի վարչություն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4300" w:rsidRPr="009274F3" w:rsidRDefault="002575ED" w:rsidP="00895C47">
            <w:pPr>
              <w:spacing w:line="360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 w:rsidR="00895C47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895C47">
              <w:rPr>
                <w:rFonts w:ascii="GHEA Grapalat" w:hAnsi="GHEA Grapalat" w:cs="Sylfaen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="00895C47">
              <w:rPr>
                <w:rFonts w:ascii="GHEA Grapalat" w:hAnsi="GHEA Grapalat" w:cs="Sylfaen"/>
                <w:sz w:val="24"/>
                <w:szCs w:val="24"/>
                <w:lang w:val="hy-AM"/>
              </w:rPr>
              <w:t>.202</w:t>
            </w:r>
            <w:r w:rsidR="00895C47">
              <w:rPr>
                <w:rFonts w:ascii="GHEA Grapalat" w:hAnsi="GHEA Grapalat" w:cs="Sylfaen"/>
                <w:sz w:val="24"/>
                <w:szCs w:val="24"/>
                <w:lang w:val="en-US"/>
              </w:rPr>
              <w:t>3</w:t>
            </w:r>
            <w:r w:rsidR="00895C47" w:rsidRPr="007861C4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</w:tc>
      </w:tr>
      <w:tr w:rsidR="00634300" w:rsidRPr="00634300" w:rsidTr="00BB5899">
        <w:trPr>
          <w:trHeight w:val="422"/>
        </w:trPr>
        <w:tc>
          <w:tcPr>
            <w:tcW w:w="7578" w:type="dxa"/>
            <w:vMerge/>
            <w:shd w:val="clear" w:color="auto" w:fill="D9D9D9" w:themeFill="background1" w:themeFillShade="D9"/>
          </w:tcPr>
          <w:p w:rsidR="00634300" w:rsidRPr="008357C5" w:rsidRDefault="00634300" w:rsidP="004D4202">
            <w:pPr>
              <w:spacing w:line="276" w:lineRule="auto"/>
              <w:ind w:firstLine="567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4300" w:rsidRPr="009274F3" w:rsidRDefault="00895C47" w:rsidP="00895C47">
            <w:pPr>
              <w:spacing w:line="360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840B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№ </w:t>
            </w:r>
            <w:r w:rsidR="002575ED" w:rsidRPr="002575ED">
              <w:rPr>
                <w:rFonts w:ascii="GHEA Grapalat" w:hAnsi="GHEA Grapalat" w:cs="Sylfaen"/>
                <w:sz w:val="24"/>
                <w:szCs w:val="24"/>
                <w:lang w:val="en-US"/>
              </w:rPr>
              <w:t>02/16.11/8515-2023</w:t>
            </w:r>
          </w:p>
        </w:tc>
      </w:tr>
      <w:tr w:rsidR="00FD18EC" w:rsidRPr="001C6B46" w:rsidTr="00BB5899">
        <w:trPr>
          <w:trHeight w:val="4230"/>
        </w:trPr>
        <w:tc>
          <w:tcPr>
            <w:tcW w:w="7578" w:type="dxa"/>
          </w:tcPr>
          <w:p w:rsidR="00FD18EC" w:rsidRPr="00895C47" w:rsidRDefault="00FD18EC" w:rsidP="004D420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</w:t>
            </w:r>
            <w:r w:rsidRPr="00746F3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ախագծի վերաբերյալ առկա են հետևյալ նկատառումները՝</w:t>
            </w:r>
          </w:p>
          <w:p w:rsidR="00FD18EC" w:rsidRPr="00FD18EC" w:rsidRDefault="00FD18EC" w:rsidP="004D4202">
            <w:pPr>
              <w:pStyle w:val="NormalWeb"/>
              <w:spacing w:after="0"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895C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1. Ներկայացված Նախագծով նախատեսվում է՝ Լիտվայի շրջակա միջավայրի նախարարության Բնապահպանական նախագծերի կառավարման գործակալության կողմից ֆինանսավորված՝ «Հայկական դպրոցական համայնքներում արևային կայանների կառուցման և տեղական գործընկերներին արևային էներգիայի ոլորտում լիտվական փորձի փոխանցման միջոցով շրջակա միջավայրի աղտոտման և կլիմայի փոփոխության խնդիրները լուծելու» ծրագրի շրջանակներում Հայաստան փոխադրված՝ ՀՀ Գեղարքունիքի, Շիրակի և Կոտայքի մարզերում գործող ոչ առևտրային 19 շահառու (նվիրառու) կազմակերպություններին արևային վահանակների ու այլ սարքավորումների հանձնումը` ոչ առևտրային նպատակներով օգտագործելու համար: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Հարկ </w:t>
            </w:r>
            <w:r w:rsidRPr="002575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է </w:t>
            </w:r>
            <w:r w:rsidRPr="00895C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նշել, որ Նախագծի հիմնավորման մեջ պարզաբանված չեն մի շարք հարցեր, մասնավորապես՝</w:t>
            </w:r>
          </w:p>
        </w:tc>
        <w:tc>
          <w:tcPr>
            <w:tcW w:w="5670" w:type="dxa"/>
          </w:tcPr>
          <w:p w:rsidR="00E17537" w:rsidRPr="00E27EB7" w:rsidRDefault="00E17537" w:rsidP="00E17537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27E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</w:t>
            </w:r>
            <w:r w:rsidR="00BB5899" w:rsidRPr="00E27E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լ է </w:t>
            </w:r>
            <w:r w:rsidRPr="00E27E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 գիտություն:</w:t>
            </w:r>
          </w:p>
          <w:p w:rsidR="00FD18EC" w:rsidRPr="00E27EB7" w:rsidRDefault="00FD18EC" w:rsidP="009274F3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FD18EC" w:rsidRPr="004E6B31" w:rsidTr="00BB5899">
        <w:tc>
          <w:tcPr>
            <w:tcW w:w="7578" w:type="dxa"/>
          </w:tcPr>
          <w:p w:rsidR="00FD18EC" w:rsidRDefault="00E27EB7" w:rsidP="004D4202">
            <w:pPr>
              <w:pStyle w:val="NormalWeb"/>
              <w:spacing w:after="0"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1)  </w:t>
            </w:r>
            <w:r w:rsidR="00FD18EC" w:rsidRPr="00895C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ի՞նչ սկզբունքով է որոշվել 19 շահառու կազմակերպությունների ցանկը,</w:t>
            </w:r>
          </w:p>
        </w:tc>
        <w:tc>
          <w:tcPr>
            <w:tcW w:w="5670" w:type="dxa"/>
          </w:tcPr>
          <w:p w:rsidR="00E27EB7" w:rsidRPr="00E27EB7" w:rsidRDefault="00E27EB7" w:rsidP="00E27EB7">
            <w:pPr>
              <w:pStyle w:val="NormalWeb"/>
              <w:spacing w:before="0" w:beforeAutospacing="0" w:after="0" w:afterAutospacing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E27E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Ցանկը կազմելու համար "ԴԻ ՕՀՄ ԷՆԵՐՋԻ" ՍՊԸ-ի կողմից </w:t>
            </w:r>
            <w:r w:rsidR="004E6B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կազմակերպվել</w:t>
            </w:r>
            <w:r w:rsidRPr="00E27E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են հանդիպումներ մարզպետարանների և շահառու կազմակերպությունների ներկայացուցիչների հետ՝ պարզելու համար արևային կայանի տեղադրման նպատակահարմարությունը։ Կազմակերպությունների վերջնական ցանկը կազմվել է՝ ելնելով շահառու կազմակերպությունների տեղանքից, տանիքի վիճակից, էլեկտրաէներգիայի սպառումից, </w:t>
            </w:r>
            <w:r w:rsidRPr="00E27E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>ներքին էլեկտրամատակարարման համակարգից և շահառու կազմակերպության</w:t>
            </w:r>
            <w:r w:rsidR="00524A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կողմից</w:t>
            </w:r>
            <w:r w:rsidRPr="00E27E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կանխավճարային</w:t>
            </w:r>
            <w:r w:rsidR="00524A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գումարի</w:t>
            </w:r>
            <w:r w:rsidRPr="00E27E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="00524A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տրամադրման</w:t>
            </w:r>
            <w:r w:rsidRPr="00E27E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հնարավորություններից։  Արդյունքում ցանկում ներառվել են այն կազմակերպությունները, որոնք հայտնել են իրենց ցանկությունը մասնակցելու «Հայկական դպրոցական համայնքներում արևային կայանների կառուցման և տեղական գործընկերներին արևային էներգիայի ոլորտում լիտվական փորձի փոխանցման միջոցով շրջակա միջավայրի աղտոտման և կլիմայի փոփոխության խնդիրները լուծելու» ծրագրին։</w:t>
            </w:r>
          </w:p>
          <w:p w:rsidR="00E27EB7" w:rsidRPr="00E27EB7" w:rsidRDefault="00E27EB7" w:rsidP="00E27EB7">
            <w:pPr>
              <w:pStyle w:val="NormalWeb"/>
              <w:spacing w:before="0" w:beforeAutospacing="0" w:after="0" w:afterAutospacing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E27E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Այս ամենը ամրագրելու համար կնքվել են հուշագրեր Lիտվական «ՋեյԷսՍի Սոլիթ Թեքնիքս» ընկերության և շահառու կազմակերպությունների հետ։</w:t>
            </w:r>
          </w:p>
          <w:p w:rsidR="00FD18EC" w:rsidRPr="00E27EB7" w:rsidRDefault="00E27EB7" w:rsidP="00E27EB7">
            <w:pPr>
              <w:pStyle w:val="NormalWeb"/>
              <w:spacing w:before="0" w:beforeAutospacing="0" w:after="0" w:afterAutospacing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E27E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Հարկ է նշել, որ Lիտվական «ՋեյԷսՍի Սոլիթ Թեքնիքս» ընկերության կողմից «Դի Օհմ Էներջի» սահմանափակ պատասխանատվությամբ ընկերության անունով ստացված «Հայկական դպրոցական համայնքներում արևային կայանների կառուցման և տեղական գործընկերներին արևային էներգիայի ոլորտում լիտվական փորձի փոխանցման միջոցով շրջակա միջավայրի աղտոտման և կլիմայի փոփոխության </w:t>
            </w:r>
            <w:r w:rsidRPr="00E27E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>խնդիրները լուծելու» ծրագրի շրջանակներում նույնաբովանդակ նախաձեռնություն իրականացվել է 2021 թվականի չորրորդ եռամսյակում «Հրաժարում հօգուտ պետության» մաքսային ընթացակարգով։</w:t>
            </w:r>
          </w:p>
        </w:tc>
      </w:tr>
      <w:tr w:rsidR="00FD18EC" w:rsidRPr="004E6B31" w:rsidTr="00BB5899">
        <w:trPr>
          <w:trHeight w:val="1155"/>
        </w:trPr>
        <w:tc>
          <w:tcPr>
            <w:tcW w:w="7578" w:type="dxa"/>
          </w:tcPr>
          <w:p w:rsidR="00FD18EC" w:rsidRPr="00895C47" w:rsidRDefault="00FD18EC" w:rsidP="004D4202">
            <w:pPr>
              <w:pStyle w:val="NormalWeb"/>
              <w:spacing w:after="0"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  <w:r w:rsidRPr="00895C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>2) արդյո՞ք շահառուների ընտրության հարցում հաշվի է առնված տվյալ աշխարհագրական դիրքում արևային օրերի քանակը՝ արևային վահանակների արդյունավետ օգտագործման տեսանկյունից,</w:t>
            </w:r>
          </w:p>
        </w:tc>
        <w:tc>
          <w:tcPr>
            <w:tcW w:w="5670" w:type="dxa"/>
          </w:tcPr>
          <w:p w:rsidR="00E27EB7" w:rsidRPr="00E27EB7" w:rsidRDefault="00E27EB7" w:rsidP="00E27EB7">
            <w:pPr>
              <w:pStyle w:val="NormalWeb"/>
              <w:spacing w:before="0" w:beforeAutospacing="0" w:after="0" w:afterAutospacing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E27E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Շահառուների համար գնահատվել է համապատասխան տեղանքների արևային ինտեսիվությունը և իրականացվել արևային կայանի արտադրողականության նախահաշվարկ՝ պարզելու համար կայանի տեղադրման տեխնիկական նպատակահարմարությունը։</w:t>
            </w:r>
          </w:p>
          <w:p w:rsidR="00FD18EC" w:rsidRPr="00E27EB7" w:rsidRDefault="00E27EB7" w:rsidP="00A45234">
            <w:pPr>
              <w:pStyle w:val="NormalWeb"/>
              <w:spacing w:before="0" w:beforeAutospacing="0" w:after="240" w:afterAutospacing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E27E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«ՋեյԷսՍի Սոլիթ Թեքնիքս» ընկերության կողմից կազմվել են նախագծեր ՛՛PV*SOL premium 2022՛՛ ծրագրային փաթեթի կիրառմամբ յուրաքանչյու</w:t>
            </w:r>
            <w:r w:rsidR="00A4523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ր շահառու կազմակերպության համար</w:t>
            </w:r>
            <w:r w:rsidRPr="00E27E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։ Նախագիծը իր մեջ ներառում է՝ կայանի ընդհանուր պատկերը և 3D դիզայնը, արևային վահանակների տեղաբաշխման սխեմատիկ դիագրամը, արտադրության կանխատեսումը և մոդելավորման արդյունքները:</w:t>
            </w:r>
          </w:p>
        </w:tc>
      </w:tr>
      <w:tr w:rsidR="00FD18EC" w:rsidRPr="004E6B31" w:rsidTr="00BB5899">
        <w:trPr>
          <w:trHeight w:val="1155"/>
        </w:trPr>
        <w:tc>
          <w:tcPr>
            <w:tcW w:w="7578" w:type="dxa"/>
          </w:tcPr>
          <w:p w:rsidR="00FD18EC" w:rsidRPr="00895C47" w:rsidRDefault="00FD18EC" w:rsidP="004D4202">
            <w:pPr>
              <w:pStyle w:val="NormalWeb"/>
              <w:spacing w:after="0"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 w:eastAsia="ru-RU"/>
              </w:rPr>
            </w:pPr>
            <w:r w:rsidRPr="00895C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3) արդյո՞ք շահառու կազմակերպությունների շինությունները (հատկապես տանիքները) հիմնանորոգված են և արևային վահանակների տեղադրումից հետո հիմնանորոգման անհրաժեշտություն չի առաջանալու,</w:t>
            </w:r>
          </w:p>
        </w:tc>
        <w:tc>
          <w:tcPr>
            <w:tcW w:w="5670" w:type="dxa"/>
          </w:tcPr>
          <w:p w:rsidR="00FD18EC" w:rsidRPr="00E27EB7" w:rsidRDefault="00E27EB7" w:rsidP="00E27EB7">
            <w:pPr>
              <w:pStyle w:val="NormalWeb"/>
              <w:spacing w:after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E27E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Շահառու կազմակերպությունների տանիքների վիճակները գնահատվել են այցերի ժամանակ, իսկ արևային կայանների տեղակայման հնարավորությունը </w:t>
            </w:r>
            <w:r w:rsidRPr="00E27E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>համաձայնեցվել է համապատասխան շահառու կազմակերպությունների տնօրենների կամ լիազորված անձանց հետ։</w:t>
            </w:r>
          </w:p>
        </w:tc>
      </w:tr>
      <w:tr w:rsidR="00FD18EC" w:rsidRPr="004E6B31" w:rsidTr="00BB5899">
        <w:trPr>
          <w:trHeight w:val="1565"/>
        </w:trPr>
        <w:tc>
          <w:tcPr>
            <w:tcW w:w="7578" w:type="dxa"/>
          </w:tcPr>
          <w:p w:rsidR="00FD18EC" w:rsidRPr="00FD18EC" w:rsidRDefault="00FD18EC" w:rsidP="004D4202">
            <w:pPr>
              <w:pStyle w:val="NormalWeb"/>
              <w:spacing w:after="0"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895C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>4)  արդյո՞ք վերոնշյալ կազմակերպությունների ընտրության հարցում հաշվի է առնված կազմակերպություններին անհրաժեշտ էներգիայի և արևային վահանակների արտադրողականության հզորությունների հարաբերակցությունները:</w:t>
            </w:r>
          </w:p>
        </w:tc>
        <w:tc>
          <w:tcPr>
            <w:tcW w:w="5670" w:type="dxa"/>
          </w:tcPr>
          <w:p w:rsidR="00FD18EC" w:rsidRPr="00E27EB7" w:rsidRDefault="00E27EB7" w:rsidP="00E27EB7">
            <w:pPr>
              <w:pStyle w:val="NormalWeb"/>
              <w:spacing w:after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E27EB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Արևային կայանների հզորությունների որոշումը իրականացվել է շահառու կազմակերպությունների կողմից տրամադրված էլեկտրաէներգիայի տարեկան ծախսի և ջեռուցման համակարգի տարեկան սպառման ցուցանիշների հիման վրա։</w:t>
            </w:r>
          </w:p>
        </w:tc>
      </w:tr>
      <w:tr w:rsidR="00634300" w:rsidRPr="00634300" w:rsidTr="00BB5899">
        <w:trPr>
          <w:trHeight w:val="458"/>
        </w:trPr>
        <w:tc>
          <w:tcPr>
            <w:tcW w:w="7578" w:type="dxa"/>
            <w:vMerge w:val="restart"/>
            <w:shd w:val="clear" w:color="auto" w:fill="D9D9D9" w:themeFill="background1" w:themeFillShade="D9"/>
            <w:vAlign w:val="center"/>
          </w:tcPr>
          <w:p w:rsidR="00634300" w:rsidRPr="008357C5" w:rsidRDefault="00E10E80" w:rsidP="00E10E80">
            <w:pPr>
              <w:spacing w:line="360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8</w:t>
            </w:r>
            <w:r w:rsidRPr="0063430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C152B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ՀՀ փոխվ</w:t>
            </w:r>
            <w:r w:rsidRPr="00634300">
              <w:rPr>
                <w:rFonts w:ascii="GHEA Grapalat" w:hAnsi="GHEA Grapalat" w:cs="Sylfaen"/>
                <w:sz w:val="24"/>
                <w:szCs w:val="24"/>
                <w:lang w:val="hy-AM"/>
              </w:rPr>
              <w:t>արչապետ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Տ. Խաչատրյանի գրասենյակ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4300" w:rsidRPr="009274F3" w:rsidRDefault="00FD18EC" w:rsidP="00895C47">
            <w:pPr>
              <w:spacing w:line="360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10E80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5.</w:t>
            </w:r>
            <w:r w:rsidRPr="00E10E80">
              <w:rPr>
                <w:rFonts w:ascii="GHEA Grapalat" w:hAnsi="GHEA Grapalat" w:cs="Sylfaen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3.202</w:t>
            </w:r>
            <w:r w:rsidRPr="00E10E80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7861C4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</w:tc>
      </w:tr>
      <w:tr w:rsidR="00634300" w:rsidRPr="00634300" w:rsidTr="00BB5899">
        <w:trPr>
          <w:trHeight w:val="440"/>
        </w:trPr>
        <w:tc>
          <w:tcPr>
            <w:tcW w:w="7578" w:type="dxa"/>
            <w:vMerge/>
            <w:shd w:val="clear" w:color="auto" w:fill="D9D9D9" w:themeFill="background1" w:themeFillShade="D9"/>
          </w:tcPr>
          <w:p w:rsidR="00634300" w:rsidRPr="008357C5" w:rsidRDefault="00634300" w:rsidP="00901FCB">
            <w:pPr>
              <w:spacing w:line="360" w:lineRule="auto"/>
              <w:ind w:firstLine="567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34300" w:rsidRPr="009274F3" w:rsidRDefault="00FD18EC" w:rsidP="00895C47">
            <w:pPr>
              <w:spacing w:line="360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10E80">
              <w:rPr>
                <w:rFonts w:ascii="GHEA Grapalat" w:hAnsi="GHEA Grapalat" w:cs="Sylfaen"/>
                <w:sz w:val="24"/>
                <w:szCs w:val="24"/>
                <w:lang w:val="hy-AM"/>
              </w:rPr>
              <w:t>№ 02/16.11/8515-2023</w:t>
            </w:r>
          </w:p>
        </w:tc>
      </w:tr>
      <w:tr w:rsidR="00634300" w:rsidRPr="004E6B31" w:rsidTr="00BB5899">
        <w:trPr>
          <w:trHeight w:val="440"/>
        </w:trPr>
        <w:tc>
          <w:tcPr>
            <w:tcW w:w="7578" w:type="dxa"/>
          </w:tcPr>
          <w:p w:rsidR="00FD18EC" w:rsidRPr="00FB7CF8" w:rsidRDefault="00FD18EC" w:rsidP="004D4202">
            <w:pPr>
              <w:spacing w:line="276" w:lineRule="auto"/>
              <w:ind w:firstLine="720"/>
              <w:jc w:val="both"/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Գտնում են, որ բավարար հիմնավորված չէ</w:t>
            </w:r>
            <w:r w:rsidRPr="00FB7CF8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Ֆինանսների նախարարության կողմից ներկայացված դիրքորոշումը հաշվի չառնելու հանգամանքը, ինչպես նաև դրանում հիշատակված</w:t>
            </w:r>
            <w:r w:rsidRPr="00FB7CF8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արձանագրությ</w:t>
            </w:r>
            <w:r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ամբ տրված հանձնարարականի </w:t>
            </w:r>
            <w:r w:rsidRPr="00FB7CF8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պայմաններում</w:t>
            </w:r>
            <w:r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բացահայտված չէ այն հատուկ հիմնավորումը, որի պայմաններում նման կարգավորում նախատեսող իրավական ակտը ներկայացվել է ՀՀ կառավարության քննարկմանը:</w:t>
            </w:r>
          </w:p>
          <w:p w:rsidR="00FD18EC" w:rsidRPr="00FB7CF8" w:rsidRDefault="00FD18EC" w:rsidP="00FD18E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34300" w:rsidRPr="008357C5" w:rsidRDefault="00634300" w:rsidP="00901FCB">
            <w:pPr>
              <w:spacing w:line="360" w:lineRule="auto"/>
              <w:ind w:firstLine="567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0" w:type="dxa"/>
          </w:tcPr>
          <w:p w:rsidR="00E26C40" w:rsidRPr="00E26C40" w:rsidRDefault="00E26C40" w:rsidP="00E26C40">
            <w:pPr>
              <w:spacing w:line="276" w:lineRule="auto"/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 w:rsidRPr="00D36B44"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  <w:r w:rsidR="00111F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6C40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ի գիտություն:</w:t>
            </w:r>
          </w:p>
          <w:p w:rsidR="00634300" w:rsidRPr="00AD653A" w:rsidRDefault="00E26C40" w:rsidP="00E26C40">
            <w:pPr>
              <w:spacing w:line="276" w:lineRule="auto"/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 w:rsidRPr="00E26C40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Նախագիծը ներկայացվել է ի կատարումն ՀՀ փոխվարչապետ Հ. Մաթևոսյանի 25.10.2022թ. №04/03.39/34743-2022</w:t>
            </w:r>
            <w:r w:rsidR="00790F4B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90F4B" w:rsidRPr="00AD653A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հանձնարարականի</w:t>
            </w:r>
            <w:r w:rsidR="00664B18" w:rsidRPr="00AD653A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="00790F4B" w:rsidRPr="00AD653A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ՀՀ արտաքին գործերի </w:t>
            </w:r>
            <w:r w:rsidR="00664B18" w:rsidRPr="00AD653A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նախարարության 19.10.2022թ.-ի N 1101/47452-22 գրության հիման վրա:</w:t>
            </w:r>
          </w:p>
          <w:p w:rsidR="00795337" w:rsidRDefault="00795337" w:rsidP="00795337">
            <w:pPr>
              <w:spacing w:line="276" w:lineRule="auto"/>
              <w:jc w:val="both"/>
              <w:rPr>
                <w:rFonts w:ascii="GHEA Grapalat" w:eastAsiaTheme="minorHAnsi" w:hAnsi="GHEA Grapalat"/>
                <w:sz w:val="24"/>
                <w:szCs w:val="24"/>
                <w:lang w:val="hy-AM"/>
              </w:rPr>
            </w:pPr>
            <w:r w:rsidRPr="00AD653A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«ԴԻ ՕՀՄ ԷՆԵՐՋԻ» ՍՊԸ</w:t>
            </w:r>
            <w:r w:rsidRPr="00C97531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-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ն 2020թ.-ից սկսած ակտիվ գործունեություն է ծավալել միջազգային դրամաշնորհների և այլ ֆինանսավորման աղբյուրներ գտնելու ուղղությամբ, որոնք միտված են Հայաստանում արևային էներգետիկայի զարգացման, նորարարական ուղղությունների մշակման և Հայաստանում գործող դպրոցներում,  </w:t>
            </w:r>
            <w:r w:rsidRPr="00C97531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lastRenderedPageBreak/>
              <w:t>մանկապարտեզ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ներում</w:t>
            </w:r>
            <w:r w:rsidRPr="00C97531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, մշակույթի 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տ</w:t>
            </w:r>
            <w:r w:rsidRPr="00C97531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երում</w:t>
            </w:r>
            <w:r w:rsidRPr="00C97531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ոչ առևտրային կազմակերպություններում արևային էներգետիկայի</w:t>
            </w:r>
            <w:r w:rsidR="004E01F1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սարքավորումների</w:t>
            </w:r>
            <w:r w:rsidR="004E01F1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տեխնոլոգիաների և արտասահմանյան փորձի ներդրմանը։ Հիմնական </w:t>
            </w:r>
            <w:r w:rsidRPr="00AD653A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նպատակն էր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 ներգրավել արտասահմանյան բարեգործական կառույցներին նմանօրինակ ներդրումներ իրականացնելու համար։ </w:t>
            </w:r>
          </w:p>
          <w:p w:rsidR="00795337" w:rsidRDefault="00795337" w:rsidP="00795337">
            <w:pPr>
              <w:spacing w:line="276" w:lineRule="auto"/>
              <w:jc w:val="both"/>
              <w:rPr>
                <w:rFonts w:ascii="GHEA Grapalat" w:eastAsiaTheme="minorHAnsi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ab/>
              <w:t xml:space="preserve">Որպեսզի պարզ լիներ, թե որոնք էին մեր տարածաշրջանում հիմնական ֆինանսավորման մեխանիզմները, </w:t>
            </w:r>
            <w:r w:rsidRPr="00AD653A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քննարկվեց Վրաստանի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 Հանրապետության փորձը, որտեղ պարզ դարձավ, որ </w:t>
            </w:r>
            <w:r w:rsidRPr="00452141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Lիտվական «ՋեյԷսՍի Սոլիթ Թեքնիքս» ընկերության կողմից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 նման </w:t>
            </w:r>
            <w:r w:rsidR="00425A37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ծրագրեր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 իրականացվել են մի քանի տարի շարունակ և առաջարկվեց նմանօրինակ </w:t>
            </w:r>
            <w:r w:rsidR="006C5320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ծրագրեր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 իրականացնել նաև Հայաստանում։ Բանակցությունների արդյունքում ձեռք բերվեց համաձայնություն </w:t>
            </w:r>
            <w:r w:rsidR="00DD28F4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ծրագրեր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 իրականացնել Հայաստանում, որը ֆինանսավորվում է </w:t>
            </w:r>
            <w:r w:rsidRPr="00535EDE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Լիտվայի շրջակա միջավայրի նախարարության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ը կից</w:t>
            </w:r>
            <w:r w:rsidRPr="00535EDE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բ</w:t>
            </w:r>
            <w:r w:rsidRPr="00535EDE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նապահպանական նախագծերի կառավարման գործակալության կողմից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։</w:t>
            </w:r>
          </w:p>
          <w:p w:rsidR="00795337" w:rsidRDefault="00795337" w:rsidP="00795337">
            <w:pPr>
              <w:spacing w:line="276" w:lineRule="auto"/>
              <w:jc w:val="both"/>
              <w:rPr>
                <w:rFonts w:ascii="GHEA Grapalat" w:eastAsiaTheme="minorHAnsi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ab/>
              <w:t xml:space="preserve">Միևնույն ժամանակ նշենք նաև, որ </w:t>
            </w:r>
            <w:r w:rsidR="00DD28F4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ծրագիրով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 պարտադր</w:t>
            </w:r>
            <w:r w:rsidR="00DD28F4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վ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ում է ֆինանսավորել միայն ոչ առևտրային կազմակերպություններ</w:t>
            </w:r>
            <w:r w:rsidR="00DD28F4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։ </w:t>
            </w:r>
            <w:r w:rsidR="009332B6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br/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lastRenderedPageBreak/>
              <w:t>2020 թ</w:t>
            </w:r>
            <w:r w:rsidR="009332B6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-ից սկսած իրականացվել են շուրջ 10 նմանօրինակ </w:t>
            </w:r>
            <w:r w:rsidR="00F84E07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ծրագրեր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, իսկ 2022թ</w:t>
            </w:r>
            <w:r w:rsidR="009332B6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-ին ֆինանսավորման ծավալները </w:t>
            </w:r>
            <w:r w:rsidR="00F84E07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աճել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 են, որի արդյունքում </w:t>
            </w:r>
            <w:r w:rsidR="00F84E07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ֆինանսավոր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ել է 19 ոչ առևտրային կազմակերպություններ</w:t>
            </w:r>
            <w:r w:rsidR="00F84E07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ի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։</w:t>
            </w:r>
          </w:p>
          <w:p w:rsidR="00795337" w:rsidRDefault="00795337" w:rsidP="00795337">
            <w:pPr>
              <w:spacing w:line="276" w:lineRule="auto"/>
              <w:jc w:val="both"/>
              <w:rPr>
                <w:rFonts w:ascii="GHEA Grapalat" w:eastAsiaTheme="minorHAnsi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ab/>
              <w:t xml:space="preserve">Հարկ է նշել, որ ողջ գործընթացներն ուղեկցվել են Լիտվայի դեսպանատան և </w:t>
            </w:r>
            <w:r w:rsidRPr="00AD653A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Տարածքային կառավարման և ենթակառուցվածքների նախարարության ակտիվ մասնակցությամբ և աջակցությամբ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, քանի որ ծրագիրը չի ենթադրել շահույթի հետապնդում այլ միտված է եղել </w:t>
            </w:r>
            <w:r w:rsidRPr="00454C94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շրջակա միջավայրի աղտոտման և կլիմայի փոփոխության 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խնդիրների</w:t>
            </w:r>
            <w:r w:rsidRPr="00454C94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 լուծման տարբերակներից մեկի՝ արևային էներգետիկ կայանների կառուցմանը և ոչ առևտրային կազմակերպությունների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 սեփական կարիքների բավարարմանը։</w:t>
            </w:r>
          </w:p>
          <w:p w:rsidR="00795337" w:rsidRDefault="00795337" w:rsidP="00795337">
            <w:pPr>
              <w:spacing w:line="276" w:lineRule="auto"/>
              <w:jc w:val="both"/>
              <w:rPr>
                <w:rFonts w:ascii="GHEA Grapalat" w:eastAsiaTheme="minorHAnsi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ab/>
              <w:t>Նշենք նաև, որ զուտ սարքավորումների արժեքը կազմում է մոտ 416</w:t>
            </w:r>
            <w:r w:rsidRPr="00AD653A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563 Եվրո առանց ԱԱՀ, որի վրա ԱԱՀ-ի </w:t>
            </w:r>
            <w:r w:rsidR="00243208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ավելացման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 </w:t>
            </w:r>
            <w:r w:rsidR="00243208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պարագայում 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համայնքների վրա կավելացնի մոտ 83</w:t>
            </w:r>
            <w:r w:rsidRPr="00AD653A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300 Եվրո լրացուցիչ բեռ՝ հաշվի չառած մաքսային վճարները։</w:t>
            </w:r>
          </w:p>
          <w:p w:rsidR="00795337" w:rsidRDefault="00795337" w:rsidP="00795337">
            <w:pPr>
              <w:spacing w:line="360" w:lineRule="auto"/>
              <w:jc w:val="both"/>
              <w:rPr>
                <w:rFonts w:ascii="GHEA Grapalat" w:eastAsiaTheme="minorHAnsi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 </w:t>
            </w:r>
          </w:p>
          <w:p w:rsidR="00BB5899" w:rsidRPr="00E26C40" w:rsidRDefault="00BB5899" w:rsidP="00E26C40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</w:tbl>
    <w:p w:rsidR="00EC7226" w:rsidRPr="009E006E" w:rsidRDefault="00EC7226">
      <w:pPr>
        <w:rPr>
          <w:lang w:val="hy-AM"/>
        </w:rPr>
      </w:pPr>
    </w:p>
    <w:sectPr w:rsidR="00EC7226" w:rsidRPr="009E006E" w:rsidSect="00E10E80">
      <w:pgSz w:w="15840" w:h="12240" w:orient="landscape"/>
      <w:pgMar w:top="108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B52"/>
    <w:multiLevelType w:val="hybridMultilevel"/>
    <w:tmpl w:val="2D849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5BD7"/>
    <w:multiLevelType w:val="hybridMultilevel"/>
    <w:tmpl w:val="1CA41DA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CF13CD"/>
    <w:multiLevelType w:val="hybridMultilevel"/>
    <w:tmpl w:val="8714B178"/>
    <w:lvl w:ilvl="0" w:tplc="1858423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44463"/>
    <w:rsid w:val="000027E2"/>
    <w:rsid w:val="00012642"/>
    <w:rsid w:val="00012EB5"/>
    <w:rsid w:val="00020980"/>
    <w:rsid w:val="00042545"/>
    <w:rsid w:val="000571D2"/>
    <w:rsid w:val="000619EB"/>
    <w:rsid w:val="000701A6"/>
    <w:rsid w:val="000729EA"/>
    <w:rsid w:val="00075180"/>
    <w:rsid w:val="00080C5D"/>
    <w:rsid w:val="000811F3"/>
    <w:rsid w:val="000840B9"/>
    <w:rsid w:val="000A1C1B"/>
    <w:rsid w:val="000A4A02"/>
    <w:rsid w:val="000A78BF"/>
    <w:rsid w:val="000B516F"/>
    <w:rsid w:val="000C0BF6"/>
    <w:rsid w:val="000D167E"/>
    <w:rsid w:val="000E4AD3"/>
    <w:rsid w:val="00111F9B"/>
    <w:rsid w:val="00117F1C"/>
    <w:rsid w:val="00120A44"/>
    <w:rsid w:val="0014553B"/>
    <w:rsid w:val="0015160D"/>
    <w:rsid w:val="00153DFB"/>
    <w:rsid w:val="00174B46"/>
    <w:rsid w:val="001755E9"/>
    <w:rsid w:val="001801DA"/>
    <w:rsid w:val="001A1656"/>
    <w:rsid w:val="001C5EDF"/>
    <w:rsid w:val="001C6B46"/>
    <w:rsid w:val="001D4EE6"/>
    <w:rsid w:val="001E7437"/>
    <w:rsid w:val="00204AA6"/>
    <w:rsid w:val="00215A92"/>
    <w:rsid w:val="002178D2"/>
    <w:rsid w:val="00233AC6"/>
    <w:rsid w:val="00242EAB"/>
    <w:rsid w:val="00243208"/>
    <w:rsid w:val="002477C9"/>
    <w:rsid w:val="00252A94"/>
    <w:rsid w:val="002575ED"/>
    <w:rsid w:val="00266F62"/>
    <w:rsid w:val="002712B5"/>
    <w:rsid w:val="00275112"/>
    <w:rsid w:val="00283D89"/>
    <w:rsid w:val="00285F46"/>
    <w:rsid w:val="002A18D1"/>
    <w:rsid w:val="002A40E0"/>
    <w:rsid w:val="002A6994"/>
    <w:rsid w:val="002B49FF"/>
    <w:rsid w:val="002C1A96"/>
    <w:rsid w:val="002E4617"/>
    <w:rsid w:val="002E730E"/>
    <w:rsid w:val="002F3A63"/>
    <w:rsid w:val="003017BC"/>
    <w:rsid w:val="003202FD"/>
    <w:rsid w:val="003638A2"/>
    <w:rsid w:val="00363B47"/>
    <w:rsid w:val="0036688C"/>
    <w:rsid w:val="00370D61"/>
    <w:rsid w:val="00371B6B"/>
    <w:rsid w:val="003A405B"/>
    <w:rsid w:val="003C7E2F"/>
    <w:rsid w:val="003D1AE0"/>
    <w:rsid w:val="004003C2"/>
    <w:rsid w:val="00403EEE"/>
    <w:rsid w:val="00407C2B"/>
    <w:rsid w:val="00420BE9"/>
    <w:rsid w:val="00425A37"/>
    <w:rsid w:val="00432449"/>
    <w:rsid w:val="00437B41"/>
    <w:rsid w:val="00443EA0"/>
    <w:rsid w:val="00455BBB"/>
    <w:rsid w:val="00455F2A"/>
    <w:rsid w:val="004668F9"/>
    <w:rsid w:val="00492EB4"/>
    <w:rsid w:val="004A57EB"/>
    <w:rsid w:val="004D4202"/>
    <w:rsid w:val="004E01F1"/>
    <w:rsid w:val="004E6B31"/>
    <w:rsid w:val="00516900"/>
    <w:rsid w:val="00523C75"/>
    <w:rsid w:val="00524AAE"/>
    <w:rsid w:val="00525753"/>
    <w:rsid w:val="00541C76"/>
    <w:rsid w:val="005448D7"/>
    <w:rsid w:val="00545203"/>
    <w:rsid w:val="00577326"/>
    <w:rsid w:val="00577A06"/>
    <w:rsid w:val="0058322C"/>
    <w:rsid w:val="00585529"/>
    <w:rsid w:val="00586343"/>
    <w:rsid w:val="005A0759"/>
    <w:rsid w:val="005B1E71"/>
    <w:rsid w:val="005D38D2"/>
    <w:rsid w:val="005D3F12"/>
    <w:rsid w:val="005E2AF5"/>
    <w:rsid w:val="005E49DD"/>
    <w:rsid w:val="00601E28"/>
    <w:rsid w:val="00612D25"/>
    <w:rsid w:val="00615537"/>
    <w:rsid w:val="00627509"/>
    <w:rsid w:val="00634300"/>
    <w:rsid w:val="00634EEA"/>
    <w:rsid w:val="006549D1"/>
    <w:rsid w:val="00660AD3"/>
    <w:rsid w:val="00664B18"/>
    <w:rsid w:val="00672FFC"/>
    <w:rsid w:val="00674AC4"/>
    <w:rsid w:val="00677215"/>
    <w:rsid w:val="006918B7"/>
    <w:rsid w:val="006A031C"/>
    <w:rsid w:val="006C5320"/>
    <w:rsid w:val="006C5539"/>
    <w:rsid w:val="006D747B"/>
    <w:rsid w:val="006E790E"/>
    <w:rsid w:val="00710047"/>
    <w:rsid w:val="007163AA"/>
    <w:rsid w:val="0073143D"/>
    <w:rsid w:val="00741DA5"/>
    <w:rsid w:val="00746916"/>
    <w:rsid w:val="00751B4F"/>
    <w:rsid w:val="00757858"/>
    <w:rsid w:val="007672F7"/>
    <w:rsid w:val="007861C4"/>
    <w:rsid w:val="00790F4B"/>
    <w:rsid w:val="00791290"/>
    <w:rsid w:val="007928CB"/>
    <w:rsid w:val="00794C56"/>
    <w:rsid w:val="00795337"/>
    <w:rsid w:val="007C7AA7"/>
    <w:rsid w:val="007F4555"/>
    <w:rsid w:val="0080077E"/>
    <w:rsid w:val="00817DEA"/>
    <w:rsid w:val="008256CD"/>
    <w:rsid w:val="00832166"/>
    <w:rsid w:val="00834AA0"/>
    <w:rsid w:val="008357C5"/>
    <w:rsid w:val="00841742"/>
    <w:rsid w:val="00842BF1"/>
    <w:rsid w:val="00844560"/>
    <w:rsid w:val="00862001"/>
    <w:rsid w:val="00863F5F"/>
    <w:rsid w:val="008718AE"/>
    <w:rsid w:val="00876192"/>
    <w:rsid w:val="00880885"/>
    <w:rsid w:val="008862EE"/>
    <w:rsid w:val="00895C47"/>
    <w:rsid w:val="008A389E"/>
    <w:rsid w:val="008A539E"/>
    <w:rsid w:val="008B4633"/>
    <w:rsid w:val="008F2068"/>
    <w:rsid w:val="00901FCB"/>
    <w:rsid w:val="00907FBB"/>
    <w:rsid w:val="00924A6F"/>
    <w:rsid w:val="0092668A"/>
    <w:rsid w:val="009274F3"/>
    <w:rsid w:val="009332B6"/>
    <w:rsid w:val="00941B3B"/>
    <w:rsid w:val="009443F2"/>
    <w:rsid w:val="00944463"/>
    <w:rsid w:val="00947E0D"/>
    <w:rsid w:val="00955436"/>
    <w:rsid w:val="0095602D"/>
    <w:rsid w:val="009639F8"/>
    <w:rsid w:val="009B3E4D"/>
    <w:rsid w:val="009B5ECC"/>
    <w:rsid w:val="009E006E"/>
    <w:rsid w:val="009E53CD"/>
    <w:rsid w:val="00A039E4"/>
    <w:rsid w:val="00A04577"/>
    <w:rsid w:val="00A11DC5"/>
    <w:rsid w:val="00A4092E"/>
    <w:rsid w:val="00A42020"/>
    <w:rsid w:val="00A45234"/>
    <w:rsid w:val="00A508FD"/>
    <w:rsid w:val="00A567F4"/>
    <w:rsid w:val="00A60D2D"/>
    <w:rsid w:val="00A6392C"/>
    <w:rsid w:val="00A677EC"/>
    <w:rsid w:val="00A8361C"/>
    <w:rsid w:val="00AA6A27"/>
    <w:rsid w:val="00AC38F7"/>
    <w:rsid w:val="00AC5642"/>
    <w:rsid w:val="00AC792C"/>
    <w:rsid w:val="00AD27B6"/>
    <w:rsid w:val="00AD63A9"/>
    <w:rsid w:val="00AD653A"/>
    <w:rsid w:val="00AE6362"/>
    <w:rsid w:val="00AF12C1"/>
    <w:rsid w:val="00B052BC"/>
    <w:rsid w:val="00B12E69"/>
    <w:rsid w:val="00B1417A"/>
    <w:rsid w:val="00B141D6"/>
    <w:rsid w:val="00B3145B"/>
    <w:rsid w:val="00B336F2"/>
    <w:rsid w:val="00B344CC"/>
    <w:rsid w:val="00B366CF"/>
    <w:rsid w:val="00B557A3"/>
    <w:rsid w:val="00B559E4"/>
    <w:rsid w:val="00B71DF3"/>
    <w:rsid w:val="00B73FC1"/>
    <w:rsid w:val="00B80A6D"/>
    <w:rsid w:val="00B91BF0"/>
    <w:rsid w:val="00BB5899"/>
    <w:rsid w:val="00BB64C3"/>
    <w:rsid w:val="00BB70D2"/>
    <w:rsid w:val="00BC313E"/>
    <w:rsid w:val="00BF2D95"/>
    <w:rsid w:val="00C11D62"/>
    <w:rsid w:val="00C152BA"/>
    <w:rsid w:val="00C22373"/>
    <w:rsid w:val="00C26E5C"/>
    <w:rsid w:val="00C3231E"/>
    <w:rsid w:val="00C41C4A"/>
    <w:rsid w:val="00C4795E"/>
    <w:rsid w:val="00C9237A"/>
    <w:rsid w:val="00CD0F13"/>
    <w:rsid w:val="00CF2862"/>
    <w:rsid w:val="00D16858"/>
    <w:rsid w:val="00D2043B"/>
    <w:rsid w:val="00D22838"/>
    <w:rsid w:val="00D36B44"/>
    <w:rsid w:val="00D56D6E"/>
    <w:rsid w:val="00D617D3"/>
    <w:rsid w:val="00D82706"/>
    <w:rsid w:val="00D82F41"/>
    <w:rsid w:val="00DD28F4"/>
    <w:rsid w:val="00DD43FA"/>
    <w:rsid w:val="00DD51EE"/>
    <w:rsid w:val="00DD66C6"/>
    <w:rsid w:val="00DF1100"/>
    <w:rsid w:val="00DF456F"/>
    <w:rsid w:val="00DF732F"/>
    <w:rsid w:val="00E03895"/>
    <w:rsid w:val="00E03AD0"/>
    <w:rsid w:val="00E10E80"/>
    <w:rsid w:val="00E13EFE"/>
    <w:rsid w:val="00E17537"/>
    <w:rsid w:val="00E26C40"/>
    <w:rsid w:val="00E27EB7"/>
    <w:rsid w:val="00E37A76"/>
    <w:rsid w:val="00E41055"/>
    <w:rsid w:val="00E45683"/>
    <w:rsid w:val="00E845A7"/>
    <w:rsid w:val="00E86B10"/>
    <w:rsid w:val="00EB376C"/>
    <w:rsid w:val="00EC0999"/>
    <w:rsid w:val="00EC1177"/>
    <w:rsid w:val="00EC7226"/>
    <w:rsid w:val="00ED0F68"/>
    <w:rsid w:val="00ED1CD5"/>
    <w:rsid w:val="00ED22EA"/>
    <w:rsid w:val="00F032EA"/>
    <w:rsid w:val="00F078EB"/>
    <w:rsid w:val="00F44A0D"/>
    <w:rsid w:val="00F547CB"/>
    <w:rsid w:val="00F63C44"/>
    <w:rsid w:val="00F67885"/>
    <w:rsid w:val="00F84E07"/>
    <w:rsid w:val="00F91B66"/>
    <w:rsid w:val="00F95EAA"/>
    <w:rsid w:val="00F96564"/>
    <w:rsid w:val="00FA2B35"/>
    <w:rsid w:val="00FA696C"/>
    <w:rsid w:val="00FC010A"/>
    <w:rsid w:val="00FC2EB3"/>
    <w:rsid w:val="00FD0137"/>
    <w:rsid w:val="00FD18EC"/>
    <w:rsid w:val="00FD1D64"/>
    <w:rsid w:val="00FD651C"/>
    <w:rsid w:val="00FE1412"/>
    <w:rsid w:val="00FE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94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locked/>
    <w:rsid w:val="009444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7861C4"/>
    <w:pPr>
      <w:ind w:left="720"/>
      <w:contextualSpacing/>
    </w:pPr>
  </w:style>
  <w:style w:type="paragraph" w:styleId="BodyText">
    <w:name w:val="Body Text"/>
    <w:basedOn w:val="Normal"/>
    <w:link w:val="BodyTextChar"/>
    <w:rsid w:val="00844560"/>
    <w:pPr>
      <w:spacing w:after="14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844560"/>
    <w:rPr>
      <w:rFonts w:ascii="Calibri" w:eastAsia="Calibri" w:hAnsi="Calibri" w:cs="Times New Roman"/>
      <w:lang w:val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403E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895C4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12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n.melikyan</dc:creator>
  <cp:keywords/>
  <dc:description/>
  <cp:lastModifiedBy>n.melikyan</cp:lastModifiedBy>
  <cp:revision>268</cp:revision>
  <dcterms:created xsi:type="dcterms:W3CDTF">2021-10-19T10:12:00Z</dcterms:created>
  <dcterms:modified xsi:type="dcterms:W3CDTF">2023-03-20T08:37:00Z</dcterms:modified>
</cp:coreProperties>
</file>