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A5" w:rsidRPr="00582678" w:rsidRDefault="001221A5" w:rsidP="00EB6094">
      <w:pPr>
        <w:pStyle w:val="NoSpacing"/>
        <w:spacing w:line="360" w:lineRule="auto"/>
        <w:ind w:right="-330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221A5" w:rsidRPr="00582678" w:rsidRDefault="008C2FE3" w:rsidP="00EB6094">
      <w:pPr>
        <w:shd w:val="clear" w:color="auto" w:fill="FFFFFF"/>
        <w:spacing w:after="0" w:line="360" w:lineRule="auto"/>
        <w:ind w:right="-330"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8267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«ՊԵՏԱԿԱՆ ԵԿԱՄՈՒՏՆԵՐԻ ԿՈՄԻՏԵԻ ԿՈՂՄԻՑ ՉԱՓՈՒՄՆԵՐԻ ՄԻԱՍՆԱԿԱՆՈՒԹՅԱՆ ԱՊԱՀՈՎՄԱՆ ՈԼՈՐՏՈՒՄ ՎԵՐԱՀՍԿՈՂՈՒԹՅՈՒՆ ԻՐԱԿԱՆԱՑՆՈՂ ՏԵՍՉԱԿԱՆ ՄԱՐՄՆԻՆ ՍՏՈՒԳՄԱՆԸ ՆԱԽՈՐԴՈՂ ԵՌԱՄՍՅԱԿԻ</w:t>
      </w:r>
      <w:r w:rsidR="00F6357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՝</w:t>
      </w:r>
      <w:r w:rsidRPr="0058267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63576" w:rsidRPr="00FF7FB2">
        <w:rPr>
          <w:rFonts w:ascii="GHEA Grapalat" w:hAnsi="GHEA Grapalat" w:cs="Sylfaen"/>
          <w:b/>
          <w:color w:val="000000" w:themeColor="text1"/>
          <w:sz w:val="24"/>
          <w:lang w:val="hy-AM"/>
        </w:rPr>
        <w:t>ՀԵՂՈՒԿ ՎԱՌԵԼԻՔԻ ՍԵՂՄՎԱԾ ԲՆԱԿԱՆ ԿԱՄ ՀԵՂՈՒԿԱՑՎԱԾ ՆԱՎԹԱՅԻՆ ԿԱՄ ԱԾԽԱՋՐԱԾՆԱՅԻՆ ԳԱԶԵՐԻ ՄԱՆՐԱԾԱԽ ԱՌԵՎՏՐԻ ԿԵՏԵՐՈՒՄ</w:t>
      </w:r>
      <w:r w:rsidR="00F63576" w:rsidDel="00EA6A7D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58267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ՀՍԿԻՉ ԴՐԱՄԱՐԿՂԱՅԻՆ ՄԵՔԵՆԱՆԵՐՈՎ ԻՐԱՑՄԱՆ ՇՐՋԱՆԱՌՈՒԹՅԱՆ ՎԵՐԱԲԵՐՅԱԼ ՏԵՂԵԿԱՏՎՈՒԹՅԱՆ ՏՐԱՄԱԴՐՄԱՆ ԿԱՐԳԸ </w:t>
      </w:r>
      <w:r w:rsidR="00FD1DFE">
        <w:rPr>
          <w:rFonts w:ascii="GHEA Grapalat" w:hAnsi="GHEA Grapalat"/>
          <w:b/>
          <w:sz w:val="24"/>
          <w:szCs w:val="24"/>
          <w:lang w:val="hy-AM"/>
        </w:rPr>
        <w:t xml:space="preserve">ՍԱՀՄԱՆԵԼՈՒ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 xml:space="preserve">ՄԱՍԻՆ» </w:t>
      </w:r>
      <w:r w:rsidR="00974556" w:rsidRPr="0058267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</w:t>
      </w:r>
      <w:r w:rsidR="00BF4987" w:rsidRPr="00582678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</w:p>
    <w:p w:rsidR="00EB6094" w:rsidRPr="00582678" w:rsidRDefault="00EB6094" w:rsidP="00EB6094">
      <w:pPr>
        <w:shd w:val="clear" w:color="auto" w:fill="FFFFFF"/>
        <w:spacing w:after="0" w:line="360" w:lineRule="auto"/>
        <w:ind w:right="-330" w:firstLine="375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646F9" w:rsidRPr="00582678" w:rsidRDefault="001221A5" w:rsidP="00FB7C4A">
      <w:pPr>
        <w:pStyle w:val="NormalWeb"/>
        <w:tabs>
          <w:tab w:val="left" w:pos="567"/>
        </w:tabs>
        <w:spacing w:before="0" w:beforeAutospacing="0" w:after="0" w:afterAutospacing="0" w:line="360" w:lineRule="auto"/>
        <w:ind w:right="95" w:firstLine="567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1. Ընթացիկ իրավիճակը և իրավական ակտի ընդունման անհրաժեշտությունը</w:t>
      </w:r>
    </w:p>
    <w:p w:rsidR="00582678" w:rsidRPr="00582678" w:rsidRDefault="00582678" w:rsidP="0058267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Վառելիքի շուկայում լցակայանների նկատմամբ տուգանքի արդարացի բաշխման համակարգի կիրառումն է՝ լցակայանի տվյալ հասցեում խախտման դեպքով պայմանավորված եւ լցակայանների կողմից իրականացվող թերլցումներից սպառողների իրավունքների պաշտպանությունը, որի </w:t>
      </w:r>
      <w:r w:rsidR="008066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արդյունքում </w:t>
      </w:r>
      <w:r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անցում է կատարվել տուգանքի սահմանման առավել արդարացի բաշխման համակարգի, համաձայն որի՝ տուգանքը սահմանվել է կազմակերպության այն հասցեի/հասցեների վրա, որոնք կատարել են տվյալ խախտումը, իսկ խախտման չափը սահմանել նվազագույն աշխատավարձի երկուհարյուրապատիկի եւ տվյալ գործունեության իրականացման հասցեում արձանագրված խախտման օրվան նախորդող եռամսյակի իրացման շրջանառության մեկ </w:t>
      </w:r>
      <w:r w:rsidR="008066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երկու տոկոսի չափով՝ հաշվի առնելով տնտեսվարողների շրջանառության ծավալների տարբերություններն ու սպառողներին դրանցից բխող պատճառված վնասի չափը:</w:t>
      </w:r>
    </w:p>
    <w:p w:rsidR="00292AE0" w:rsidRPr="00582678" w:rsidRDefault="008C2FE3" w:rsidP="0058267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>Վարչական իրավախախտումների վերաբերյալ Հայաստ</w:t>
      </w:r>
      <w:r w:rsidR="00EA4C33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>անի Հանրապետության օրենսգրքում փոփոխություններ և լրացումներ կատարելու մասին 2022 թվականի դեկտեմբերի 07-ին ընդունված ՀՕ-535-Ն օրենքի</w:t>
      </w:r>
      <w:r w:rsidR="00292AE0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(այսուհետ՝</w:t>
      </w:r>
      <w:r w:rsidR="00A13CCC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292AE0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>Օրենք)</w:t>
      </w:r>
      <w:r w:rsidR="00EA4C33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1-ին հոդվածի իրավակարգավորումների համաձայն՝ </w:t>
      </w:r>
      <w:r w:rsidR="00292AE0"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տուգանքի չափը սահմանվել է հետևյալ կերպ՝ </w:t>
      </w:r>
      <w:r w:rsidR="00292AE0" w:rsidRPr="00582678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սահմանված նվազագույն աշխատավարձի </w:t>
      </w:r>
      <w:r w:rsidR="00292AE0" w:rsidRPr="00582678">
        <w:rPr>
          <w:rFonts w:ascii="GHEA Grapalat" w:hAnsi="GHEA Grapalat"/>
          <w:bCs/>
          <w:i/>
          <w:sz w:val="24"/>
          <w:szCs w:val="24"/>
          <w:lang w:val="hy-AM"/>
        </w:rPr>
        <w:lastRenderedPageBreak/>
        <w:t>երկուհարյուրապատիկի</w:t>
      </w:r>
      <w:r w:rsidR="00292AE0" w:rsidRPr="00582678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92AE0" w:rsidRPr="00582678">
        <w:rPr>
          <w:rFonts w:ascii="GHEA Grapalat" w:hAnsi="GHEA Grapalat"/>
          <w:bCs/>
          <w:i/>
          <w:sz w:val="24"/>
          <w:szCs w:val="24"/>
          <w:lang w:val="hy-AM"/>
        </w:rPr>
        <w:t xml:space="preserve">և ստուգմանը նախորդող եռամսյակի տվյալ </w:t>
      </w:r>
      <w:r w:rsidR="00EB6094" w:rsidRPr="00582678">
        <w:rPr>
          <w:rFonts w:ascii="GHEA Grapalat" w:hAnsi="GHEA Grapalat"/>
          <w:bCs/>
          <w:i/>
          <w:sz w:val="24"/>
          <w:szCs w:val="24"/>
          <w:lang w:val="hy-AM"/>
        </w:rPr>
        <w:t xml:space="preserve">գործունեության իրականացման </w:t>
      </w:r>
      <w:r w:rsidR="00292AE0" w:rsidRPr="00582678">
        <w:rPr>
          <w:rFonts w:ascii="GHEA Grapalat" w:hAnsi="GHEA Grapalat"/>
          <w:bCs/>
          <w:i/>
          <w:sz w:val="24"/>
          <w:szCs w:val="24"/>
          <w:lang w:val="hy-AM"/>
        </w:rPr>
        <w:t xml:space="preserve">հասցեում հսկիչ դրամարկղային մեքենաներով </w:t>
      </w:r>
      <w:r w:rsidR="00EB6094" w:rsidRPr="00582678">
        <w:rPr>
          <w:rFonts w:ascii="GHEA Grapalat" w:hAnsi="GHEA Grapalat"/>
          <w:bCs/>
          <w:i/>
          <w:sz w:val="24"/>
          <w:szCs w:val="24"/>
          <w:lang w:val="hy-AM"/>
        </w:rPr>
        <w:t xml:space="preserve">իրացման </w:t>
      </w:r>
      <w:r w:rsidR="00292AE0" w:rsidRPr="00582678">
        <w:rPr>
          <w:rFonts w:ascii="GHEA Grapalat" w:hAnsi="GHEA Grapalat"/>
          <w:bCs/>
          <w:i/>
          <w:sz w:val="24"/>
          <w:szCs w:val="24"/>
          <w:lang w:val="hy-AM"/>
        </w:rPr>
        <w:t xml:space="preserve">շրջանառության մեկ </w:t>
      </w:r>
      <w:r w:rsidR="00292AE0" w:rsidRPr="00582678">
        <w:rPr>
          <w:rFonts w:ascii="GHEA Grapalat" w:hAnsi="GHEA Grapalat" w:cs="GHEA Grapalat"/>
          <w:bCs/>
          <w:i/>
          <w:sz w:val="24"/>
          <w:szCs w:val="24"/>
          <w:lang w:val="hy-AM"/>
        </w:rPr>
        <w:t>տոկոսի</w:t>
      </w:r>
      <w:r w:rsidR="00292AE0" w:rsidRPr="00582678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  <w:r w:rsidR="00292AE0" w:rsidRPr="00582678">
        <w:rPr>
          <w:rFonts w:ascii="GHEA Grapalat" w:hAnsi="GHEA Grapalat" w:cs="GHEA Grapalat"/>
          <w:bCs/>
          <w:i/>
          <w:sz w:val="24"/>
          <w:szCs w:val="24"/>
          <w:lang w:val="hy-AM"/>
        </w:rPr>
        <w:t>չափով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292AE0" w:rsidRPr="00582678">
        <w:rPr>
          <w:rFonts w:ascii="GHEA Grapalat" w:hAnsi="GHEA Grapalat" w:cs="GHEA Grapalat"/>
          <w:bCs/>
          <w:sz w:val="24"/>
          <w:szCs w:val="24"/>
          <w:lang w:val="hy-AM"/>
        </w:rPr>
        <w:t>որի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92AE0" w:rsidRPr="00582678">
        <w:rPr>
          <w:rFonts w:ascii="GHEA Grapalat" w:hAnsi="GHEA Grapalat" w:cs="GHEA Grapalat"/>
          <w:bCs/>
          <w:sz w:val="24"/>
          <w:szCs w:val="24"/>
          <w:lang w:val="hy-AM"/>
        </w:rPr>
        <w:t>վե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>րաբերյալ տեղեկություն</w:t>
      </w:r>
      <w:r w:rsidR="00EB6094" w:rsidRPr="00582678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 xml:space="preserve">ը </w:t>
      </w:r>
      <w:r w:rsidR="00A13CCC" w:rsidRPr="00582678">
        <w:rPr>
          <w:rFonts w:ascii="GHEA Grapalat" w:hAnsi="GHEA Grapalat"/>
          <w:bCs/>
          <w:sz w:val="24"/>
          <w:szCs w:val="24"/>
          <w:lang w:val="hy-AM"/>
        </w:rPr>
        <w:t>Պ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 xml:space="preserve">ետական եկամուտների կոմիտեն տրամադրում է </w:t>
      </w:r>
      <w:r w:rsidR="00A13CCC" w:rsidRPr="00582678">
        <w:rPr>
          <w:rFonts w:ascii="GHEA Grapalat" w:hAnsi="GHEA Grapalat"/>
          <w:bCs/>
          <w:sz w:val="24"/>
          <w:szCs w:val="24"/>
          <w:lang w:val="hy-AM"/>
        </w:rPr>
        <w:t>չափումների միասնականության ապահովման ոլորտում վերահսկողություն իրականացնող տեսչական մարմնին</w:t>
      </w:r>
      <w:r w:rsidR="0058267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82678" w:rsidRPr="00582678">
        <w:rPr>
          <w:rFonts w:ascii="GHEA Grapalat" w:hAnsi="GHEA Grapalat"/>
          <w:bCs/>
          <w:sz w:val="24"/>
          <w:szCs w:val="24"/>
          <w:lang w:val="hy-AM"/>
        </w:rPr>
        <w:t>(</w:t>
      </w:r>
      <w:r w:rsidR="00582678">
        <w:rPr>
          <w:rFonts w:ascii="GHEA Grapalat" w:hAnsi="GHEA Grapalat"/>
          <w:bCs/>
          <w:sz w:val="24"/>
          <w:szCs w:val="24"/>
          <w:lang w:val="hy-AM"/>
        </w:rPr>
        <w:t>այսուհետ՝ Տեսչական մարմին</w:t>
      </w:r>
      <w:r w:rsidR="00582678" w:rsidRPr="00582678">
        <w:rPr>
          <w:rFonts w:ascii="GHEA Grapalat" w:hAnsi="GHEA Grapalat"/>
          <w:bCs/>
          <w:sz w:val="24"/>
          <w:szCs w:val="24"/>
          <w:lang w:val="hy-AM"/>
        </w:rPr>
        <w:t>)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622F60" w:rsidRPr="00582678" w:rsidRDefault="00A13CCC" w:rsidP="00582678">
      <w:pPr>
        <w:pStyle w:val="BodyText"/>
        <w:spacing w:after="0" w:line="360" w:lineRule="auto"/>
        <w:jc w:val="both"/>
        <w:rPr>
          <w:rFonts w:ascii="GHEA Grapalat" w:hAnsi="GHEA Grapalat"/>
          <w:bCs/>
          <w:lang w:val="hy-AM"/>
        </w:rPr>
      </w:pPr>
      <w:r w:rsidRPr="00582678">
        <w:rPr>
          <w:rFonts w:ascii="GHEA Grapalat" w:hAnsi="GHEA Grapalat"/>
          <w:bCs/>
          <w:lang w:val="hy-AM"/>
        </w:rPr>
        <w:t xml:space="preserve">          </w:t>
      </w:r>
      <w:r w:rsidR="001D3AAC" w:rsidRPr="00582678">
        <w:rPr>
          <w:rFonts w:ascii="GHEA Grapalat" w:hAnsi="GHEA Grapalat"/>
          <w:bCs/>
          <w:lang w:val="hy-AM"/>
        </w:rPr>
        <w:t xml:space="preserve"> </w:t>
      </w:r>
      <w:r w:rsidR="00582678">
        <w:rPr>
          <w:rFonts w:ascii="GHEA Grapalat" w:hAnsi="GHEA Grapalat"/>
          <w:bCs/>
          <w:lang w:val="hy-AM"/>
        </w:rPr>
        <w:t xml:space="preserve"> </w:t>
      </w:r>
      <w:r w:rsidRPr="00582678">
        <w:rPr>
          <w:rFonts w:ascii="GHEA Grapalat" w:hAnsi="GHEA Grapalat"/>
          <w:bCs/>
          <w:lang w:val="hy-AM"/>
        </w:rPr>
        <w:t xml:space="preserve">Օրենքի 2-րդ հոդվածի </w:t>
      </w:r>
      <w:r w:rsidR="00622F60" w:rsidRPr="00582678">
        <w:rPr>
          <w:rFonts w:ascii="GHEA Grapalat" w:hAnsi="GHEA Grapalat"/>
          <w:bCs/>
          <w:lang w:val="hy-AM"/>
        </w:rPr>
        <w:t xml:space="preserve">համաձայն՝ </w:t>
      </w:r>
      <w:r w:rsidR="00622F60" w:rsidRPr="00582678">
        <w:rPr>
          <w:rFonts w:ascii="GHEA Grapalat" w:hAnsi="GHEA Grapalat"/>
          <w:color w:val="000000"/>
          <w:shd w:val="clear" w:color="auto" w:fill="FFFFFF"/>
          <w:lang w:val="hy-AM"/>
        </w:rPr>
        <w:t xml:space="preserve">տուգանքի չափը սահմանվել է հետևյալ կերպ՝ սահմանված նվազագույն աշխատավարձի </w:t>
      </w:r>
      <w:r w:rsidR="00622F60" w:rsidRPr="00582678">
        <w:rPr>
          <w:rFonts w:ascii="GHEA Grapalat" w:hAnsi="GHEA Grapalat"/>
          <w:bCs/>
          <w:lang w:val="hy-AM"/>
        </w:rPr>
        <w:t>երկուհարյուրապատիկի</w:t>
      </w:r>
      <w:r w:rsidR="00622F60" w:rsidRPr="0058267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22F60" w:rsidRPr="00582678">
        <w:rPr>
          <w:rFonts w:ascii="GHEA Grapalat" w:hAnsi="GHEA Grapalat"/>
          <w:bCs/>
          <w:lang w:val="hy-AM"/>
        </w:rPr>
        <w:t xml:space="preserve">և ստուգմանը նախորդող եռամսյակի տվյալ </w:t>
      </w:r>
      <w:r w:rsidR="00EB6094" w:rsidRPr="00582678">
        <w:rPr>
          <w:rFonts w:ascii="GHEA Grapalat" w:hAnsi="GHEA Grapalat"/>
          <w:bCs/>
          <w:lang w:val="hy-AM"/>
        </w:rPr>
        <w:t xml:space="preserve">գործունեության իրականացման </w:t>
      </w:r>
      <w:r w:rsidR="00622F60" w:rsidRPr="00582678">
        <w:rPr>
          <w:rFonts w:ascii="GHEA Grapalat" w:hAnsi="GHEA Grapalat"/>
          <w:bCs/>
          <w:lang w:val="hy-AM"/>
        </w:rPr>
        <w:t xml:space="preserve">հասցեում հսկիչ դրամարկղային մեքենաներով </w:t>
      </w:r>
      <w:r w:rsidR="00EB6094" w:rsidRPr="00582678">
        <w:rPr>
          <w:rFonts w:ascii="GHEA Grapalat" w:hAnsi="GHEA Grapalat"/>
          <w:bCs/>
          <w:lang w:val="hy-AM"/>
        </w:rPr>
        <w:t xml:space="preserve">իրացման </w:t>
      </w:r>
      <w:r w:rsidR="00622F60" w:rsidRPr="00582678">
        <w:rPr>
          <w:rFonts w:ascii="GHEA Grapalat" w:hAnsi="GHEA Grapalat"/>
          <w:bCs/>
          <w:lang w:val="hy-AM"/>
        </w:rPr>
        <w:t xml:space="preserve">շրջանառության երկու </w:t>
      </w:r>
      <w:r w:rsidR="00622F60" w:rsidRPr="00582678">
        <w:rPr>
          <w:rFonts w:ascii="GHEA Grapalat" w:hAnsi="GHEA Grapalat" w:cs="GHEA Grapalat"/>
          <w:bCs/>
          <w:lang w:val="hy-AM"/>
        </w:rPr>
        <w:t>տոկոսի</w:t>
      </w:r>
      <w:r w:rsidR="00622F60" w:rsidRPr="00582678">
        <w:rPr>
          <w:rFonts w:ascii="GHEA Grapalat" w:hAnsi="GHEA Grapalat"/>
          <w:bCs/>
          <w:lang w:val="hy-AM"/>
        </w:rPr>
        <w:t xml:space="preserve"> </w:t>
      </w:r>
      <w:r w:rsidR="00622F60" w:rsidRPr="00582678">
        <w:rPr>
          <w:rFonts w:ascii="GHEA Grapalat" w:hAnsi="GHEA Grapalat" w:cs="GHEA Grapalat"/>
          <w:bCs/>
          <w:lang w:val="hy-AM"/>
        </w:rPr>
        <w:t>չափով</w:t>
      </w:r>
      <w:r w:rsidR="00622F60" w:rsidRPr="00582678">
        <w:rPr>
          <w:rFonts w:ascii="GHEA Grapalat" w:hAnsi="GHEA Grapalat"/>
          <w:bCs/>
          <w:lang w:val="hy-AM"/>
        </w:rPr>
        <w:t xml:space="preserve">, </w:t>
      </w:r>
      <w:r w:rsidR="00622F60" w:rsidRPr="00582678">
        <w:rPr>
          <w:rFonts w:ascii="GHEA Grapalat" w:hAnsi="GHEA Grapalat" w:cs="GHEA Grapalat"/>
          <w:bCs/>
          <w:lang w:val="hy-AM"/>
        </w:rPr>
        <w:t>որի</w:t>
      </w:r>
      <w:r w:rsidR="00622F60" w:rsidRPr="00582678">
        <w:rPr>
          <w:rFonts w:ascii="GHEA Grapalat" w:hAnsi="GHEA Grapalat"/>
          <w:bCs/>
          <w:lang w:val="hy-AM"/>
        </w:rPr>
        <w:t xml:space="preserve"> </w:t>
      </w:r>
      <w:r w:rsidR="00622F60" w:rsidRPr="00582678">
        <w:rPr>
          <w:rFonts w:ascii="GHEA Grapalat" w:hAnsi="GHEA Grapalat" w:cs="GHEA Grapalat"/>
          <w:bCs/>
          <w:lang w:val="hy-AM"/>
        </w:rPr>
        <w:t>վե</w:t>
      </w:r>
      <w:r w:rsidR="00622F60" w:rsidRPr="00582678">
        <w:rPr>
          <w:rFonts w:ascii="GHEA Grapalat" w:hAnsi="GHEA Grapalat"/>
          <w:bCs/>
          <w:lang w:val="hy-AM"/>
        </w:rPr>
        <w:t>րաբերյալ տեղեկ</w:t>
      </w:r>
      <w:r w:rsidR="00582678">
        <w:rPr>
          <w:rFonts w:ascii="GHEA Grapalat" w:hAnsi="GHEA Grapalat"/>
          <w:bCs/>
          <w:lang w:val="hy-AM"/>
        </w:rPr>
        <w:t>ութ</w:t>
      </w:r>
      <w:r w:rsidR="00622F60" w:rsidRPr="00582678">
        <w:rPr>
          <w:rFonts w:ascii="GHEA Grapalat" w:hAnsi="GHEA Grapalat"/>
          <w:bCs/>
          <w:lang w:val="hy-AM"/>
        </w:rPr>
        <w:t>ություն</w:t>
      </w:r>
      <w:r w:rsidR="00582678">
        <w:rPr>
          <w:rFonts w:ascii="GHEA Grapalat" w:hAnsi="GHEA Grapalat"/>
          <w:bCs/>
          <w:lang w:val="hy-AM"/>
        </w:rPr>
        <w:t>եր</w:t>
      </w:r>
      <w:r w:rsidR="00622F60" w:rsidRPr="00582678">
        <w:rPr>
          <w:rFonts w:ascii="GHEA Grapalat" w:hAnsi="GHEA Grapalat"/>
          <w:bCs/>
          <w:lang w:val="hy-AM"/>
        </w:rPr>
        <w:t xml:space="preserve">ը Պետական եկամուտների կոմիտեն տրամադրում է </w:t>
      </w:r>
      <w:r w:rsidR="00582678">
        <w:rPr>
          <w:rFonts w:ascii="GHEA Grapalat" w:hAnsi="GHEA Grapalat"/>
          <w:bCs/>
          <w:lang w:val="hy-AM"/>
        </w:rPr>
        <w:t>Տ</w:t>
      </w:r>
      <w:r w:rsidR="00622F60" w:rsidRPr="00582678">
        <w:rPr>
          <w:rFonts w:ascii="GHEA Grapalat" w:hAnsi="GHEA Grapalat"/>
          <w:bCs/>
          <w:lang w:val="hy-AM"/>
        </w:rPr>
        <w:t>եսչական մարմնին։</w:t>
      </w:r>
    </w:p>
    <w:p w:rsidR="00622F60" w:rsidRPr="00582678" w:rsidRDefault="00D37F77" w:rsidP="00582678">
      <w:pPr>
        <w:pStyle w:val="BodyText"/>
        <w:spacing w:after="0" w:line="360" w:lineRule="auto"/>
        <w:jc w:val="both"/>
        <w:rPr>
          <w:rFonts w:ascii="GHEA Grapalat" w:hAnsi="GHEA Grapalat"/>
          <w:bCs/>
          <w:lang w:val="hy-AM"/>
        </w:rPr>
      </w:pPr>
      <w:r w:rsidRPr="00582678">
        <w:rPr>
          <w:rFonts w:ascii="GHEA Grapalat" w:hAnsi="GHEA Grapalat"/>
          <w:bCs/>
          <w:lang w:val="hy-AM"/>
        </w:rPr>
        <w:t xml:space="preserve">             Օրենքի</w:t>
      </w:r>
      <w:r w:rsidR="00EB6094" w:rsidRPr="00582678">
        <w:rPr>
          <w:rFonts w:ascii="GHEA Grapalat" w:hAnsi="GHEA Grapalat"/>
          <w:bCs/>
          <w:lang w:val="hy-AM"/>
        </w:rPr>
        <w:t xml:space="preserve"> իրավակագավորումների համատեքստում </w:t>
      </w:r>
      <w:r w:rsidR="00582678">
        <w:rPr>
          <w:rFonts w:ascii="GHEA Grapalat" w:hAnsi="GHEA Grapalat"/>
          <w:bCs/>
          <w:lang w:val="hy-AM"/>
        </w:rPr>
        <w:t xml:space="preserve">և Օրենքի 5-րդ հոդվածի 2-րդ մասի համաձայն՝ </w:t>
      </w:r>
      <w:r w:rsidR="00EB6094" w:rsidRPr="00582678">
        <w:rPr>
          <w:rFonts w:ascii="GHEA Grapalat" w:hAnsi="GHEA Grapalat"/>
          <w:bCs/>
          <w:lang w:val="hy-AM"/>
        </w:rPr>
        <w:t xml:space="preserve">անհրաժեշտություն է առաջացել մշակել </w:t>
      </w:r>
      <w:r w:rsidR="00EB6094" w:rsidRPr="00582678">
        <w:rPr>
          <w:rFonts w:ascii="GHEA Grapalat" w:hAnsi="GHEA Grapalat"/>
          <w:noProof/>
          <w:color w:val="000000"/>
          <w:lang w:val="hy-AM" w:eastAsia="en-GB"/>
        </w:rPr>
        <w:t>Պետական եկամուտների կոմիտեի կողմից չափումների միասնականության ապահովման ոլորտում վերահսկողություն իրականացնող տեսչական մարմնին ստուգմանը նախորդող եռամսյակի տվյալ գործունեության իրականացման հասցեում հսկիչ դրամարկղային մեքենաներով իրացման շրջանառության վերաբերյալ տեղեկատվության տրամադրման կարգ</w:t>
      </w:r>
      <w:r w:rsidR="00582678">
        <w:rPr>
          <w:rFonts w:ascii="GHEA Grapalat" w:hAnsi="GHEA Grapalat"/>
          <w:noProof/>
          <w:color w:val="000000"/>
          <w:lang w:val="hy-AM" w:eastAsia="en-GB"/>
        </w:rPr>
        <w:t xml:space="preserve">: </w:t>
      </w:r>
    </w:p>
    <w:p w:rsidR="00D37F77" w:rsidRPr="00582678" w:rsidRDefault="00D37F77" w:rsidP="00EB6094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 w:cs="Sylfaen"/>
          <w:spacing w:val="-2"/>
          <w:lang w:val="hy-AM"/>
        </w:rPr>
      </w:pPr>
    </w:p>
    <w:p w:rsidR="00D37F77" w:rsidRPr="00582678" w:rsidRDefault="008F4F36" w:rsidP="00EB6094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 w:cs="Sylfaen"/>
          <w:spacing w:val="-2"/>
          <w:lang w:val="hy-AM"/>
        </w:rPr>
        <w:t xml:space="preserve">   </w:t>
      </w:r>
      <w:r w:rsidR="00243D83" w:rsidRPr="00582678">
        <w:rPr>
          <w:rFonts w:ascii="GHEA Grapalat" w:hAnsi="GHEA Grapalat"/>
          <w:b/>
          <w:lang w:val="hy-AM"/>
        </w:rPr>
        <w:t>2. Առաջարկվող կարգավորման բնույթը</w:t>
      </w:r>
    </w:p>
    <w:p w:rsidR="001171F6" w:rsidRPr="00582678" w:rsidRDefault="008F4F36" w:rsidP="00EB6094">
      <w:pPr>
        <w:tabs>
          <w:tab w:val="left" w:pos="993"/>
        </w:tabs>
        <w:spacing w:after="0" w:line="360" w:lineRule="auto"/>
        <w:ind w:right="-330"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243D83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Նախագծով առաջարկվում է </w:t>
      </w:r>
      <w:r w:rsidR="00AC396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սահմանել </w:t>
      </w:r>
      <w:r w:rsidR="00D37F77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Պետական եկամուտների կոմիտեի կողմից չափումների միասնականության ապահովման ոլորտում վերահսկողություն իրականացնող տեսչական մարմնին ստուգմանը նախորդող եռամսյակի</w:t>
      </w:r>
      <w:r w:rsidR="00F63576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՝</w:t>
      </w:r>
      <w:r w:rsidR="00D37F77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F63576" w:rsidRPr="00F63576">
        <w:rPr>
          <w:rFonts w:ascii="GHEA Grapalat" w:hAnsi="GHEA Grapalat" w:cs="Sylfaen"/>
          <w:color w:val="000000" w:themeColor="text1"/>
          <w:sz w:val="24"/>
          <w:lang w:val="hy-AM"/>
        </w:rPr>
        <w:t xml:space="preserve">հեղուկ վառելիքի սեղմված բնական կամ հեղուկացված նավթային կամ ածխաջրածնային գազերի մանրածախ </w:t>
      </w:r>
      <w:r w:rsidR="00F63576">
        <w:rPr>
          <w:rFonts w:ascii="GHEA Grapalat" w:hAnsi="GHEA Grapalat" w:cs="Sylfaen"/>
          <w:color w:val="000000" w:themeColor="text1"/>
          <w:sz w:val="24"/>
          <w:lang w:val="hy-AM"/>
        </w:rPr>
        <w:t>առև</w:t>
      </w:r>
      <w:r w:rsidR="00475230">
        <w:rPr>
          <w:rFonts w:ascii="GHEA Grapalat" w:hAnsi="GHEA Grapalat" w:cs="Sylfaen"/>
          <w:color w:val="000000" w:themeColor="text1"/>
          <w:sz w:val="24"/>
          <w:lang w:val="hy-AM"/>
        </w:rPr>
        <w:t>տ</w:t>
      </w:r>
      <w:r w:rsidR="00F63576" w:rsidRPr="00F63576">
        <w:rPr>
          <w:rFonts w:ascii="GHEA Grapalat" w:hAnsi="GHEA Grapalat" w:cs="Sylfaen"/>
          <w:color w:val="000000" w:themeColor="text1"/>
          <w:sz w:val="24"/>
          <w:lang w:val="hy-AM"/>
        </w:rPr>
        <w:t>րի կետերում</w:t>
      </w:r>
      <w:r w:rsidR="00F63576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D37F77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հսկիչ դրամարկղային մեքենաներով իրացման շրջանառության վերաբերյալ տեղեկատվության տրամադրման կարգը, </w:t>
      </w:r>
      <w:r w:rsidR="00DB0484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տեղեկատվության բովանդակությունը, </w:t>
      </w:r>
      <w:r w:rsidR="00D37F77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տեղեկատվության տրամադրման ձևը</w:t>
      </w:r>
      <w:r w:rsidR="00FA6EB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, ժամկետը</w:t>
      </w:r>
      <w:bookmarkStart w:id="0" w:name="_GoBack"/>
      <w:bookmarkEnd w:id="0"/>
      <w:r w:rsidR="00D37F77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: </w:t>
      </w:r>
    </w:p>
    <w:p w:rsidR="00D37F77" w:rsidRPr="00582678" w:rsidRDefault="00D37F77" w:rsidP="00EB6094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</w:p>
    <w:p w:rsidR="001221A5" w:rsidRPr="00582678" w:rsidRDefault="001221A5" w:rsidP="00EB6094">
      <w:pPr>
        <w:pStyle w:val="NormalWeb"/>
        <w:spacing w:before="0" w:beforeAutospacing="0" w:after="0" w:afterAutospacing="0" w:line="360" w:lineRule="auto"/>
        <w:ind w:right="-330" w:firstLine="284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lastRenderedPageBreak/>
        <w:t>3. Նախագծի մշակման գործընթ</w:t>
      </w:r>
      <w:r w:rsidR="00326ED7" w:rsidRPr="00582678">
        <w:rPr>
          <w:rFonts w:ascii="GHEA Grapalat" w:hAnsi="GHEA Grapalat"/>
          <w:b/>
          <w:lang w:val="hy-AM"/>
        </w:rPr>
        <w:t>ացում ներգրավված ինստիտուտները</w:t>
      </w:r>
    </w:p>
    <w:p w:rsidR="007E5F7B" w:rsidRPr="00582678" w:rsidRDefault="001171F6" w:rsidP="00EB6094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է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գրասենյակի կողմից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>: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221A5" w:rsidRPr="00582678" w:rsidRDefault="001221A5" w:rsidP="00EB6094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221A5" w:rsidRPr="00582678" w:rsidRDefault="001221A5" w:rsidP="00EB6094">
      <w:pPr>
        <w:pStyle w:val="NormalWeb"/>
        <w:spacing w:before="0" w:beforeAutospacing="0" w:after="0" w:afterAutospacing="0" w:line="360" w:lineRule="auto"/>
        <w:ind w:right="-330" w:firstLine="284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4. Ակնկալվող արդյունքը</w:t>
      </w:r>
    </w:p>
    <w:p w:rsidR="00D04A17" w:rsidRPr="00582678" w:rsidRDefault="00C768CA" w:rsidP="00D04A1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 xml:space="preserve">Նախագծի ընդունման արդյունքում ակնկալվում է ապահովել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Տ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>եսչական մարմնի բնականոն գործունեության ընթացքի հետ կապված իրավական հիմքերը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: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Միաժամանակ Նախագծի ընդունման արդյունքում, Տ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>եսչական մարմ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ինը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հնարավորություն կընձեռի Պետական եկամուտների կոմիտեի կողմից տրամադրած տեղեկությունների հիման վրա և  </w:t>
      </w:r>
      <w:r w:rsidR="00D04A17"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տնտեսվարողների </w:t>
      </w:r>
      <w:r w:rsidR="00D04A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իրացման </w:t>
      </w:r>
      <w:r w:rsidR="00D04A17"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շրջանառության ծավալներ</w:t>
      </w:r>
      <w:r w:rsidR="00D04A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04A17" w:rsidRPr="00D04A1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հաշվարկել համաչափ տուգանք: </w:t>
      </w:r>
    </w:p>
    <w:p w:rsidR="001171F6" w:rsidRPr="00582678" w:rsidRDefault="001171F6" w:rsidP="00EB6094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171F6" w:rsidRPr="00582678" w:rsidRDefault="008645ED" w:rsidP="00EB6094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-33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58267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1171F6" w:rsidRPr="00582678" w:rsidRDefault="001171F6" w:rsidP="00EB6094">
      <w:pPr>
        <w:tabs>
          <w:tab w:val="left" w:pos="851"/>
        </w:tabs>
        <w:spacing w:after="0" w:line="360" w:lineRule="auto"/>
        <w:ind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 w:eastAsia="en-GB"/>
        </w:rPr>
        <w:t xml:space="preserve">Նախագիծը բխում է </w:t>
      </w:r>
      <w:r w:rsidRPr="0058267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 w:eastAsia="en-GB"/>
        </w:rPr>
        <w:t>Հայաստանի Հանրապետության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N 1902-Լ որոշման հավելվածի 11.5 ենթակետի պահանջներից, մասնավորապես՝ «Շուկայի վերահսկողության տեսչական մարմնի ոլորտը կարգավորող համապատասխան իրավական ակտի ընդունում (ոլորտի գործող օրենսդրության կատարելագործում, օրենսդրական բացերի լրացում)»:</w:t>
      </w:r>
    </w:p>
    <w:p w:rsidR="00C768CA" w:rsidRPr="00582678" w:rsidRDefault="00C768CA" w:rsidP="00EB6094">
      <w:pPr>
        <w:spacing w:after="0" w:line="360" w:lineRule="auto"/>
        <w:ind w:right="-330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:rsidR="008645ED" w:rsidRPr="00582678" w:rsidRDefault="008645ED" w:rsidP="00EB6094">
      <w:pPr>
        <w:pStyle w:val="ListParagraph"/>
        <w:numPr>
          <w:ilvl w:val="0"/>
          <w:numId w:val="22"/>
        </w:numPr>
        <w:spacing w:after="0" w:line="360" w:lineRule="auto"/>
        <w:ind w:left="0" w:right="-330" w:firstLine="567"/>
        <w:jc w:val="both"/>
        <w:rPr>
          <w:rFonts w:ascii="GHEA Grapalat" w:hAnsi="GHEA Grapalat"/>
          <w:b/>
          <w:sz w:val="24"/>
          <w:szCs w:val="24"/>
          <w:lang w:val="hy-AM" w:eastAsia="ru-RU"/>
        </w:rPr>
      </w:pP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Այլ</w:t>
      </w:r>
      <w:r w:rsidRPr="00582678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նորմատիվ</w:t>
      </w:r>
      <w:r w:rsidRPr="00582678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իրավական</w:t>
      </w:r>
      <w:r w:rsidRPr="00582678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ակտերի</w:t>
      </w:r>
      <w:r w:rsidRPr="00582678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</w:t>
      </w:r>
      <w:r w:rsidRPr="00582678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անհրաժեշտության վերաբերյալ</w:t>
      </w:r>
    </w:p>
    <w:p w:rsidR="006C020E" w:rsidRPr="006C020E" w:rsidRDefault="006C020E" w:rsidP="006C020E">
      <w:p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Pr="006C020E">
        <w:rPr>
          <w:rFonts w:ascii="GHEA Grapalat" w:hAnsi="GHEA Grapalat" w:cs="Sylfaen"/>
          <w:sz w:val="24"/>
          <w:szCs w:val="24"/>
          <w:lang w:val="ro-RO"/>
        </w:rPr>
        <w:t>Այլ իրավական ակտերում փոփոխությունների և/կամ լրացումների անհրաժեշտությունը</w:t>
      </w:r>
      <w:r w:rsidRPr="006C020E">
        <w:rPr>
          <w:rFonts w:ascii="GHEA Grapalat" w:hAnsi="GHEA Grapalat" w:cs="Sylfaen"/>
          <w:sz w:val="24"/>
          <w:szCs w:val="24"/>
          <w:lang w:val="hy-AM"/>
        </w:rPr>
        <w:t xml:space="preserve"> չի առաջանում: </w:t>
      </w:r>
    </w:p>
    <w:p w:rsidR="00EB6094" w:rsidRPr="00582678" w:rsidRDefault="00EB6094" w:rsidP="00EB6094">
      <w:pPr>
        <w:spacing w:after="0" w:line="360" w:lineRule="auto"/>
        <w:ind w:right="-330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645ED" w:rsidRPr="00582678" w:rsidRDefault="008645ED" w:rsidP="00EB6094">
      <w:pPr>
        <w:spacing w:after="0" w:line="360" w:lineRule="auto"/>
        <w:ind w:right="-330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lastRenderedPageBreak/>
        <w:t>7. Պետական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մարմնի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բյուջեում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և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էական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ավելացման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նվազեցման վերաբերյալ</w:t>
      </w:r>
    </w:p>
    <w:p w:rsidR="00183705" w:rsidRDefault="00066DFF" w:rsidP="00183705">
      <w:pPr>
        <w:pStyle w:val="NoSpacing"/>
        <w:spacing w:line="360" w:lineRule="auto"/>
        <w:ind w:firstLine="284"/>
        <w:jc w:val="both"/>
        <w:rPr>
          <w:rFonts w:ascii="GHEA Grapalat" w:hAnsi="GHEA Grapalat"/>
          <w:noProof/>
          <w:sz w:val="24"/>
          <w:lang w:val="hy-AM"/>
        </w:rPr>
      </w:pPr>
      <w:r w:rsidRPr="00066DFF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183705">
        <w:rPr>
          <w:rFonts w:ascii="GHEA Grapalat" w:hAnsi="GHEA Grapalat" w:cs="Sylfaen"/>
          <w:color w:val="000000" w:themeColor="text1"/>
          <w:sz w:val="24"/>
          <w:lang w:val="hy-AM"/>
        </w:rPr>
        <w:t xml:space="preserve">Նախագծի </w:t>
      </w:r>
      <w:r w:rsidR="00183705">
        <w:rPr>
          <w:rFonts w:ascii="GHEA Grapalat" w:hAnsi="GHEA Grapalat"/>
          <w:noProof/>
          <w:sz w:val="24"/>
          <w:lang w:val="hy-AM"/>
        </w:rPr>
        <w:t>ընդունման կապակցությամբ Հայաստանի Հանրապետության պետական բյուջեի եկամտային և ծախսային մասերում փոփոխություններ չեն սպասվում:</w:t>
      </w:r>
    </w:p>
    <w:p w:rsidR="009D3A7A" w:rsidRPr="00582678" w:rsidRDefault="009D3A7A" w:rsidP="00AC396F">
      <w:pPr>
        <w:spacing w:after="0" w:line="360" w:lineRule="auto"/>
        <w:ind w:right="-472" w:firstLine="284"/>
        <w:rPr>
          <w:rFonts w:ascii="GHEA Grapalat" w:eastAsia="Times New Roman" w:hAnsi="GHEA Grapalat" w:cs="Sylfaen"/>
          <w:spacing w:val="-2"/>
          <w:sz w:val="24"/>
          <w:szCs w:val="24"/>
          <w:lang w:val="hy-AM"/>
        </w:rPr>
      </w:pPr>
    </w:p>
    <w:sectPr w:rsidR="009D3A7A" w:rsidRPr="00582678" w:rsidSect="00EB60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08"/>
    <w:multiLevelType w:val="hybridMultilevel"/>
    <w:tmpl w:val="D41A9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977E3"/>
    <w:multiLevelType w:val="hybridMultilevel"/>
    <w:tmpl w:val="1FA2EC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A0360A"/>
    <w:multiLevelType w:val="hybridMultilevel"/>
    <w:tmpl w:val="DC36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60A"/>
    <w:multiLevelType w:val="hybridMultilevel"/>
    <w:tmpl w:val="F7C84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7AC"/>
    <w:multiLevelType w:val="hybridMultilevel"/>
    <w:tmpl w:val="A22C18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86F52"/>
    <w:multiLevelType w:val="hybridMultilevel"/>
    <w:tmpl w:val="D046B880"/>
    <w:lvl w:ilvl="0" w:tplc="67EAF056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6BB2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11986"/>
    <w:multiLevelType w:val="hybridMultilevel"/>
    <w:tmpl w:val="909AE25C"/>
    <w:lvl w:ilvl="0" w:tplc="C61C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D07BD2"/>
    <w:multiLevelType w:val="hybridMultilevel"/>
    <w:tmpl w:val="0CC41B92"/>
    <w:lvl w:ilvl="0" w:tplc="08090011">
      <w:start w:val="1"/>
      <w:numFmt w:val="decimal"/>
      <w:lvlText w:val="%1)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4B5378D0"/>
    <w:multiLevelType w:val="hybridMultilevel"/>
    <w:tmpl w:val="5114F35A"/>
    <w:lvl w:ilvl="0" w:tplc="A2A085BE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D462D2F"/>
    <w:multiLevelType w:val="hybridMultilevel"/>
    <w:tmpl w:val="4A4830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425F2"/>
    <w:multiLevelType w:val="hybridMultilevel"/>
    <w:tmpl w:val="E1E83EC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543A74"/>
    <w:multiLevelType w:val="hybridMultilevel"/>
    <w:tmpl w:val="236EA8F0"/>
    <w:lvl w:ilvl="0" w:tplc="D94A6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12BD2"/>
    <w:multiLevelType w:val="hybridMultilevel"/>
    <w:tmpl w:val="8C007C56"/>
    <w:lvl w:ilvl="0" w:tplc="5A70F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5B63"/>
    <w:multiLevelType w:val="hybridMultilevel"/>
    <w:tmpl w:val="B7E0BD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259FE"/>
    <w:multiLevelType w:val="hybridMultilevel"/>
    <w:tmpl w:val="273C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E6F07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0A11F8"/>
    <w:multiLevelType w:val="hybridMultilevel"/>
    <w:tmpl w:val="09928DF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A3F2262"/>
    <w:multiLevelType w:val="hybridMultilevel"/>
    <w:tmpl w:val="D2B89DCA"/>
    <w:lvl w:ilvl="0" w:tplc="77F688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C06439"/>
    <w:multiLevelType w:val="hybridMultilevel"/>
    <w:tmpl w:val="60E49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2134"/>
    <w:multiLevelType w:val="hybridMultilevel"/>
    <w:tmpl w:val="02828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4"/>
  </w:num>
  <w:num w:numId="18">
    <w:abstractNumId w:val="21"/>
  </w:num>
  <w:num w:numId="19">
    <w:abstractNumId w:val="6"/>
  </w:num>
  <w:num w:numId="20">
    <w:abstractNumId w:val="20"/>
  </w:num>
  <w:num w:numId="21">
    <w:abstractNumId w:val="8"/>
  </w:num>
  <w:num w:numId="22">
    <w:abstractNumId w:val="10"/>
  </w:num>
  <w:num w:numId="23">
    <w:abstractNumId w:val="9"/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60"/>
    <w:rsid w:val="00000A16"/>
    <w:rsid w:val="000054C8"/>
    <w:rsid w:val="00066DFF"/>
    <w:rsid w:val="00067362"/>
    <w:rsid w:val="000C4C69"/>
    <w:rsid w:val="000C724A"/>
    <w:rsid w:val="000F2DCC"/>
    <w:rsid w:val="000F658D"/>
    <w:rsid w:val="000F7713"/>
    <w:rsid w:val="00112EC6"/>
    <w:rsid w:val="001171F6"/>
    <w:rsid w:val="00120752"/>
    <w:rsid w:val="001221A5"/>
    <w:rsid w:val="00134914"/>
    <w:rsid w:val="001505C7"/>
    <w:rsid w:val="00183705"/>
    <w:rsid w:val="001A4D44"/>
    <w:rsid w:val="001C6ACE"/>
    <w:rsid w:val="001D3AAC"/>
    <w:rsid w:val="001F54CB"/>
    <w:rsid w:val="00210291"/>
    <w:rsid w:val="0024060E"/>
    <w:rsid w:val="002420B1"/>
    <w:rsid w:val="00243D83"/>
    <w:rsid w:val="00245F3A"/>
    <w:rsid w:val="0025046F"/>
    <w:rsid w:val="002646F9"/>
    <w:rsid w:val="0026545F"/>
    <w:rsid w:val="002738A4"/>
    <w:rsid w:val="00292AE0"/>
    <w:rsid w:val="002B2F87"/>
    <w:rsid w:val="002D7AF3"/>
    <w:rsid w:val="002F3BC8"/>
    <w:rsid w:val="00304C1E"/>
    <w:rsid w:val="003241A9"/>
    <w:rsid w:val="00326ED7"/>
    <w:rsid w:val="00347268"/>
    <w:rsid w:val="003638BE"/>
    <w:rsid w:val="00371463"/>
    <w:rsid w:val="00376867"/>
    <w:rsid w:val="00383681"/>
    <w:rsid w:val="00394E7F"/>
    <w:rsid w:val="003E17DA"/>
    <w:rsid w:val="003E317B"/>
    <w:rsid w:val="003F4DA3"/>
    <w:rsid w:val="00446181"/>
    <w:rsid w:val="00464C3A"/>
    <w:rsid w:val="004740C7"/>
    <w:rsid w:val="00475230"/>
    <w:rsid w:val="004B38A2"/>
    <w:rsid w:val="004E461A"/>
    <w:rsid w:val="005140A1"/>
    <w:rsid w:val="00541752"/>
    <w:rsid w:val="00582678"/>
    <w:rsid w:val="005A5AF8"/>
    <w:rsid w:val="005B0936"/>
    <w:rsid w:val="005B0C57"/>
    <w:rsid w:val="005E3687"/>
    <w:rsid w:val="00611E46"/>
    <w:rsid w:val="006135D5"/>
    <w:rsid w:val="00622F60"/>
    <w:rsid w:val="006260CB"/>
    <w:rsid w:val="0066052F"/>
    <w:rsid w:val="00662F32"/>
    <w:rsid w:val="006652BC"/>
    <w:rsid w:val="006A4043"/>
    <w:rsid w:val="006B1DB6"/>
    <w:rsid w:val="006C020E"/>
    <w:rsid w:val="006C789F"/>
    <w:rsid w:val="006F6AB0"/>
    <w:rsid w:val="00721884"/>
    <w:rsid w:val="007A2645"/>
    <w:rsid w:val="007A427F"/>
    <w:rsid w:val="007B571D"/>
    <w:rsid w:val="007B61C6"/>
    <w:rsid w:val="007C6B99"/>
    <w:rsid w:val="007D5607"/>
    <w:rsid w:val="007E5F7B"/>
    <w:rsid w:val="0080382D"/>
    <w:rsid w:val="0080664F"/>
    <w:rsid w:val="008423B4"/>
    <w:rsid w:val="00843E92"/>
    <w:rsid w:val="008640CA"/>
    <w:rsid w:val="008645ED"/>
    <w:rsid w:val="008820D1"/>
    <w:rsid w:val="00887B60"/>
    <w:rsid w:val="008C2FE3"/>
    <w:rsid w:val="008D1792"/>
    <w:rsid w:val="008F4F36"/>
    <w:rsid w:val="009207C6"/>
    <w:rsid w:val="0094403B"/>
    <w:rsid w:val="009443C8"/>
    <w:rsid w:val="00973130"/>
    <w:rsid w:val="00974556"/>
    <w:rsid w:val="009838E4"/>
    <w:rsid w:val="009875EE"/>
    <w:rsid w:val="009B159F"/>
    <w:rsid w:val="009D19ED"/>
    <w:rsid w:val="009D3A7A"/>
    <w:rsid w:val="00A13CCC"/>
    <w:rsid w:val="00A4695B"/>
    <w:rsid w:val="00A5098B"/>
    <w:rsid w:val="00A72112"/>
    <w:rsid w:val="00A742F7"/>
    <w:rsid w:val="00A760E2"/>
    <w:rsid w:val="00A94484"/>
    <w:rsid w:val="00AA6910"/>
    <w:rsid w:val="00AB145C"/>
    <w:rsid w:val="00AC396F"/>
    <w:rsid w:val="00AD5A86"/>
    <w:rsid w:val="00AE3D62"/>
    <w:rsid w:val="00B04234"/>
    <w:rsid w:val="00B21BB7"/>
    <w:rsid w:val="00B36403"/>
    <w:rsid w:val="00B573E1"/>
    <w:rsid w:val="00BA5E86"/>
    <w:rsid w:val="00BA6EC3"/>
    <w:rsid w:val="00BC1B99"/>
    <w:rsid w:val="00BC4937"/>
    <w:rsid w:val="00BE3C6B"/>
    <w:rsid w:val="00BE4C1D"/>
    <w:rsid w:val="00BE5E4E"/>
    <w:rsid w:val="00BF4987"/>
    <w:rsid w:val="00C072FA"/>
    <w:rsid w:val="00C228A4"/>
    <w:rsid w:val="00C30690"/>
    <w:rsid w:val="00C44C1E"/>
    <w:rsid w:val="00C768CA"/>
    <w:rsid w:val="00C853DE"/>
    <w:rsid w:val="00C85BAA"/>
    <w:rsid w:val="00CE1E0F"/>
    <w:rsid w:val="00CE624E"/>
    <w:rsid w:val="00CF5400"/>
    <w:rsid w:val="00D03251"/>
    <w:rsid w:val="00D04A17"/>
    <w:rsid w:val="00D1398A"/>
    <w:rsid w:val="00D168CD"/>
    <w:rsid w:val="00D37F77"/>
    <w:rsid w:val="00D55956"/>
    <w:rsid w:val="00D61A02"/>
    <w:rsid w:val="00D70915"/>
    <w:rsid w:val="00DA412B"/>
    <w:rsid w:val="00DB0484"/>
    <w:rsid w:val="00DB38BB"/>
    <w:rsid w:val="00DC0ADC"/>
    <w:rsid w:val="00DD648A"/>
    <w:rsid w:val="00DE0B02"/>
    <w:rsid w:val="00E40216"/>
    <w:rsid w:val="00E45A8D"/>
    <w:rsid w:val="00E474BF"/>
    <w:rsid w:val="00E80FCB"/>
    <w:rsid w:val="00E967C9"/>
    <w:rsid w:val="00EA4C33"/>
    <w:rsid w:val="00EB0204"/>
    <w:rsid w:val="00EB3607"/>
    <w:rsid w:val="00EB6094"/>
    <w:rsid w:val="00EE4CAF"/>
    <w:rsid w:val="00EF416D"/>
    <w:rsid w:val="00F0758F"/>
    <w:rsid w:val="00F10327"/>
    <w:rsid w:val="00F20934"/>
    <w:rsid w:val="00F31B63"/>
    <w:rsid w:val="00F4743D"/>
    <w:rsid w:val="00F561FB"/>
    <w:rsid w:val="00F63576"/>
    <w:rsid w:val="00F776CD"/>
    <w:rsid w:val="00F8074D"/>
    <w:rsid w:val="00F84960"/>
    <w:rsid w:val="00F85AD4"/>
    <w:rsid w:val="00F966FA"/>
    <w:rsid w:val="00FA6EB0"/>
    <w:rsid w:val="00FB7C4A"/>
    <w:rsid w:val="00FC72F8"/>
    <w:rsid w:val="00FD1DFE"/>
    <w:rsid w:val="00FD6A0B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10F3"/>
  <w15:chartTrackingRefBased/>
  <w15:docId w15:val="{3F7D6742-BE22-4330-A558-65050D7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BC8"/>
    <w:rPr>
      <w:b/>
      <w:bCs/>
    </w:rPr>
  </w:style>
  <w:style w:type="paragraph" w:styleId="NormalWeb">
    <w:name w:val="Normal (Web)"/>
    <w:basedOn w:val="Normal"/>
    <w:uiPriority w:val="99"/>
    <w:unhideWhenUsed/>
    <w:rsid w:val="002F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2F3BC8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Normal"/>
    <w:link w:val="normChar"/>
    <w:rsid w:val="002F3BC8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2F3B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4C69"/>
    <w:rPr>
      <w:i/>
      <w:iCs/>
    </w:rPr>
  </w:style>
  <w:style w:type="paragraph" w:customStyle="1" w:styleId="mechtex">
    <w:name w:val="mechtex"/>
    <w:basedOn w:val="Normal"/>
    <w:link w:val="mechtexChar"/>
    <w:rsid w:val="003E17DA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3E17DA"/>
    <w:rPr>
      <w:rFonts w:ascii="Arial Armenian" w:eastAsia="Times New Roman" w:hAnsi="Arial Armenian" w:cs="Times New Roman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21A5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21A5"/>
    <w:rPr>
      <w:rFonts w:ascii="Arial Unicode" w:eastAsia="Times New Roman" w:hAnsi="Arial Unicode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221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221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221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1"/>
    <w:rPr>
      <w:rFonts w:ascii="Segoe UI" w:eastAsia="Calibri" w:hAnsi="Segoe UI" w:cs="Segoe UI"/>
      <w:sz w:val="18"/>
      <w:szCs w:val="18"/>
      <w:lang w:val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E461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Minasyan</dc:creator>
  <cp:keywords>https:/mul2.gov.am/tasks/316295/oneclick/NAXAGIC_HIMNAVORUM_82.docx?token=5574169e1ecd626b24e9ab41e3bbfe94</cp:keywords>
  <dc:description/>
  <cp:lastModifiedBy>Julieta Mikaelyan</cp:lastModifiedBy>
  <cp:revision>21</cp:revision>
  <cp:lastPrinted>2020-08-12T09:08:00Z</cp:lastPrinted>
  <dcterms:created xsi:type="dcterms:W3CDTF">2022-11-15T08:31:00Z</dcterms:created>
  <dcterms:modified xsi:type="dcterms:W3CDTF">2023-03-24T06:48:00Z</dcterms:modified>
</cp:coreProperties>
</file>