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76CBE" w14:textId="77777777" w:rsidR="004251E8" w:rsidRPr="00A813BF" w:rsidRDefault="004251E8" w:rsidP="004251E8">
      <w:pPr>
        <w:shd w:val="clear" w:color="auto" w:fill="FFFFFF"/>
        <w:spacing w:line="360" w:lineRule="auto"/>
        <w:ind w:left="-360" w:firstLine="360"/>
        <w:jc w:val="center"/>
        <w:textAlignment w:val="baseline"/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lang w:val="hy-AM"/>
        </w:rPr>
      </w:pPr>
      <w:r w:rsidRPr="00A813BF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lang w:val="hy-AM"/>
        </w:rPr>
        <w:t>ՀԻՄՆԱՎՈՐՈՒՄ</w:t>
      </w:r>
    </w:p>
    <w:p w14:paraId="21739C80" w14:textId="05FE0AF9" w:rsidR="004251E8" w:rsidRPr="00EE29B0" w:rsidRDefault="004251E8" w:rsidP="004251E8">
      <w:pPr>
        <w:shd w:val="clear" w:color="auto" w:fill="FFFFFF"/>
        <w:spacing w:after="0" w:line="360" w:lineRule="auto"/>
        <w:ind w:left="-360" w:firstLine="36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813BF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lang w:val="hy-AM"/>
        </w:rPr>
        <w:t xml:space="preserve"> «</w:t>
      </w:r>
      <w:r w:rsidRPr="00A813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ՊԱՏԺԻՑ ԱԶԱՏՎՈՂ ԴԱՏԱՊԱՐՏՅԱԼՆԵՐԻՆ ՏՐԱՄԱԴՐՎՈՂ ՍՈՑԻԱԼԱԿԱՆ ԱՋԱԿՑՈՒԹՅԱՆ ՁԵՎԸ, ԾԱՎԱԼՆ ՈՒ ՏՐԱՄԱԴՐԵԼՈՒ ԿԱՐԳԸ, ԻՆՉՊԵՍ ՆԱԵՎ ԴԱՏԱՊԱՐՏՅԱԼԻՆ ՏՐԱՄԱԴՐՎՈՂ ՄԻԱՆՎԱԳ ԴՐԱՄԱԿԱՆ ՕԳՆՈՒԹՅԱՆ </w:t>
      </w:r>
      <w:r w:rsidR="00EE29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ՉԱՓՆ</w:t>
      </w:r>
      <w:r w:rsidRPr="00A813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EE29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ՈՒ</w:t>
      </w:r>
      <w:bookmarkStart w:id="0" w:name="_GoBack"/>
      <w:bookmarkEnd w:id="0"/>
      <w:r w:rsidRPr="00A813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ՏՐԱՄԱԴՐՄԱՆ ԿԱՐԳԸ ՍԱՀՄԱՆԵԼՈՒ ՄԱՍԻՆ</w:t>
      </w:r>
      <w:r w:rsidR="00DE1CD9" w:rsidRPr="00EE29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</w:p>
    <w:p w14:paraId="6B47AE6B" w14:textId="77777777" w:rsidR="004251E8" w:rsidRDefault="004251E8" w:rsidP="004251E8">
      <w:pPr>
        <w:shd w:val="clear" w:color="auto" w:fill="FFFFFF"/>
        <w:spacing w:after="0" w:line="360" w:lineRule="auto"/>
        <w:ind w:left="-360" w:firstLine="360"/>
        <w:jc w:val="center"/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lang w:val="en-US"/>
        </w:rPr>
      </w:pPr>
      <w:r w:rsidRPr="00A813BF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lang w:val="hy-AM"/>
        </w:rPr>
        <w:t>ՀԱՅԱՍՏԱՆԻ ՀԱՆՐԱՊԵՏՈՒԹՅԱՆ ԿԱՌԱՎԱՐՈՒԹՅԱՆ ՈՐՈՇՄ</w:t>
      </w:r>
      <w:r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lang w:val="en-US"/>
        </w:rPr>
        <w:t>ԱՆ</w:t>
      </w:r>
      <w:r w:rsidRPr="00A813BF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lang w:val="hy-AM"/>
        </w:rPr>
        <w:t xml:space="preserve"> ՆԱԽԱԳ</w:t>
      </w:r>
      <w:r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lang w:val="en-US"/>
        </w:rPr>
        <w:t>Ծ</w:t>
      </w:r>
      <w:r w:rsidRPr="00A813BF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lang w:val="hy-AM"/>
        </w:rPr>
        <w:t xml:space="preserve">Ի </w:t>
      </w:r>
    </w:p>
    <w:p w14:paraId="37FB297F" w14:textId="77777777" w:rsidR="004251E8" w:rsidRPr="004251E8" w:rsidRDefault="004251E8" w:rsidP="004251E8">
      <w:pPr>
        <w:shd w:val="clear" w:color="auto" w:fill="FFFFFF"/>
        <w:spacing w:after="0" w:line="360" w:lineRule="auto"/>
        <w:ind w:left="-360" w:firstLine="36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14:paraId="3973B2E5" w14:textId="77777777" w:rsidR="004251E8" w:rsidRPr="00B64F20" w:rsidRDefault="004251E8" w:rsidP="004251E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-360" w:firstLine="360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hy-AM"/>
        </w:rPr>
      </w:pPr>
      <w:r w:rsidRPr="00B64F20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  <w:r w:rsidR="00B64F20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u w:val="single"/>
          <w:lang w:val="en-US"/>
        </w:rPr>
        <w:t>.</w:t>
      </w:r>
    </w:p>
    <w:p w14:paraId="26A2D927" w14:textId="77777777" w:rsidR="004251E8" w:rsidRPr="004251E8" w:rsidRDefault="004251E8" w:rsidP="004251E8">
      <w:pPr>
        <w:pStyle w:val="ListParagraph"/>
        <w:shd w:val="clear" w:color="auto" w:fill="FFFFFF"/>
        <w:spacing w:after="0" w:line="360" w:lineRule="auto"/>
        <w:ind w:left="-360" w:firstLine="360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251E8">
        <w:rPr>
          <w:rFonts w:ascii="GHEA Grapalat" w:hAnsi="GHEA Grapalat"/>
          <w:sz w:val="24"/>
          <w:szCs w:val="24"/>
          <w:lang w:val="hy-AM"/>
        </w:rPr>
        <w:t xml:space="preserve">2022 </w:t>
      </w:r>
      <w:r w:rsidRPr="004251E8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4251E8">
        <w:rPr>
          <w:rFonts w:ascii="GHEA Grapalat" w:hAnsi="GHEA Grapalat"/>
          <w:sz w:val="24"/>
          <w:szCs w:val="24"/>
          <w:lang w:val="hy-AM"/>
        </w:rPr>
        <w:t xml:space="preserve"> հուլիսի 1-</w:t>
      </w:r>
      <w:r w:rsidRPr="004251E8">
        <w:rPr>
          <w:rFonts w:ascii="GHEA Grapalat" w:hAnsi="GHEA Grapalat" w:cs="Arial"/>
          <w:sz w:val="24"/>
          <w:szCs w:val="24"/>
          <w:lang w:val="hy-AM"/>
        </w:rPr>
        <w:t>ի</w:t>
      </w:r>
      <w:r w:rsidR="002A409C" w:rsidRPr="00EE29B0">
        <w:rPr>
          <w:rFonts w:ascii="GHEA Grapalat" w:hAnsi="GHEA Grapalat" w:cs="Arial"/>
          <w:sz w:val="24"/>
          <w:szCs w:val="24"/>
          <w:lang w:val="hy-AM"/>
        </w:rPr>
        <w:t>ց</w:t>
      </w:r>
      <w:r w:rsidRPr="004251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51E8">
        <w:rPr>
          <w:rFonts w:ascii="GHEA Grapalat" w:hAnsi="GHEA Grapalat" w:cs="Arial"/>
          <w:sz w:val="24"/>
          <w:szCs w:val="24"/>
          <w:lang w:val="hy-AM"/>
        </w:rPr>
        <w:t>ուժի</w:t>
      </w:r>
      <w:r w:rsidRPr="004251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51E8">
        <w:rPr>
          <w:rFonts w:ascii="GHEA Grapalat" w:hAnsi="GHEA Grapalat" w:cs="Arial"/>
          <w:sz w:val="24"/>
          <w:szCs w:val="24"/>
          <w:lang w:val="hy-AM"/>
        </w:rPr>
        <w:t>մեջ</w:t>
      </w:r>
      <w:r w:rsidRPr="004251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51E8">
        <w:rPr>
          <w:rFonts w:ascii="GHEA Grapalat" w:hAnsi="GHEA Grapalat" w:cs="Arial"/>
          <w:sz w:val="24"/>
          <w:szCs w:val="24"/>
          <w:lang w:val="hy-AM"/>
        </w:rPr>
        <w:t>է</w:t>
      </w:r>
      <w:r w:rsidRPr="004251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51E8">
        <w:rPr>
          <w:rFonts w:ascii="GHEA Grapalat" w:hAnsi="GHEA Grapalat" w:cs="Arial"/>
          <w:sz w:val="24"/>
          <w:szCs w:val="24"/>
          <w:lang w:val="hy-AM"/>
        </w:rPr>
        <w:t>մտել</w:t>
      </w:r>
      <w:r w:rsidRPr="004251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51E8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</w:t>
      </w:r>
      <w:r w:rsidRPr="004251E8">
        <w:rPr>
          <w:rFonts w:ascii="GHEA Grapalat" w:hAnsi="GHEA Grapalat"/>
          <w:sz w:val="24"/>
          <w:szCs w:val="24"/>
          <w:lang w:val="hy-AM"/>
        </w:rPr>
        <w:t>քրեակատարողական</w:t>
      </w:r>
      <w:r w:rsidR="002A409C" w:rsidRPr="002A409C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09C" w:rsidRPr="004251E8">
        <w:rPr>
          <w:rFonts w:ascii="GHEA Grapalat" w:hAnsi="GHEA Grapalat"/>
          <w:sz w:val="24"/>
          <w:szCs w:val="24"/>
          <w:lang w:val="hy-AM"/>
        </w:rPr>
        <w:t>նոր</w:t>
      </w:r>
      <w:r w:rsidRPr="004251E8">
        <w:rPr>
          <w:rFonts w:ascii="GHEA Grapalat" w:hAnsi="GHEA Grapalat"/>
          <w:sz w:val="24"/>
          <w:szCs w:val="24"/>
          <w:lang w:val="hy-AM"/>
        </w:rPr>
        <w:t xml:space="preserve"> օրենսգիրքը </w:t>
      </w:r>
      <w:r w:rsidRPr="004251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(այսուհետ՝ Օրենսգիրք)</w:t>
      </w:r>
      <w:r w:rsidRPr="004251E8">
        <w:rPr>
          <w:rFonts w:ascii="GHEA Grapalat" w:hAnsi="GHEA Grapalat"/>
          <w:sz w:val="24"/>
          <w:szCs w:val="24"/>
          <w:lang w:val="hy-AM"/>
        </w:rPr>
        <w:t>, որը նախատեսել է բազմաթիվ նոր ինստիտուտներ և մոտեցումներ</w:t>
      </w:r>
      <w:r w:rsidR="002A409C" w:rsidRPr="00EE29B0">
        <w:rPr>
          <w:rFonts w:ascii="GHEA Grapalat" w:hAnsi="GHEA Grapalat"/>
          <w:sz w:val="24"/>
          <w:szCs w:val="24"/>
          <w:lang w:val="hy-AM"/>
        </w:rPr>
        <w:t>՝</w:t>
      </w:r>
      <w:r w:rsidR="002A409C" w:rsidRPr="004251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51E8">
        <w:rPr>
          <w:rFonts w:ascii="GHEA Grapalat" w:hAnsi="GHEA Grapalat"/>
          <w:sz w:val="24"/>
          <w:szCs w:val="24"/>
          <w:lang w:val="hy-AM"/>
        </w:rPr>
        <w:t xml:space="preserve">այդպիսով` անհրաժեշտություն առաջացնելով </w:t>
      </w:r>
      <w:r w:rsidRPr="004251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ընդունել ոլորտի առաձին ուղղությունները </w:t>
      </w:r>
      <w:r w:rsidR="002A409C" w:rsidRPr="00EE29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կարգավորող՝</w:t>
      </w:r>
      <w:r w:rsidR="002A409C" w:rsidRPr="004251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251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r w:rsidR="002A409C" w:rsidRPr="00EE29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4251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առավարության (այսուհետ՝ Կառավարություն) նոր որոշումներ: </w:t>
      </w:r>
    </w:p>
    <w:p w14:paraId="50717E77" w14:textId="77777777" w:rsidR="004251E8" w:rsidRPr="00A813BF" w:rsidRDefault="002A409C" w:rsidP="004251E8">
      <w:pPr>
        <w:tabs>
          <w:tab w:val="left" w:pos="993"/>
        </w:tabs>
        <w:spacing w:after="0" w:line="360" w:lineRule="auto"/>
        <w:ind w:left="-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Այս համատեքստում հարկ է նշել, որ </w:t>
      </w:r>
      <w:r w:rsidR="004251E8" w:rsidRPr="00A813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</w:t>
      </w:r>
      <w:r w:rsidR="004251E8" w:rsidRPr="00A813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րենսգրքի 141-րդ հոդվածի 1-ին և 4-րդ մասերը նախատեսում են, որ </w:t>
      </w:r>
      <w:r w:rsidRPr="00EE29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4251E8" w:rsidRPr="00A813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իմնարկի վարչակազմն ապահովում է պատժից ազատվող դատապարտյալի անվճար տեղափոխումը մինչև նրա բնակության վայր կամ տրամադրում է դրա համար անհրաժեշտ գումար՝ Հայաստանի Հանրապետության տարածքում տեղափոխվելու համար, այդ ընթացքում ապահովելով անհրաժեշտ սննդամթերքով կամ դրա համար անհրաժեշտ գումարով, սեզոնային հագուստով։ Բացի այդ, հաշվի առնելով Օրենսգրքով սահմանված չափորոշիչները</w:t>
      </w:r>
      <w:r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A813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4251E8" w:rsidRPr="00A813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իմնարկի վարչակազմի պատճառաբանված որոշման հիման վրա կարող է տրամադրվել նաև միանվագ դրամական օգնություն, որի տրամադրման չափն ու կարգը սահմանում է Կառավարությունը</w:t>
      </w:r>
      <w:r w:rsidR="00826873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 Միևնույն ժամանակ, Օրենսգիրքը սահմանում է, որ պատժից ազատվող դատապարտյալներին տրամադրվող սոցիալական աջակցության ձևը, ծավալն ու տրամադրման կարգը սահմանում է Հայաստանի Հանրապետության կառավարությունը</w:t>
      </w:r>
      <w:r w:rsidR="004251E8" w:rsidRPr="00A813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հաշվի առնելով «Սոցիալական աջակցության մասին» օրենքով նախատեսված սոցիալական աջակցության ձևերն ու ընդհանուր սկզբունքները</w:t>
      </w:r>
      <w:r w:rsidR="004251E8" w:rsidRPr="00A813BF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2D0D7825" w14:textId="77777777" w:rsidR="004251E8" w:rsidRDefault="004251E8" w:rsidP="004251E8">
      <w:pPr>
        <w:shd w:val="clear" w:color="auto" w:fill="FFFFFF"/>
        <w:spacing w:after="0" w:line="360" w:lineRule="auto"/>
        <w:ind w:left="-36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813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Սույն որոշման Նախագծի ընդունման անհրաժեշտությունն </w:t>
      </w:r>
      <w:r w:rsidRPr="00A813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A813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յսպիսով դրսևորվում է </w:t>
      </w:r>
      <w:r w:rsidR="002A409C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</w:t>
      </w:r>
      <w:r w:rsidRPr="00A813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ատապարտյալներին վերաբերող՝ Օրենսգրքով երաշխավորված սոցիալական որոշ իրավունքների ապահովման հնարավորության երաշխավորմամբ, մասնավորապես, </w:t>
      </w:r>
      <w:r w:rsidR="002A409C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անհրաժեշտ</w:t>
      </w:r>
      <w:r w:rsidR="002A409C" w:rsidRPr="00A813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813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է կանոնակարգել և որոշակիացնել պատժից ազատվող Դատապարտյալներին՝ սոցիալական ուղղվածության օգնության տրամադրման և այն դադարեցնելու կարգը, ինչպես նաև օգնության տեսակներին, չափերին ու ժամկետներին վերաբերող հարցերը, որոնք </w:t>
      </w:r>
      <w:r w:rsidR="002A409C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Pr="00A813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ունենան նաև հակակրիմինոգեն նշանակություն՝ հասարակությունում արդյունվետ վերանինտեգրացիայի ապահովման տեսակետից:</w:t>
      </w:r>
    </w:p>
    <w:p w14:paraId="78C6DFE8" w14:textId="77777777" w:rsidR="00B64F20" w:rsidRPr="00A813BF" w:rsidRDefault="00B64F20" w:rsidP="004251E8">
      <w:pPr>
        <w:shd w:val="clear" w:color="auto" w:fill="FFFFFF"/>
        <w:spacing w:after="0" w:line="360" w:lineRule="auto"/>
        <w:ind w:left="-36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088B787" w14:textId="77777777" w:rsidR="004251E8" w:rsidRPr="00B64F20" w:rsidRDefault="004251E8" w:rsidP="00B64F2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-360" w:firstLine="450"/>
        <w:jc w:val="both"/>
        <w:textAlignment w:val="baseline"/>
        <w:rPr>
          <w:rFonts w:ascii="GHEA Grapalat" w:eastAsia="Times New Roman" w:hAnsi="GHEA Grapalat" w:cs="Arian AMU"/>
          <w:b/>
          <w:color w:val="000000" w:themeColor="text1"/>
          <w:sz w:val="24"/>
          <w:szCs w:val="24"/>
          <w:u w:val="single"/>
          <w:lang w:val="hy-AM"/>
        </w:rPr>
      </w:pPr>
      <w:r w:rsidRPr="00B64F20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u w:val="single"/>
          <w:lang w:val="hy-AM"/>
        </w:rPr>
        <w:t>Առաջարկվող կարգավորման բնույթը.</w:t>
      </w:r>
    </w:p>
    <w:p w14:paraId="17F56D6B" w14:textId="77777777" w:rsidR="004251E8" w:rsidRPr="00EE29B0" w:rsidRDefault="004251E8" w:rsidP="004251E8">
      <w:pPr>
        <w:shd w:val="clear" w:color="auto" w:fill="FFFFFF"/>
        <w:spacing w:after="0" w:line="360" w:lineRule="auto"/>
        <w:ind w:left="-360" w:firstLine="360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813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Նախագծ</w:t>
      </w:r>
      <w:r w:rsidR="002A409C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 w:rsidRPr="00A813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առաջարկվ</w:t>
      </w:r>
      <w:r w:rsidR="002A409C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 է սահմանել պատժից ազատվող դատապարտյալներին տրամադրվող սոցիալական աջակցության ձևը և ծավալը, մասնավորապես՝ տրամադրվող ծառայությունների տեսակները, կարգավորել սոցիալական աջակցության տրամադրման գործընթացի ընթացակարգային</w:t>
      </w:r>
      <w:r w:rsidR="007111D5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="002A409C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111D5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այլ </w:t>
      </w:r>
      <w:r w:rsidR="002A409C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հարցեր</w:t>
      </w:r>
      <w:r w:rsidR="007111D5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դատապարտյալին տրամադրվող միանվագ դրամական օգնության չափը սահմանել 100 հազար ՀՀ դրամ՝ ևս 50 հազար ՀՀ դրամով ավելացվելու հնարավորությամբ:</w:t>
      </w:r>
      <w:r w:rsidR="004B2CAE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Գումարի չափը որոշվել է իրավահամեմատական եղանակով՝ համադրելով ՀՀ կառավարության և Երևան քաղաքի ավագանու որոշումներով սոցիա</w:t>
      </w:r>
      <w:r w:rsidR="0054783D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լա</w:t>
      </w:r>
      <w:r w:rsidR="004B2CAE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կան աջակցության </w:t>
      </w:r>
      <w:r w:rsidR="009045B0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տարբեր տեսակների դեպքում տրամադրվող դրամական միջոցները: Մասնավորապես</w:t>
      </w:r>
      <w:r w:rsidR="0054783D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9045B0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հաշվի է առնվել դրամական օգնության չափը, որը տրամադրվում է ՀՀ կառավարության</w:t>
      </w:r>
      <w:r w:rsidR="00714FFB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2022թ.-ի սեպտեմբերի 22-ի </w:t>
      </w:r>
      <w:r w:rsidR="00822E6D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1460-Լ որոշմ</w:t>
      </w:r>
      <w:r w:rsidR="0054783D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ամբ</w:t>
      </w:r>
      <w:r w:rsidR="00714FFB" w:rsidRPr="004F0CF4">
        <w:rPr>
          <w:rStyle w:val="FootnoteReference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footnoteReference w:id="1"/>
      </w:r>
      <w:r w:rsidR="00822E6D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2021թ.-ի մարտի 4-ի N 310-Լ որոշմ</w:t>
      </w:r>
      <w:r w:rsidR="0054783D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ամբ</w:t>
      </w:r>
      <w:r w:rsidR="00822E6D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822E6D" w:rsidRPr="00822E6D">
        <w:rPr>
          <w:rStyle w:val="FootnoteReference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footnoteReference w:id="2"/>
      </w:r>
      <w:r w:rsidR="009045B0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Երևան քաղաքի ավագանու 202</w:t>
      </w:r>
      <w:r w:rsidR="00CF60BC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</w:t>
      </w:r>
      <w:r w:rsidR="00714FFB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թ.-ի</w:t>
      </w:r>
      <w:r w:rsidR="00CF60BC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հունիսի 20-ի </w:t>
      </w:r>
      <w:r w:rsidR="00822E6D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254-Ն որոշմ</w:t>
      </w:r>
      <w:r w:rsidR="0054783D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ամբ</w:t>
      </w:r>
      <w:r w:rsidR="00822E6D" w:rsidRPr="00822E6D">
        <w:rPr>
          <w:rStyle w:val="FootnoteReference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footnoteReference w:id="3"/>
      </w:r>
      <w:r w:rsidR="00822E6D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այլն:  </w:t>
      </w:r>
      <w:r w:rsidR="004F0CF4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Սահմանված 100</w:t>
      </w:r>
      <w:r w:rsidR="0054783D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.000</w:t>
      </w:r>
      <w:r w:rsidR="004F0CF4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դրամին ևս 50</w:t>
      </w:r>
      <w:r w:rsidR="0054783D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.000</w:t>
      </w:r>
      <w:r w:rsidR="004F0CF4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դրամ ավելացնելը պայմանավորված է լինելու միայն նախագծով նշված ցուցիչներով և լրացուցիչ հիմնավորվելու է յուրաքանչյուր դատապարտյալի դեպքում</w:t>
      </w:r>
      <w:r w:rsidR="00947061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անհատապես</w:t>
      </w:r>
      <w:r w:rsidR="004F0CF4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3D735E44" w14:textId="77777777" w:rsidR="00DA16A5" w:rsidRPr="00A813BF" w:rsidRDefault="00DA16A5" w:rsidP="004251E8">
      <w:pPr>
        <w:shd w:val="clear" w:color="auto" w:fill="FFFFFF"/>
        <w:spacing w:after="0" w:line="360" w:lineRule="auto"/>
        <w:ind w:left="-360" w:firstLine="360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0DF4251E" w14:textId="77777777" w:rsidR="004251E8" w:rsidRPr="00B64F20" w:rsidRDefault="004251E8" w:rsidP="004251E8">
      <w:pPr>
        <w:shd w:val="clear" w:color="auto" w:fill="FFFFFF"/>
        <w:spacing w:after="0" w:line="360" w:lineRule="auto"/>
        <w:ind w:left="-360" w:firstLine="360"/>
        <w:jc w:val="both"/>
        <w:textAlignment w:val="baseline"/>
        <w:rPr>
          <w:rFonts w:ascii="GHEA Grapalat" w:eastAsia="Times New Roman" w:hAnsi="GHEA Grapalat" w:cs="Arian AMU"/>
          <w:b/>
          <w:color w:val="000000" w:themeColor="text1"/>
          <w:sz w:val="24"/>
          <w:szCs w:val="24"/>
          <w:u w:val="single"/>
          <w:lang w:val="hy-AM"/>
        </w:rPr>
      </w:pPr>
      <w:r w:rsidRPr="00B64F20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u w:val="single"/>
          <w:lang w:val="hy-AM"/>
        </w:rPr>
        <w:lastRenderedPageBreak/>
        <w:t>3. Կապը ռազմավարական փաստաթղթերի հետ.</w:t>
      </w:r>
    </w:p>
    <w:p w14:paraId="6A40B9ED" w14:textId="77777777" w:rsidR="004251E8" w:rsidRPr="00EE29B0" w:rsidRDefault="004251E8" w:rsidP="004251E8">
      <w:pPr>
        <w:shd w:val="clear" w:color="auto" w:fill="FFFFFF"/>
        <w:spacing w:after="0" w:line="360" w:lineRule="auto"/>
        <w:ind w:left="-360" w:firstLine="360"/>
        <w:jc w:val="both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</w:pPr>
      <w:r w:rsidRPr="00A813BF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 </w:t>
      </w:r>
      <w:r w:rsidR="007111D5" w:rsidRPr="00EE29B0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Ազատությունից զրկված անձանց վերասոցիալականացման ապահովման անհրաժեշտությունն ամրագրված է ինչպես </w:t>
      </w:r>
      <w:r w:rsidR="007111D5" w:rsidRPr="0003173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Հայաստանի Հանրապետության կառավարության 2021-2026 թվականների </w:t>
      </w:r>
      <w:r w:rsidR="007111D5" w:rsidRPr="00EE29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ծրագրում, այնպես էլ </w:t>
      </w:r>
      <w:r w:rsidR="007111D5" w:rsidRPr="00031736">
        <w:rPr>
          <w:rFonts w:ascii="GHEA Grapalat" w:eastAsia="GHEA Grapalat" w:hAnsi="GHEA Grapalat" w:cs="GHEA Grapalat"/>
          <w:sz w:val="24"/>
          <w:szCs w:val="24"/>
          <w:lang w:val="hy-AM"/>
        </w:rPr>
        <w:t>Հայաստանի Հանրապետության կառավարության</w:t>
      </w:r>
      <w:r w:rsidR="007111D5" w:rsidRPr="00EE29B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2019 թվականի նոյեմբերի 28-ի «Հայաստանի Հանրապետության քրեակատարողական և պրոբացիայի ոլորտի 2019-2023 թվականների ռազմավարությունը, դրա իրականացման 2019-2023 թվականների միջոցառումների ծրագիրը, ծրագրի ֆինանսական գնահատականը և ծրագրի կատարումը համակարգող խորհրդի ձեվավորման և գործունեության կազմակերպման կարգը հաստատելու մասին» N 1717-Լ որոշմամբ</w:t>
      </w:r>
      <w:r w:rsidR="004F408D" w:rsidRPr="00EE29B0">
        <w:rPr>
          <w:rFonts w:ascii="GHEA Grapalat" w:eastAsia="GHEA Grapalat" w:hAnsi="GHEA Grapalat" w:cs="GHEA Grapalat"/>
          <w:sz w:val="24"/>
          <w:szCs w:val="24"/>
          <w:lang w:val="hy-AM"/>
        </w:rPr>
        <w:t>: Այս համատեքստում սույն նախագիծը ևս մեկ քայլ է՝ դատապարտյալների վերասոցիալականացումն ու հասարակությունում վերաինտեգրումն ապահովելու ուղղությամբ:</w:t>
      </w:r>
    </w:p>
    <w:p w14:paraId="5029A49E" w14:textId="77777777" w:rsidR="005E3EAD" w:rsidRPr="00B64F20" w:rsidRDefault="005E3EAD" w:rsidP="004251E8">
      <w:pPr>
        <w:shd w:val="clear" w:color="auto" w:fill="FFFFFF"/>
        <w:spacing w:after="0" w:line="360" w:lineRule="auto"/>
        <w:ind w:left="-360" w:firstLine="360"/>
        <w:jc w:val="both"/>
        <w:textAlignment w:val="baseline"/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lang w:val="hy-AM"/>
        </w:rPr>
      </w:pPr>
    </w:p>
    <w:p w14:paraId="689D3456" w14:textId="77777777" w:rsidR="004251E8" w:rsidRPr="00B64F20" w:rsidRDefault="004251E8" w:rsidP="004251E8">
      <w:pPr>
        <w:shd w:val="clear" w:color="auto" w:fill="FFFFFF"/>
        <w:spacing w:after="0" w:line="360" w:lineRule="auto"/>
        <w:ind w:left="-360" w:firstLine="360"/>
        <w:jc w:val="both"/>
        <w:textAlignment w:val="baseline"/>
        <w:rPr>
          <w:rFonts w:ascii="GHEA Grapalat" w:eastAsia="Times New Roman" w:hAnsi="GHEA Grapalat" w:cs="Arian AMU"/>
          <w:b/>
          <w:color w:val="000000" w:themeColor="text1"/>
          <w:sz w:val="24"/>
          <w:szCs w:val="24"/>
          <w:u w:val="single"/>
          <w:lang w:val="hy-AM"/>
        </w:rPr>
      </w:pPr>
      <w:r w:rsidRPr="00B64F20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u w:val="single"/>
          <w:lang w:val="hy-AM"/>
        </w:rPr>
        <w:t xml:space="preserve">4. </w:t>
      </w:r>
      <w:r w:rsidRPr="00B64F20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  <w:lang w:val="hy-AM"/>
        </w:rPr>
        <w:t>Նախագծի ընդունման կապակցությամբ այլ իրավական ակտերի ընդունման</w:t>
      </w:r>
      <w:r w:rsidR="007111D5" w:rsidRPr="00EE29B0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  <w:lang w:val="hy-AM"/>
        </w:rPr>
        <w:t>, լրացուցիչ ֆինանսական միջոցների</w:t>
      </w:r>
      <w:r w:rsidRPr="00037C0C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  <w:lang w:val="hy-AM"/>
        </w:rPr>
        <w:t xml:space="preserve"> անհրաժեշտությունը </w:t>
      </w:r>
      <w:r w:rsidRPr="00037C0C">
        <w:rPr>
          <w:rFonts w:ascii="GHEA Grapalat" w:eastAsia="Times New Roman" w:hAnsi="GHEA Grapalat" w:cs="GHEA Grapalat"/>
          <w:b/>
          <w:bCs/>
          <w:sz w:val="24"/>
          <w:szCs w:val="24"/>
          <w:u w:val="single"/>
          <w:bdr w:val="none" w:sz="0" w:space="0" w:color="auto" w:frame="1"/>
          <w:lang w:val="hy-AM"/>
        </w:rPr>
        <w:t>և</w:t>
      </w:r>
      <w:r w:rsidRPr="00037C0C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  <w:lang w:val="hy-AM"/>
        </w:rPr>
        <w:t xml:space="preserve"> </w:t>
      </w:r>
      <w:r w:rsidRPr="00037C0C">
        <w:rPr>
          <w:rFonts w:ascii="GHEA Grapalat" w:eastAsia="Times New Roman" w:hAnsi="GHEA Grapalat" w:cs="GHEA Grapalat"/>
          <w:b/>
          <w:bCs/>
          <w:sz w:val="24"/>
          <w:szCs w:val="24"/>
          <w:u w:val="single"/>
          <w:bdr w:val="none" w:sz="0" w:space="0" w:color="auto" w:frame="1"/>
          <w:lang w:val="hy-AM"/>
        </w:rPr>
        <w:t>պետական</w:t>
      </w:r>
      <w:r w:rsidRPr="00037C0C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  <w:lang w:val="hy-AM"/>
        </w:rPr>
        <w:t xml:space="preserve"> </w:t>
      </w:r>
      <w:r w:rsidRPr="00037C0C">
        <w:rPr>
          <w:rFonts w:ascii="GHEA Grapalat" w:eastAsia="Times New Roman" w:hAnsi="GHEA Grapalat" w:cs="GHEA Grapalat"/>
          <w:b/>
          <w:bCs/>
          <w:sz w:val="24"/>
          <w:szCs w:val="24"/>
          <w:u w:val="single"/>
          <w:bdr w:val="none" w:sz="0" w:space="0" w:color="auto" w:frame="1"/>
          <w:lang w:val="hy-AM"/>
        </w:rPr>
        <w:t>բյուջեի</w:t>
      </w:r>
      <w:r w:rsidRPr="00B64F20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  <w:lang w:val="hy-AM"/>
        </w:rPr>
        <w:t xml:space="preserve"> </w:t>
      </w:r>
      <w:r w:rsidRPr="00B64F20">
        <w:rPr>
          <w:rFonts w:ascii="GHEA Grapalat" w:eastAsia="Times New Roman" w:hAnsi="GHEA Grapalat" w:cs="GHEA Grapalat"/>
          <w:b/>
          <w:bCs/>
          <w:sz w:val="24"/>
          <w:szCs w:val="24"/>
          <w:u w:val="single"/>
          <w:bdr w:val="none" w:sz="0" w:space="0" w:color="auto" w:frame="1"/>
          <w:lang w:val="hy-AM"/>
        </w:rPr>
        <w:t>եկամուտներում</w:t>
      </w:r>
      <w:r w:rsidRPr="00B64F20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  <w:lang w:val="hy-AM"/>
        </w:rPr>
        <w:t xml:space="preserve"> </w:t>
      </w:r>
      <w:r w:rsidRPr="00B64F20">
        <w:rPr>
          <w:rFonts w:ascii="GHEA Grapalat" w:eastAsia="Times New Roman" w:hAnsi="GHEA Grapalat" w:cs="GHEA Grapalat"/>
          <w:b/>
          <w:bCs/>
          <w:sz w:val="24"/>
          <w:szCs w:val="24"/>
          <w:u w:val="single"/>
          <w:bdr w:val="none" w:sz="0" w:space="0" w:color="auto" w:frame="1"/>
          <w:lang w:val="hy-AM"/>
        </w:rPr>
        <w:t>և</w:t>
      </w:r>
      <w:r w:rsidRPr="00B64F20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  <w:lang w:val="hy-AM"/>
        </w:rPr>
        <w:t xml:space="preserve"> </w:t>
      </w:r>
      <w:r w:rsidRPr="00B64F20">
        <w:rPr>
          <w:rFonts w:ascii="GHEA Grapalat" w:eastAsia="Times New Roman" w:hAnsi="GHEA Grapalat" w:cs="GHEA Grapalat"/>
          <w:b/>
          <w:bCs/>
          <w:sz w:val="24"/>
          <w:szCs w:val="24"/>
          <w:u w:val="single"/>
          <w:bdr w:val="none" w:sz="0" w:space="0" w:color="auto" w:frame="1"/>
          <w:lang w:val="hy-AM"/>
        </w:rPr>
        <w:t>ծախսերում</w:t>
      </w:r>
      <w:r w:rsidRPr="00B64F20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  <w:lang w:val="hy-AM"/>
        </w:rPr>
        <w:t xml:space="preserve"> </w:t>
      </w:r>
      <w:r w:rsidRPr="00B64F20">
        <w:rPr>
          <w:rFonts w:ascii="GHEA Grapalat" w:eastAsia="Times New Roman" w:hAnsi="GHEA Grapalat" w:cs="GHEA Grapalat"/>
          <w:b/>
          <w:bCs/>
          <w:sz w:val="24"/>
          <w:szCs w:val="24"/>
          <w:u w:val="single"/>
          <w:bdr w:val="none" w:sz="0" w:space="0" w:color="auto" w:frame="1"/>
          <w:lang w:val="hy-AM"/>
        </w:rPr>
        <w:t>սպասվելիք</w:t>
      </w:r>
      <w:r w:rsidRPr="00B64F20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  <w:lang w:val="hy-AM"/>
        </w:rPr>
        <w:t xml:space="preserve"> </w:t>
      </w:r>
      <w:r w:rsidRPr="00B64F20">
        <w:rPr>
          <w:rFonts w:ascii="GHEA Grapalat" w:eastAsia="Times New Roman" w:hAnsi="GHEA Grapalat" w:cs="GHEA Grapalat"/>
          <w:b/>
          <w:bCs/>
          <w:sz w:val="24"/>
          <w:szCs w:val="24"/>
          <w:u w:val="single"/>
          <w:bdr w:val="none" w:sz="0" w:space="0" w:color="auto" w:frame="1"/>
          <w:lang w:val="hy-AM"/>
        </w:rPr>
        <w:t>փոփոխությունները</w:t>
      </w:r>
      <w:r w:rsidRPr="00B64F20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  <w:lang w:val="hy-AM"/>
        </w:rPr>
        <w:t>.</w:t>
      </w:r>
    </w:p>
    <w:p w14:paraId="71EDB981" w14:textId="77777777" w:rsidR="004251E8" w:rsidRPr="00A813BF" w:rsidRDefault="004251E8" w:rsidP="004251E8">
      <w:pPr>
        <w:shd w:val="clear" w:color="auto" w:fill="FFFFFF"/>
        <w:spacing w:after="0" w:line="360" w:lineRule="auto"/>
        <w:ind w:left="-360" w:firstLine="36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13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Նախագծ</w:t>
      </w:r>
      <w:r w:rsidR="007111D5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 w:rsidRPr="00A813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առաջարկվող կարգավորումների </w:t>
      </w:r>
      <w:r w:rsidRPr="00A813BF">
        <w:rPr>
          <w:rFonts w:ascii="GHEA Grapalat" w:eastAsia="Times New Roman" w:hAnsi="GHEA Grapalat" w:cs="Times New Roman"/>
          <w:sz w:val="24"/>
          <w:szCs w:val="24"/>
          <w:lang w:val="hy-AM"/>
        </w:rPr>
        <w:t>ընդուն</w:t>
      </w:r>
      <w:r w:rsidR="007111D5" w:rsidRPr="00EE29B0">
        <w:rPr>
          <w:rFonts w:ascii="GHEA Grapalat" w:eastAsia="Times New Roman" w:hAnsi="GHEA Grapalat" w:cs="Times New Roman"/>
          <w:sz w:val="24"/>
          <w:szCs w:val="24"/>
          <w:lang w:val="hy-AM"/>
        </w:rPr>
        <w:t>ման</w:t>
      </w:r>
      <w:r w:rsidR="007111D5" w:rsidRPr="00A813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111D5" w:rsidRPr="00EE29B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դեպքում </w:t>
      </w:r>
      <w:r w:rsidR="00B64F20" w:rsidRPr="00B64F20">
        <w:rPr>
          <w:rFonts w:ascii="GHEA Grapalat" w:eastAsia="Times New Roman" w:hAnsi="GHEA Grapalat" w:cs="Times New Roman"/>
          <w:sz w:val="24"/>
          <w:szCs w:val="24"/>
          <w:lang w:val="hy-AM"/>
        </w:rPr>
        <w:t>այլ իրավական ակտերում փոփոխություններ կատարելու անհրաժեշտություն առկա չէ</w:t>
      </w:r>
      <w:r w:rsidRPr="00A813BF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47F28A24" w14:textId="77777777" w:rsidR="004B2CAE" w:rsidRPr="00EE29B0" w:rsidRDefault="00DA16A5" w:rsidP="004251E8">
      <w:pPr>
        <w:shd w:val="clear" w:color="auto" w:fill="FFFFFF"/>
        <w:spacing w:after="0" w:line="360" w:lineRule="auto"/>
        <w:ind w:left="-360" w:firstLine="360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ՀՀ-ում քրեակատարողական հիմնարկներից տարեկան միջինն ազատվում է </w:t>
      </w:r>
      <w:r w:rsidR="009F5AA2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300-400</w:t>
      </w:r>
      <w:r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դատապարտյալ</w:t>
      </w:r>
      <w:r w:rsidR="004B2CAE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օրինակ</w:t>
      </w:r>
      <w:r w:rsidR="009F5AA2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4B2CAE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2022թ</w:t>
      </w:r>
      <w:r w:rsidR="009F5AA2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4B2CAE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-ին </w:t>
      </w:r>
      <w:r w:rsidR="00947061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քրեակատարողական հիմնարկից </w:t>
      </w:r>
      <w:r w:rsidR="004B2CAE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ազատվել է </w:t>
      </w:r>
      <w:r w:rsidR="009F5AA2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374 ա</w:t>
      </w:r>
      <w:r w:rsidR="004B2CAE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նձ, </w:t>
      </w:r>
      <w:r w:rsidR="009F5AA2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ներառյալ՝ պայմանական վաղաժամկետ և ազատման այլ ձևերը, </w:t>
      </w:r>
      <w:r w:rsidR="004B2CAE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հետևաբար սոցիալական աջակցության համատեքստում պատժից ազատվող անձանց տրամադրվող միջինացված տարեկան գումարը կկազմի </w:t>
      </w:r>
      <w:r w:rsidR="009F5AA2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3-4</w:t>
      </w:r>
      <w:r w:rsidR="004B2CAE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մլն. ՀՀ դրամ</w:t>
      </w:r>
      <w:r w:rsidR="009864C1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100.000 ՀՀ դրամ աջակցության դեպքում</w:t>
      </w:r>
      <w:r w:rsidR="004B2CAE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9864C1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Նշված գումարի կեսից պակաս գումար կտրամադրվի հավելյալ 50.000 ՀՀ դրամ գումարի տրամադրման դեպքում: </w:t>
      </w:r>
      <w:r w:rsidR="00947061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Նշված</w:t>
      </w:r>
      <w:r w:rsidR="004B2CAE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գումար</w:t>
      </w:r>
      <w:r w:rsidR="00947061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4B2CAE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 տրամադրվելու </w:t>
      </w:r>
      <w:r w:rsidR="00947061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="004B2CAE" w:rsidRPr="00EE2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քրեակատարողական ծառայության բյուջեից:</w:t>
      </w:r>
    </w:p>
    <w:p w14:paraId="3EAA5FB8" w14:textId="77777777" w:rsidR="004251E8" w:rsidRDefault="004251E8" w:rsidP="004251E8">
      <w:pPr>
        <w:shd w:val="clear" w:color="auto" w:fill="FFFFFF"/>
        <w:spacing w:after="0" w:line="360" w:lineRule="auto"/>
        <w:ind w:left="-360" w:firstLine="36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13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Նախագծ</w:t>
      </w:r>
      <w:r w:rsidR="005E3EAD" w:rsidRPr="00B64F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 w:rsidRPr="00A813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առաջարկվող կարգավորումների ընդունման արդյունքում</w:t>
      </w:r>
      <w:r w:rsidRPr="00A813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813BF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պետական</w:t>
      </w:r>
      <w:r w:rsidRPr="00A813B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  <w:lang w:val="hy-AM"/>
        </w:rPr>
        <w:t xml:space="preserve"> </w:t>
      </w:r>
      <w:r w:rsidRPr="00A813BF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բյուջեի</w:t>
      </w:r>
      <w:r w:rsidRPr="00A813B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  <w:lang w:val="hy-AM"/>
        </w:rPr>
        <w:t xml:space="preserve"> </w:t>
      </w:r>
      <w:r w:rsidRPr="00A813BF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եկամուտներում</w:t>
      </w:r>
      <w:r w:rsidRPr="00A813B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  <w:lang w:val="hy-AM"/>
        </w:rPr>
        <w:t xml:space="preserve"> </w:t>
      </w:r>
      <w:r w:rsidRPr="00A813BF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և</w:t>
      </w:r>
      <w:r w:rsidRPr="00A813B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  <w:lang w:val="hy-AM"/>
        </w:rPr>
        <w:t xml:space="preserve"> </w:t>
      </w:r>
      <w:r w:rsidRPr="00A813BF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ծախսերում</w:t>
      </w:r>
      <w:r w:rsidRPr="00A813B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  <w:lang w:val="hy-AM"/>
        </w:rPr>
        <w:t xml:space="preserve"> </w:t>
      </w:r>
      <w:r w:rsidRPr="00A813BF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սպասվելիք</w:t>
      </w:r>
      <w:r w:rsidRPr="00A813B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  <w:lang w:val="hy-AM"/>
        </w:rPr>
        <w:t xml:space="preserve"> </w:t>
      </w:r>
      <w:r w:rsidRPr="00A813BF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փոփոխություններ չկան</w:t>
      </w:r>
      <w:r w:rsidRPr="00A813BF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2926EB1D" w14:textId="77777777" w:rsidR="005E3EAD" w:rsidRPr="00B64F20" w:rsidRDefault="005E3EAD" w:rsidP="004251E8">
      <w:pPr>
        <w:shd w:val="clear" w:color="auto" w:fill="FFFFFF"/>
        <w:spacing w:after="0" w:line="360" w:lineRule="auto"/>
        <w:ind w:left="-360" w:firstLine="360"/>
        <w:jc w:val="both"/>
        <w:textAlignment w:val="baseline"/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lang w:val="hy-AM"/>
        </w:rPr>
      </w:pPr>
    </w:p>
    <w:p w14:paraId="55168622" w14:textId="77777777" w:rsidR="004251E8" w:rsidRPr="00B64F20" w:rsidRDefault="004251E8" w:rsidP="004251E8">
      <w:pPr>
        <w:shd w:val="clear" w:color="auto" w:fill="FFFFFF"/>
        <w:spacing w:after="0" w:line="360" w:lineRule="auto"/>
        <w:ind w:left="-360" w:firstLine="360"/>
        <w:jc w:val="both"/>
        <w:textAlignment w:val="baseline"/>
        <w:rPr>
          <w:rFonts w:ascii="GHEA Grapalat" w:eastAsia="Times New Roman" w:hAnsi="GHEA Grapalat" w:cs="Arian AMU"/>
          <w:b/>
          <w:color w:val="000000" w:themeColor="text1"/>
          <w:sz w:val="24"/>
          <w:szCs w:val="24"/>
          <w:u w:val="single"/>
          <w:lang w:val="hy-AM"/>
        </w:rPr>
      </w:pPr>
      <w:r w:rsidRPr="00B64F20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u w:val="single"/>
          <w:lang w:val="hy-AM"/>
        </w:rPr>
        <w:lastRenderedPageBreak/>
        <w:t>5. Նախագծի մշակման գործընթացում ներգրավված ինստիտուտները, անձինք.</w:t>
      </w:r>
    </w:p>
    <w:p w14:paraId="5C24B4F2" w14:textId="77777777" w:rsidR="004251E8" w:rsidRDefault="004251E8" w:rsidP="004251E8">
      <w:pPr>
        <w:shd w:val="clear" w:color="auto" w:fill="FFFFFF"/>
        <w:spacing w:after="0" w:line="360" w:lineRule="auto"/>
        <w:ind w:left="-360" w:firstLine="360"/>
        <w:jc w:val="both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</w:pPr>
      <w:r w:rsidRPr="00A813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</w:t>
      </w:r>
      <w:r w:rsidR="005E3EAD" w:rsidRPr="00B64F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A813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</w:t>
      </w:r>
      <w:r w:rsidRPr="00A813BF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ը մշակվել </w:t>
      </w:r>
      <w:r w:rsidR="005E3EAD" w:rsidRPr="00B64F20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>է</w:t>
      </w:r>
      <w:r w:rsidRPr="00A813BF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 ՀՀ արդարադատության նախարարության կողմից:</w:t>
      </w:r>
    </w:p>
    <w:p w14:paraId="073E85A7" w14:textId="77777777" w:rsidR="004251E8" w:rsidRPr="00A813BF" w:rsidRDefault="004251E8" w:rsidP="004251E8">
      <w:pPr>
        <w:shd w:val="clear" w:color="auto" w:fill="FFFFFF"/>
        <w:spacing w:after="0" w:line="360" w:lineRule="auto"/>
        <w:ind w:left="-360" w:firstLine="360"/>
        <w:jc w:val="both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</w:pPr>
    </w:p>
    <w:p w14:paraId="049A1410" w14:textId="77777777" w:rsidR="004251E8" w:rsidRPr="00B64F20" w:rsidRDefault="004251E8" w:rsidP="004251E8">
      <w:pPr>
        <w:shd w:val="clear" w:color="auto" w:fill="FFFFFF"/>
        <w:spacing w:after="0" w:line="360" w:lineRule="auto"/>
        <w:ind w:left="-360" w:firstLine="360"/>
        <w:jc w:val="both"/>
        <w:textAlignment w:val="baseline"/>
        <w:rPr>
          <w:rFonts w:ascii="GHEA Grapalat" w:eastAsia="Times New Roman" w:hAnsi="GHEA Grapalat" w:cs="Arian AMU"/>
          <w:b/>
          <w:color w:val="000000" w:themeColor="text1"/>
          <w:sz w:val="24"/>
          <w:szCs w:val="24"/>
          <w:u w:val="single"/>
          <w:lang w:val="hy-AM"/>
        </w:rPr>
      </w:pPr>
      <w:r w:rsidRPr="00B64F20">
        <w:rPr>
          <w:rFonts w:ascii="GHEA Grapalat" w:eastAsia="Times New Roman" w:hAnsi="GHEA Grapalat" w:cs="Arian AMU"/>
          <w:b/>
          <w:color w:val="000000" w:themeColor="text1"/>
          <w:sz w:val="24"/>
          <w:szCs w:val="24"/>
          <w:u w:val="single"/>
          <w:lang w:val="hy-AM"/>
        </w:rPr>
        <w:t xml:space="preserve">6. </w:t>
      </w:r>
      <w:r w:rsidR="007111D5" w:rsidRPr="00EE29B0">
        <w:rPr>
          <w:rFonts w:ascii="GHEA Grapalat" w:eastAsia="Times New Roman" w:hAnsi="GHEA Grapalat" w:cs="Arian AMU"/>
          <w:b/>
          <w:color w:val="000000" w:themeColor="text1"/>
          <w:sz w:val="24"/>
          <w:szCs w:val="24"/>
          <w:u w:val="single"/>
          <w:lang w:val="hy-AM"/>
        </w:rPr>
        <w:t>Ա</w:t>
      </w:r>
      <w:r w:rsidRPr="00B64F20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u w:val="single"/>
          <w:lang w:val="hy-AM"/>
        </w:rPr>
        <w:t>կնկալվող արդյունքը.</w:t>
      </w:r>
    </w:p>
    <w:p w14:paraId="26006CBA" w14:textId="77777777" w:rsidR="004251E8" w:rsidRPr="00A813BF" w:rsidRDefault="004251E8" w:rsidP="004251E8">
      <w:pPr>
        <w:shd w:val="clear" w:color="auto" w:fill="FFFFFF"/>
        <w:spacing w:after="0" w:line="360" w:lineRule="auto"/>
        <w:ind w:left="-360" w:firstLine="360"/>
        <w:jc w:val="both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</w:pPr>
      <w:r w:rsidRPr="00A813BF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>Նախագծի ընդունման արդյունքում</w:t>
      </w:r>
      <w:r w:rsidR="007111D5" w:rsidRPr="007111D5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 </w:t>
      </w:r>
      <w:r w:rsidR="007111D5" w:rsidRPr="00A813BF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>կնախատեսվեն</w:t>
      </w:r>
      <w:r w:rsidRPr="00A813BF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 պատժի կրումից ազատվող </w:t>
      </w:r>
      <w:r w:rsidR="007111D5" w:rsidRPr="00EE29B0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>դ</w:t>
      </w:r>
      <w:r w:rsidRPr="00A813BF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ատապարտյալներին սոցիալական անհրաժեշտ օգնության </w:t>
      </w:r>
      <w:r w:rsidR="007111D5" w:rsidRPr="00A813BF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>տրամադրման կոնկրետ չափանիշներ և ընթացակարգեր</w:t>
      </w:r>
      <w:r w:rsidR="007111D5" w:rsidRPr="00EE29B0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>, ինչի արդյունքում գործնականում կապահովվի</w:t>
      </w:r>
      <w:r w:rsidR="007111D5" w:rsidRPr="00A813BF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 </w:t>
      </w:r>
      <w:r w:rsidR="007111D5" w:rsidRPr="00EE29B0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նման օգնության </w:t>
      </w:r>
      <w:r w:rsidRPr="00A813BF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տրամադրումը: </w:t>
      </w:r>
    </w:p>
    <w:p w14:paraId="7957D6E9" w14:textId="77777777" w:rsidR="004251E8" w:rsidRPr="00A813BF" w:rsidRDefault="004251E8" w:rsidP="004251E8">
      <w:pPr>
        <w:shd w:val="clear" w:color="auto" w:fill="FFFFFF"/>
        <w:spacing w:after="0" w:line="360" w:lineRule="auto"/>
        <w:ind w:left="-360" w:firstLine="360"/>
        <w:jc w:val="both"/>
        <w:textAlignment w:val="baseline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13BF">
        <w:rPr>
          <w:rFonts w:ascii="Arial AMU" w:eastAsia="Times New Roman" w:hAnsi="Arial AMU" w:cs="Arian AMU"/>
          <w:bCs/>
          <w:color w:val="000000" w:themeColor="text1"/>
          <w:sz w:val="24"/>
          <w:szCs w:val="24"/>
          <w:lang w:val="hy-AM"/>
        </w:rPr>
        <w:t> </w:t>
      </w:r>
    </w:p>
    <w:p w14:paraId="39DCA374" w14:textId="77777777" w:rsidR="004251E8" w:rsidRPr="00A813BF" w:rsidRDefault="004251E8" w:rsidP="004251E8">
      <w:pPr>
        <w:spacing w:after="0" w:line="360" w:lineRule="auto"/>
        <w:ind w:left="-360" w:firstLine="360"/>
        <w:jc w:val="right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607767E3" w14:textId="77777777" w:rsidR="00153ED1" w:rsidRPr="00B64F20" w:rsidRDefault="00153ED1">
      <w:pPr>
        <w:rPr>
          <w:lang w:val="hy-AM"/>
        </w:rPr>
      </w:pPr>
    </w:p>
    <w:sectPr w:rsidR="00153ED1" w:rsidRPr="00B64F20" w:rsidSect="005C77C6">
      <w:headerReference w:type="default" r:id="rId8"/>
      <w:footerReference w:type="default" r:id="rId9"/>
      <w:pgSz w:w="11906" w:h="16838"/>
      <w:pgMar w:top="851" w:right="567" w:bottom="567" w:left="1134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CE27B" w14:textId="77777777" w:rsidR="006F4FDB" w:rsidRDefault="006F4FDB" w:rsidP="004251E8">
      <w:pPr>
        <w:spacing w:after="0" w:line="240" w:lineRule="auto"/>
      </w:pPr>
      <w:r>
        <w:separator/>
      </w:r>
    </w:p>
  </w:endnote>
  <w:endnote w:type="continuationSeparator" w:id="0">
    <w:p w14:paraId="423AD898" w14:textId="77777777" w:rsidR="006F4FDB" w:rsidRDefault="006F4FDB" w:rsidP="0042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9490"/>
      <w:docPartObj>
        <w:docPartGallery w:val="Page Numbers (Bottom of Page)"/>
        <w:docPartUnique/>
      </w:docPartObj>
    </w:sdtPr>
    <w:sdtEndPr>
      <w:rPr>
        <w:rFonts w:ascii="GHEA Grapalat" w:hAnsi="GHEA Grapalat"/>
      </w:rPr>
    </w:sdtEndPr>
    <w:sdtContent>
      <w:p w14:paraId="03CDF28D" w14:textId="7F7387E5" w:rsidR="000662F3" w:rsidRPr="007D284B" w:rsidRDefault="00822E6D">
        <w:pPr>
          <w:pStyle w:val="Footer"/>
          <w:jc w:val="right"/>
          <w:rPr>
            <w:rFonts w:ascii="GHEA Grapalat" w:hAnsi="GHEA Grapalat"/>
          </w:rPr>
        </w:pPr>
        <w:r w:rsidRPr="007D284B">
          <w:rPr>
            <w:rFonts w:ascii="GHEA Grapalat" w:hAnsi="GHEA Grapalat"/>
          </w:rPr>
          <w:fldChar w:fldCharType="begin"/>
        </w:r>
        <w:r w:rsidR="00F11A0F" w:rsidRPr="007D284B">
          <w:rPr>
            <w:rFonts w:ascii="GHEA Grapalat" w:hAnsi="GHEA Grapalat"/>
          </w:rPr>
          <w:instrText xml:space="preserve"> PAGE   \* MERGEFORMAT </w:instrText>
        </w:r>
        <w:r w:rsidRPr="007D284B">
          <w:rPr>
            <w:rFonts w:ascii="GHEA Grapalat" w:hAnsi="GHEA Grapalat"/>
          </w:rPr>
          <w:fldChar w:fldCharType="separate"/>
        </w:r>
        <w:r w:rsidR="00EE29B0">
          <w:rPr>
            <w:rFonts w:ascii="GHEA Grapalat" w:hAnsi="GHEA Grapalat"/>
            <w:noProof/>
          </w:rPr>
          <w:t>1</w:t>
        </w:r>
        <w:r w:rsidRPr="007D284B">
          <w:rPr>
            <w:rFonts w:ascii="GHEA Grapalat" w:hAnsi="GHEA Grapalat"/>
          </w:rPr>
          <w:fldChar w:fldCharType="end"/>
        </w:r>
      </w:p>
    </w:sdtContent>
  </w:sdt>
  <w:p w14:paraId="0EDECEA9" w14:textId="77777777" w:rsidR="000662F3" w:rsidRDefault="006F4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7C14D" w14:textId="77777777" w:rsidR="006F4FDB" w:rsidRDefault="006F4FDB" w:rsidP="004251E8">
      <w:pPr>
        <w:spacing w:after="0" w:line="240" w:lineRule="auto"/>
      </w:pPr>
      <w:r>
        <w:separator/>
      </w:r>
    </w:p>
  </w:footnote>
  <w:footnote w:type="continuationSeparator" w:id="0">
    <w:p w14:paraId="7D92A5A3" w14:textId="77777777" w:rsidR="006F4FDB" w:rsidRDefault="006F4FDB" w:rsidP="004251E8">
      <w:pPr>
        <w:spacing w:after="0" w:line="240" w:lineRule="auto"/>
      </w:pPr>
      <w:r>
        <w:continuationSeparator/>
      </w:r>
    </w:p>
  </w:footnote>
  <w:footnote w:id="1">
    <w:p w14:paraId="28114263" w14:textId="48DBFA4D" w:rsidR="00714FFB" w:rsidRPr="00461730" w:rsidRDefault="00822E6D">
      <w:pPr>
        <w:pStyle w:val="FootnoteText"/>
        <w:rPr>
          <w:rFonts w:ascii="GHEA Grapalat" w:hAnsi="GHEA Grapalat"/>
          <w:lang w:val="en-US"/>
        </w:rPr>
      </w:pPr>
      <w:r w:rsidRPr="00822E6D">
        <w:rPr>
          <w:rStyle w:val="FootnoteReference"/>
          <w:rFonts w:ascii="GHEA Grapalat" w:hAnsi="GHEA Grapalat"/>
        </w:rPr>
        <w:footnoteRef/>
      </w:r>
      <w:r w:rsidRPr="00822E6D">
        <w:rPr>
          <w:rFonts w:ascii="GHEA Grapalat" w:hAnsi="GHEA Grapalat"/>
        </w:rPr>
        <w:t xml:space="preserve"> </w:t>
      </w:r>
      <w:hyperlink r:id="rId1" w:history="1">
        <w:r w:rsidR="00461730" w:rsidRPr="00266736">
          <w:rPr>
            <w:rStyle w:val="Hyperlink"/>
            <w:rFonts w:ascii="GHEA Grapalat" w:hAnsi="GHEA Grapalat"/>
          </w:rPr>
          <w:t>https://www.arlis.am/DocumentView.aspx?DocID=168746</w:t>
        </w:r>
      </w:hyperlink>
      <w:r w:rsidR="00461730">
        <w:rPr>
          <w:rFonts w:ascii="GHEA Grapalat" w:hAnsi="GHEA Grapalat"/>
          <w:lang w:val="en-US"/>
        </w:rPr>
        <w:t xml:space="preserve"> </w:t>
      </w:r>
    </w:p>
  </w:footnote>
  <w:footnote w:id="2">
    <w:p w14:paraId="392CA9CE" w14:textId="7167B74F" w:rsidR="00714FFB" w:rsidRPr="00461730" w:rsidRDefault="00822E6D">
      <w:pPr>
        <w:pStyle w:val="FootnoteText"/>
        <w:rPr>
          <w:rFonts w:ascii="GHEA Grapalat" w:hAnsi="GHEA Grapalat"/>
          <w:lang w:val="en-US"/>
        </w:rPr>
      </w:pPr>
      <w:r w:rsidRPr="00822E6D">
        <w:rPr>
          <w:rStyle w:val="FootnoteReference"/>
          <w:rFonts w:ascii="GHEA Grapalat" w:hAnsi="GHEA Grapalat"/>
        </w:rPr>
        <w:footnoteRef/>
      </w:r>
      <w:r w:rsidRPr="00EE29B0">
        <w:rPr>
          <w:rFonts w:ascii="GHEA Grapalat" w:hAnsi="GHEA Grapalat"/>
          <w:lang w:val="en-US"/>
        </w:rPr>
        <w:t xml:space="preserve"> </w:t>
      </w:r>
      <w:hyperlink r:id="rId2" w:history="1">
        <w:r w:rsidR="00461730" w:rsidRPr="00EE29B0">
          <w:rPr>
            <w:rStyle w:val="Hyperlink"/>
            <w:rFonts w:ascii="GHEA Grapalat" w:hAnsi="GHEA Grapalat"/>
            <w:lang w:val="en-US"/>
          </w:rPr>
          <w:t>https://www.arlis.am/DocumentView.aspx?DocID=153978</w:t>
        </w:r>
      </w:hyperlink>
      <w:r w:rsidR="00461730">
        <w:rPr>
          <w:rFonts w:ascii="GHEA Grapalat" w:hAnsi="GHEA Grapalat"/>
          <w:lang w:val="en-US"/>
        </w:rPr>
        <w:t xml:space="preserve"> </w:t>
      </w:r>
    </w:p>
  </w:footnote>
  <w:footnote w:id="3">
    <w:p w14:paraId="017B1583" w14:textId="02B355BF" w:rsidR="00714FFB" w:rsidRPr="00461730" w:rsidRDefault="00822E6D">
      <w:pPr>
        <w:pStyle w:val="FootnoteText"/>
        <w:rPr>
          <w:lang w:val="en-US"/>
        </w:rPr>
      </w:pPr>
      <w:r w:rsidRPr="00822E6D">
        <w:rPr>
          <w:rStyle w:val="FootnoteReference"/>
          <w:rFonts w:ascii="GHEA Grapalat" w:hAnsi="GHEA Grapalat"/>
        </w:rPr>
        <w:footnoteRef/>
      </w:r>
      <w:r w:rsidRPr="00EE29B0">
        <w:rPr>
          <w:rFonts w:ascii="GHEA Grapalat" w:hAnsi="GHEA Grapalat"/>
          <w:lang w:val="en-US"/>
        </w:rPr>
        <w:t xml:space="preserve"> </w:t>
      </w:r>
      <w:hyperlink r:id="rId3" w:history="1">
        <w:r w:rsidR="00461730" w:rsidRPr="00EE29B0">
          <w:rPr>
            <w:rStyle w:val="Hyperlink"/>
            <w:rFonts w:ascii="GHEA Grapalat" w:hAnsi="GHEA Grapalat"/>
            <w:lang w:val="en-US"/>
          </w:rPr>
          <w:t>https://www.arlis.am/DocumentView.aspx?DocID=143965</w:t>
        </w:r>
      </w:hyperlink>
      <w:r w:rsidR="00461730">
        <w:rPr>
          <w:rFonts w:ascii="GHEA Grapalat" w:hAnsi="GHEA Grapalat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F6813" w14:textId="77777777" w:rsidR="004251E8" w:rsidRDefault="004251E8" w:rsidP="004251E8">
    <w:pPr>
      <w:pBdr>
        <w:left w:val="single" w:sz="8" w:space="4" w:color="FF0000" w:shadow="1"/>
      </w:pBdr>
      <w:tabs>
        <w:tab w:val="right" w:pos="10206"/>
      </w:tabs>
      <w:spacing w:after="0"/>
      <w:ind w:hanging="2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Ա</w:t>
    </w:r>
    <w:r>
      <w:rPr>
        <w:rFonts w:ascii="GHEA Grapalat" w:eastAsia="GHEA Grapalat" w:hAnsi="GHEA Grapalat" w:cs="GHEA Grapalat"/>
        <w:color w:val="000000"/>
        <w:sz w:val="20"/>
        <w:szCs w:val="20"/>
      </w:rPr>
      <w:t xml:space="preserve">րդարադատության                            </w:t>
    </w:r>
    <w:r>
      <w:rPr>
        <w:rFonts w:ascii="GHEA Grapalat" w:eastAsia="GHEA Grapalat" w:hAnsi="GHEA Grapalat" w:cs="GHEA Grapalat"/>
        <w:color w:val="000000"/>
        <w:sz w:val="20"/>
        <w:szCs w:val="20"/>
      </w:rPr>
      <w:tab/>
    </w:r>
    <w:r>
      <w:rPr>
        <w:rFonts w:ascii="GHEA Grapalat" w:eastAsia="GHEA Grapalat" w:hAnsi="GHEA Grapalat" w:cs="GHEA Grapalat"/>
        <w:color w:val="000000"/>
      </w:rPr>
      <w:t>ՆԱԽԱԳԻԾ</w:t>
    </w:r>
    <w:r>
      <w:rPr>
        <w:noProof/>
        <w:lang w:val="en-US"/>
      </w:rPr>
      <w:drawing>
        <wp:anchor distT="0" distB="0" distL="0" distR="0" simplePos="0" relativeHeight="251659264" behindDoc="0" locked="0" layoutInCell="1" allowOverlap="1" wp14:anchorId="758A8848" wp14:editId="5E9B358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7588F0C" w14:textId="77777777" w:rsidR="004251E8" w:rsidRDefault="006F4FDB" w:rsidP="004251E8">
    <w:pPr>
      <w:pBdr>
        <w:left w:val="single" w:sz="8" w:space="4" w:color="0000FF" w:shadow="1"/>
      </w:pBdr>
      <w:tabs>
        <w:tab w:val="center" w:pos="4680"/>
        <w:tab w:val="right" w:pos="9360"/>
      </w:tabs>
      <w:spacing w:after="0"/>
      <w:ind w:hanging="2"/>
      <w:rPr>
        <w:rFonts w:ascii="GHEA Grapalat" w:eastAsia="GHEA Grapalat" w:hAnsi="GHEA Grapalat" w:cs="GHEA Grapalat"/>
        <w:color w:val="000000"/>
        <w:sz w:val="20"/>
        <w:szCs w:val="20"/>
      </w:rPr>
    </w:pPr>
    <w:r>
      <w:rPr>
        <w:noProof/>
        <w:color w:val="FFC000"/>
        <w:lang w:val="en-US"/>
      </w:rPr>
      <w:pict w14:anchorId="03607FB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5pt;margin-top:14.75pt;width:0;height:17.45pt;z-index:251660288" o:connectortype="straight" strokecolor="#e36c0a [2409]"/>
      </w:pict>
    </w:r>
    <w:r w:rsidR="004251E8">
      <w:rPr>
        <w:rFonts w:ascii="GHEA Grapalat" w:eastAsia="GHEA Grapalat" w:hAnsi="GHEA Grapalat" w:cs="GHEA Grapalat"/>
        <w:b/>
        <w:color w:val="000000"/>
        <w:sz w:val="20"/>
        <w:szCs w:val="20"/>
      </w:rPr>
      <w:t>Ն</w:t>
    </w:r>
    <w:r w:rsidR="004251E8">
      <w:rPr>
        <w:rFonts w:ascii="GHEA Grapalat" w:eastAsia="GHEA Grapalat" w:hAnsi="GHEA Grapalat" w:cs="GHEA Grapalat"/>
        <w:color w:val="000000"/>
        <w:sz w:val="20"/>
        <w:szCs w:val="20"/>
      </w:rPr>
      <w:t>ախարարություն</w:t>
    </w:r>
  </w:p>
  <w:p w14:paraId="7B7499A5" w14:textId="77777777" w:rsidR="004251E8" w:rsidRPr="005C77C6" w:rsidRDefault="004251E8" w:rsidP="004251E8">
    <w:pPr>
      <w:pStyle w:val="Header"/>
      <w:rPr>
        <w:color w:val="FFC000"/>
        <w:lang w:val="en-US"/>
      </w:rPr>
    </w:pPr>
  </w:p>
  <w:p w14:paraId="43374A6C" w14:textId="77777777" w:rsidR="004251E8" w:rsidRDefault="004251E8" w:rsidP="004251E8">
    <w:pPr>
      <w:pStyle w:val="Header"/>
    </w:pPr>
  </w:p>
  <w:p w14:paraId="3B2EF843" w14:textId="77777777" w:rsidR="00F15D15" w:rsidRDefault="006F4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3F0"/>
    <w:multiLevelType w:val="hybridMultilevel"/>
    <w:tmpl w:val="12C8FB30"/>
    <w:lvl w:ilvl="0" w:tplc="E542C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45444"/>
    <w:multiLevelType w:val="hybridMultilevel"/>
    <w:tmpl w:val="33FEDE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1E8"/>
    <w:rsid w:val="00021C99"/>
    <w:rsid w:val="0003313C"/>
    <w:rsid w:val="00037C0C"/>
    <w:rsid w:val="001071E7"/>
    <w:rsid w:val="00153ED1"/>
    <w:rsid w:val="00221402"/>
    <w:rsid w:val="00276E3E"/>
    <w:rsid w:val="002A409C"/>
    <w:rsid w:val="004251E8"/>
    <w:rsid w:val="00461730"/>
    <w:rsid w:val="00466667"/>
    <w:rsid w:val="00496AAF"/>
    <w:rsid w:val="004B2CAE"/>
    <w:rsid w:val="004C0347"/>
    <w:rsid w:val="004F0CF4"/>
    <w:rsid w:val="004F408D"/>
    <w:rsid w:val="0054783D"/>
    <w:rsid w:val="005C77C6"/>
    <w:rsid w:val="005E39D6"/>
    <w:rsid w:val="005E3EAD"/>
    <w:rsid w:val="006509D0"/>
    <w:rsid w:val="006E381F"/>
    <w:rsid w:val="006F4FDB"/>
    <w:rsid w:val="007111D5"/>
    <w:rsid w:val="00714FFB"/>
    <w:rsid w:val="00775746"/>
    <w:rsid w:val="007B2E5C"/>
    <w:rsid w:val="00822E6D"/>
    <w:rsid w:val="00826873"/>
    <w:rsid w:val="008F5DAC"/>
    <w:rsid w:val="009045B0"/>
    <w:rsid w:val="00947061"/>
    <w:rsid w:val="00975442"/>
    <w:rsid w:val="009864C1"/>
    <w:rsid w:val="009F5AA2"/>
    <w:rsid w:val="00A2263D"/>
    <w:rsid w:val="00B64F20"/>
    <w:rsid w:val="00BC4EC4"/>
    <w:rsid w:val="00BD4EF8"/>
    <w:rsid w:val="00C07D53"/>
    <w:rsid w:val="00C43959"/>
    <w:rsid w:val="00C60720"/>
    <w:rsid w:val="00CA3C8C"/>
    <w:rsid w:val="00CF60BC"/>
    <w:rsid w:val="00D60CEF"/>
    <w:rsid w:val="00DA16A5"/>
    <w:rsid w:val="00DE1CD9"/>
    <w:rsid w:val="00EC7214"/>
    <w:rsid w:val="00ED7B39"/>
    <w:rsid w:val="00EE29B0"/>
    <w:rsid w:val="00F11A0F"/>
    <w:rsid w:val="00F3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DCDD58"/>
  <w15:docId w15:val="{706317E2-37B1-41ED-8BFF-8217E36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1E8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42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251E8"/>
    <w:rPr>
      <w:b/>
      <w:bCs/>
    </w:rPr>
  </w:style>
  <w:style w:type="paragraph" w:styleId="ListParagraph">
    <w:name w:val="List Paragraph"/>
    <w:basedOn w:val="Normal"/>
    <w:uiPriority w:val="34"/>
    <w:qFormat/>
    <w:rsid w:val="004251E8"/>
    <w:pPr>
      <w:ind w:left="720"/>
      <w:contextualSpacing/>
    </w:pPr>
  </w:style>
  <w:style w:type="character" w:customStyle="1" w:styleId="NormalWebChar">
    <w:name w:val="Normal (Web) Char"/>
    <w:aliases w:val="webb Char"/>
    <w:link w:val="NormalWeb"/>
    <w:uiPriority w:val="99"/>
    <w:locked/>
    <w:rsid w:val="004251E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51E8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1E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2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E8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9C"/>
    <w:rPr>
      <w:rFonts w:ascii="Tahoma" w:hAnsi="Tahoma" w:cs="Tahoma"/>
      <w:sz w:val="16"/>
      <w:szCs w:val="16"/>
      <w:lang w:val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1D5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1D5"/>
    <w:rPr>
      <w:b/>
      <w:bCs/>
      <w:sz w:val="20"/>
      <w:szCs w:val="20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4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FFB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4F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617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1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rlis.am/DocumentView.aspx?DocID=143965" TargetMode="External"/><Relationship Id="rId2" Type="http://schemas.openxmlformats.org/officeDocument/2006/relationships/hyperlink" Target="https://www.arlis.am/DocumentView.aspx?DocID=153978" TargetMode="External"/><Relationship Id="rId1" Type="http://schemas.openxmlformats.org/officeDocument/2006/relationships/hyperlink" Target="https://www.arlis.am/DocumentView.aspx?DocID=1687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9D4DF-8F24-4DC9-ADCE-B95FF1A3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Ar-Lazaryan</dc:creator>
  <cp:keywords>https://mul2.gov.am/tasks/769453/oneclick/03_Justification 16.02.2023.docx?token=412336541ebf6ab128e9a711618f5ea9</cp:keywords>
  <dc:description/>
  <cp:lastModifiedBy>Sergey Tashcyan</cp:lastModifiedBy>
  <cp:revision>8</cp:revision>
  <dcterms:created xsi:type="dcterms:W3CDTF">2023-01-24T13:50:00Z</dcterms:created>
  <dcterms:modified xsi:type="dcterms:W3CDTF">2023-03-30T12:44:00Z</dcterms:modified>
</cp:coreProperties>
</file>